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Lehnhardt Aaron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KNIGHTSCOPE,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305 NORTH MATHILDA AVENUE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Knightscope,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KSCP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EVP and Chief Design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SUNNYVALE   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94085</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355,176</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2.55</w:t>
            </w:r>
          </w:p>
        </w:tc>
        <w:tc>
          <w:tcPr>
            <w:tcW w:w="1060" w:type="dxa"/>
            <w:vAlign w:val="bottom"/>
            <w:vMerge w:val="restart"/>
          </w:tcPr>
          <w:p>
            <w:pPr>
              <w:ind w:left="240"/>
              <w:spacing w:after="0" w:line="140" w:lineRule="exact"/>
              <w:rPr>
                <w:sz w:val="20"/>
                <w:szCs w:val="20"/>
                <w:color w:val="auto"/>
              </w:rPr>
            </w:pPr>
            <w:r>
              <w:rPr>
                <w:rFonts w:ascii="Times New Roman" w:cs="Times New Roman" w:eastAsia="Times New Roman" w:hAnsi="Times New Roman"/>
                <w:sz w:val="13"/>
                <w:szCs w:val="13"/>
                <w:color w:val="0000FF"/>
              </w:rPr>
              <w:t>06/04/2026</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ind w:left="100"/>
              <w:spacing w:after="0" w:line="140" w:lineRule="exact"/>
              <w:rPr>
                <w:sz w:val="20"/>
                <w:szCs w:val="20"/>
                <w:color w:val="auto"/>
              </w:rPr>
            </w:pPr>
            <w:r>
              <w:rPr>
                <w:rFonts w:ascii="Times New Roman" w:cs="Times New Roman" w:eastAsia="Times New Roman" w:hAnsi="Times New Roman"/>
                <w:sz w:val="13"/>
                <w:szCs w:val="13"/>
                <w:color w:val="0000FF"/>
              </w:rPr>
              <w:t>355,176</w:t>
            </w: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restart"/>
          </w:tcPr>
          <w:p>
            <w:pPr>
              <w:ind w:left="40"/>
              <w:spacing w:after="0" w:line="140" w:lineRule="exact"/>
              <w:rPr>
                <w:sz w:val="20"/>
                <w:szCs w:val="20"/>
                <w:color w:val="auto"/>
              </w:rPr>
            </w:pPr>
            <w:r>
              <w:rPr>
                <w:rFonts w:ascii="Times New Roman" w:cs="Times New Roman" w:eastAsia="Times New Roman" w:hAnsi="Times New Roman"/>
                <w:sz w:val="13"/>
                <w:szCs w:val="13"/>
                <w:color w:val="0000FF"/>
              </w:rPr>
              <w:t>06/03/2036</w:t>
            </w:r>
          </w:p>
        </w:tc>
        <w:tc>
          <w:tcPr>
            <w:tcW w:w="66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20"/>
              <w:spacing w:after="0" w:line="140" w:lineRule="exact"/>
              <w:rPr>
                <w:sz w:val="20"/>
                <w:szCs w:val="20"/>
                <w:color w:val="auto"/>
              </w:rPr>
            </w:pPr>
            <w:r>
              <w:rPr>
                <w:rFonts w:ascii="Times New Roman" w:cs="Times New Roman" w:eastAsia="Times New Roman" w:hAnsi="Times New Roman"/>
                <w:sz w:val="13"/>
                <w:szCs w:val="13"/>
                <w:color w:val="0000FF"/>
              </w:rPr>
              <w:t>355,176</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-1829435</wp:posOffset>
            </wp:positionV>
            <wp:extent cx="28575" cy="1834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345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This option vests in 25% annual installments on each of June 4, 2027, June 4, 2028, June 4, 2029, and June 4, 2030, subject to the reporting person's continued employment or service through each vesting date.</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Apoorv Dwivedi, Attorney-</w:t>
            </w:r>
          </w:p>
        </w:tc>
        <w:tc>
          <w:tcPr>
            <w:tcW w:w="18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06/08/2026</w:t>
            </w:r>
          </w:p>
        </w:tc>
        <w:tc>
          <w:tcPr>
            <w:tcW w:w="0" w:type="dxa"/>
            <w:vAlign w:val="bottom"/>
          </w:tcPr>
          <w:p>
            <w:pPr>
              <w:spacing w:after="0"/>
              <w:rPr>
                <w:sz w:val="1"/>
                <w:szCs w:val="1"/>
                <w:color w:val="auto"/>
              </w:rPr>
            </w:pPr>
          </w:p>
        </w:tc>
      </w:tr>
      <w:tr>
        <w:trPr>
          <w:trHeight w:val="87"/>
        </w:trPr>
        <w:tc>
          <w:tcPr>
            <w:tcW w:w="46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1"/>
              </w:rPr>
              <w:t>in-Fact</w:t>
            </w:r>
          </w:p>
        </w:tc>
        <w:tc>
          <w:tcPr>
            <w:tcW w:w="17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60" w:type="dxa"/>
            <w:vAlign w:val="bottom"/>
            <w:tcBorders>
              <w:bottom w:val="single" w:sz="8" w:color="auto"/>
            </w:tcBorders>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7974" TargetMode="External"/><Relationship Id="rId14" Type="http://schemas.openxmlformats.org/officeDocument/2006/relationships/hyperlink" Target="http://www.sec.gov/cgi-bin/browse-edgar?action=getcompany&amp;CIK=00016009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2026-06-08T20:51:50Z</dcterms:created>
  <dcterms:modified xsi:type="dcterms:W3CDTF">2026-06-08T20:51:50Z</dcterms:modified>
</cp:coreProperties>
</file>