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Knightscope,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Rose Eric James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1,724,418.00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1,724,418.00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1,724,418.00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9"/>
        <w:gridCol w:w="8961"/>
        <w:gridCol w:w="155"/>
      </w:tblGrid>
      <w:tr>
        <w:trPr/>
        <w:tc>
          <w:tcPr>
            <w:tcW w:w="1089" w:type="dxa"/>
            <w:tcBorders/>
            <w:vAlign w:val="center"/>
          </w:tcPr>
          <w:p>
            <w:pPr>
              <w:pStyle w:val="TableContents"/>
              <w:bidi w:val="0"/>
              <w:spacing w:before="0" w:after="283"/>
              <w:jc w:val="left"/>
              <w:rPr/>
            </w:pPr>
            <w:r>
              <w:rPr/>
              <w:t>Item 1.</w:t>
            </w:r>
          </w:p>
        </w:tc>
        <w:tc>
          <w:tcPr>
            <w:tcW w:w="896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Name of issuer: </w:t>
            </w:r>
          </w:p>
          <w:p>
            <w:pPr>
              <w:pStyle w:val="TableContents"/>
              <w:bidi w:val="0"/>
              <w:spacing w:before="0" w:after="0"/>
              <w:jc w:val="left"/>
              <w:rPr/>
            </w:pPr>
            <w:r>
              <w:rPr/>
              <w:t>Knightscope, Inc.</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 North Mathilda Avenue, Sunnyvale, California, 94085</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2.</w:t>
            </w:r>
          </w:p>
        </w:tc>
        <w:tc>
          <w:tcPr>
            <w:tcW w:w="896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Eric James Rose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Clairedan Dr, Powell, Ohio 43065</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(d)</w:t>
            </w:r>
          </w:p>
        </w:tc>
        <w:tc>
          <w:tcPr>
            <w:tcW w:w="896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(e)</w:t>
            </w:r>
          </w:p>
        </w:tc>
        <w:tc>
          <w:tcPr>
            <w:tcW w:w="896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3.</w:t>
            </w:r>
          </w:p>
        </w:tc>
        <w:tc>
          <w:tcPr>
            <w:tcW w:w="896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(d)</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(e)</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(f)</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(g)</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(h)</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(j)</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(k)</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9116" w:type="dxa"/>
            <w:gridSpan w:val="2"/>
            <w:tcBorders/>
            <w:vAlign w:val="center"/>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4.</w:t>
            </w:r>
          </w:p>
        </w:tc>
        <w:tc>
          <w:tcPr>
            <w:tcW w:w="896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the Reporting Person may be deemed the beneficial owner of 1,724,418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date hereof, the Reporting Person may be deemed the beneficial owner of approximately 10.7% of the shares of Class A Common Stock outstanding. The percentage set forth herein is calculated based on 16,071,148 shares of Class A Common Stock outstanding as of April 9, 2026, based on information received from the Issuer.  %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1,724,418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1,724,418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5.</w:t>
            </w:r>
          </w:p>
        </w:tc>
        <w:tc>
          <w:tcPr>
            <w:tcW w:w="896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6.</w:t>
            </w:r>
          </w:p>
        </w:tc>
        <w:tc>
          <w:tcPr>
            <w:tcW w:w="896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7.</w:t>
            </w:r>
          </w:p>
        </w:tc>
        <w:tc>
          <w:tcPr>
            <w:tcW w:w="896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8.</w:t>
            </w:r>
          </w:p>
        </w:tc>
        <w:tc>
          <w:tcPr>
            <w:tcW w:w="896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9.</w:t>
            </w:r>
          </w:p>
        </w:tc>
        <w:tc>
          <w:tcPr>
            <w:tcW w:w="896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Rose Eric James</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Eric James Rose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Eric James Rose</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04/16/2026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4065</Characters>
  <CharactersWithSpaces>4850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