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right"/>
        <w:ind w:right="20"/>
        <w:spacing w:after="0"/>
        <w:rPr>
          <w:sz w:val="20"/>
          <w:szCs w:val="20"/>
          <w:color w:val="auto"/>
        </w:rPr>
      </w:pPr>
      <w:r>
        <w:rPr>
          <w:rFonts w:ascii="Arial" w:cs="Arial" w:eastAsia="Arial" w:hAnsi="Arial"/>
          <w:sz w:val="13"/>
          <w:szCs w:val="13"/>
          <w:b w:val="1"/>
          <w:bCs w:val="1"/>
          <w:color w:val="auto"/>
        </w:rPr>
        <w:t>Filed pursuant to Rule 253(g)(2)</w:t>
      </w:r>
    </w:p>
    <w:p>
      <w:pPr>
        <w:spacing w:after="0" w:line="19" w:lineRule="exact"/>
        <w:rPr>
          <w:sz w:val="24"/>
          <w:szCs w:val="24"/>
          <w:color w:val="auto"/>
        </w:rPr>
      </w:pPr>
    </w:p>
    <w:p>
      <w:pPr>
        <w:jc w:val="right"/>
        <w:spacing w:after="0"/>
        <w:rPr>
          <w:sz w:val="20"/>
          <w:szCs w:val="20"/>
          <w:color w:val="auto"/>
        </w:rPr>
      </w:pPr>
      <w:r>
        <w:rPr>
          <w:rFonts w:ascii="Arial" w:cs="Arial" w:eastAsia="Arial" w:hAnsi="Arial"/>
          <w:sz w:val="13"/>
          <w:szCs w:val="13"/>
          <w:b w:val="1"/>
          <w:bCs w:val="1"/>
          <w:color w:val="auto"/>
        </w:rPr>
        <w:t>File No. 024-11680</w:t>
      </w:r>
    </w:p>
    <w:p>
      <w:pPr>
        <w:spacing w:after="0" w:line="308" w:lineRule="exact"/>
        <w:rPr>
          <w:sz w:val="24"/>
          <w:szCs w:val="24"/>
          <w:color w:val="auto"/>
        </w:rPr>
      </w:pPr>
    </w:p>
    <w:p>
      <w:pPr>
        <w:jc w:val="center"/>
        <w:ind w:right="20"/>
        <w:spacing w:after="0"/>
        <w:rPr>
          <w:sz w:val="20"/>
          <w:szCs w:val="20"/>
          <w:color w:val="auto"/>
        </w:rPr>
      </w:pPr>
      <w:r>
        <w:rPr>
          <w:rFonts w:ascii="Arial" w:cs="Arial" w:eastAsia="Arial" w:hAnsi="Arial"/>
          <w:sz w:val="13"/>
          <w:szCs w:val="13"/>
          <w:b w:val="1"/>
          <w:bCs w:val="1"/>
          <w:color w:val="auto"/>
        </w:rPr>
        <w:t>OFFERING CIRCULAR DATED NOVEMBER 29, 2021</w:t>
      </w:r>
    </w:p>
    <w:p>
      <w:pPr>
        <w:spacing w:after="0" w:line="163" w:lineRule="exact"/>
        <w:rPr>
          <w:sz w:val="24"/>
          <w:szCs w:val="24"/>
          <w:color w:val="auto"/>
        </w:rPr>
      </w:pPr>
    </w:p>
    <w:p>
      <w:pPr>
        <w:jc w:val="center"/>
        <w:ind w:right="40"/>
        <w:spacing w:after="0"/>
        <w:rPr>
          <w:sz w:val="20"/>
          <w:szCs w:val="20"/>
          <w:color w:val="auto"/>
        </w:rPr>
      </w:pPr>
      <w:r>
        <w:rPr>
          <w:rFonts w:ascii="Arial" w:cs="Arial" w:eastAsia="Arial" w:hAnsi="Arial"/>
          <w:sz w:val="13"/>
          <w:szCs w:val="13"/>
          <w:b w:val="1"/>
          <w:bCs w:val="1"/>
          <w:color w:val="auto"/>
        </w:rPr>
        <w:t>Knightscope, Inc.</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2351405</wp:posOffset>
            </wp:positionH>
            <wp:positionV relativeFrom="paragraph">
              <wp:posOffset>111760</wp:posOffset>
            </wp:positionV>
            <wp:extent cx="2483485" cy="13970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2483485" cy="139700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9" w:lineRule="exact"/>
        <w:rPr>
          <w:sz w:val="24"/>
          <w:szCs w:val="24"/>
          <w:color w:val="auto"/>
        </w:rPr>
      </w:pPr>
    </w:p>
    <w:p>
      <w:pPr>
        <w:jc w:val="center"/>
        <w:ind w:right="20"/>
        <w:spacing w:after="0"/>
        <w:rPr>
          <w:sz w:val="20"/>
          <w:szCs w:val="20"/>
          <w:color w:val="auto"/>
        </w:rPr>
      </w:pPr>
      <w:r>
        <w:rPr>
          <w:rFonts w:ascii="Arial" w:cs="Arial" w:eastAsia="Arial" w:hAnsi="Arial"/>
          <w:sz w:val="13"/>
          <w:szCs w:val="13"/>
          <w:b w:val="1"/>
          <w:bCs w:val="1"/>
          <w:color w:val="auto"/>
        </w:rPr>
        <w:t>1070 Terra Bella Avenue</w:t>
      </w:r>
    </w:p>
    <w:p>
      <w:pPr>
        <w:spacing w:after="0" w:line="19" w:lineRule="exact"/>
        <w:rPr>
          <w:sz w:val="24"/>
          <w:szCs w:val="24"/>
          <w:color w:val="auto"/>
        </w:rPr>
      </w:pPr>
    </w:p>
    <w:p>
      <w:pPr>
        <w:jc w:val="center"/>
        <w:ind w:right="20"/>
        <w:spacing w:after="0"/>
        <w:rPr>
          <w:sz w:val="20"/>
          <w:szCs w:val="20"/>
          <w:color w:val="auto"/>
        </w:rPr>
      </w:pPr>
      <w:r>
        <w:rPr>
          <w:rFonts w:ascii="Arial" w:cs="Arial" w:eastAsia="Arial" w:hAnsi="Arial"/>
          <w:sz w:val="13"/>
          <w:szCs w:val="13"/>
          <w:b w:val="1"/>
          <w:bCs w:val="1"/>
          <w:color w:val="auto"/>
        </w:rPr>
        <w:t>Mountain View, CA 94043</w:t>
      </w:r>
    </w:p>
    <w:p>
      <w:pPr>
        <w:spacing w:after="0" w:line="7" w:lineRule="exact"/>
        <w:rPr>
          <w:sz w:val="24"/>
          <w:szCs w:val="24"/>
          <w:color w:val="auto"/>
        </w:rPr>
      </w:pPr>
    </w:p>
    <w:p>
      <w:pPr>
        <w:jc w:val="center"/>
        <w:ind w:right="20"/>
        <w:spacing w:after="0"/>
        <w:rPr>
          <w:sz w:val="20"/>
          <w:szCs w:val="20"/>
          <w:color w:val="auto"/>
        </w:rPr>
      </w:pPr>
      <w:r>
        <w:rPr>
          <w:rFonts w:ascii="Arial" w:cs="Arial" w:eastAsia="Arial" w:hAnsi="Arial"/>
          <w:sz w:val="13"/>
          <w:szCs w:val="13"/>
          <w:color w:val="auto"/>
        </w:rPr>
        <w:t>www.knightscope.com</w:t>
      </w:r>
    </w:p>
    <w:p>
      <w:pPr>
        <w:spacing w:after="0" w:line="152" w:lineRule="exact"/>
        <w:rPr>
          <w:sz w:val="24"/>
          <w:szCs w:val="24"/>
          <w:color w:val="auto"/>
        </w:rPr>
      </w:pPr>
    </w:p>
    <w:p>
      <w:pPr>
        <w:ind w:left="4780"/>
        <w:spacing w:after="0"/>
        <w:rPr>
          <w:sz w:val="20"/>
          <w:szCs w:val="20"/>
          <w:color w:val="auto"/>
        </w:rPr>
      </w:pPr>
      <w:r>
        <w:rPr>
          <w:rFonts w:ascii="Arial" w:cs="Arial" w:eastAsia="Arial" w:hAnsi="Arial"/>
          <w:sz w:val="13"/>
          <w:szCs w:val="13"/>
          <w:b w:val="1"/>
          <w:bCs w:val="1"/>
          <w:color w:val="auto"/>
        </w:rPr>
        <w:t>UP TO 4,000,000 SHARES OF</w:t>
      </w:r>
    </w:p>
    <w:p>
      <w:pPr>
        <w:spacing w:after="0" w:line="19" w:lineRule="exact"/>
        <w:rPr>
          <w:sz w:val="24"/>
          <w:szCs w:val="24"/>
          <w:color w:val="auto"/>
        </w:rPr>
      </w:pPr>
    </w:p>
    <w:p>
      <w:pPr>
        <w:ind w:left="4800"/>
        <w:spacing w:after="0"/>
        <w:rPr>
          <w:sz w:val="20"/>
          <w:szCs w:val="20"/>
          <w:color w:val="auto"/>
        </w:rPr>
      </w:pPr>
      <w:r>
        <w:rPr>
          <w:rFonts w:ascii="Arial" w:cs="Arial" w:eastAsia="Arial" w:hAnsi="Arial"/>
          <w:sz w:val="13"/>
          <w:szCs w:val="13"/>
          <w:b w:val="1"/>
          <w:bCs w:val="1"/>
          <w:color w:val="auto"/>
        </w:rPr>
        <w:t>CLASS A COMMON STOCK</w:t>
      </w:r>
    </w:p>
    <w:p>
      <w:pPr>
        <w:spacing w:after="0" w:line="152" w:lineRule="exact"/>
        <w:rPr>
          <w:sz w:val="24"/>
          <w:szCs w:val="24"/>
          <w:color w:val="auto"/>
        </w:rPr>
      </w:pPr>
    </w:p>
    <w:tbl>
      <w:tblPr>
        <w:tblLayout w:type="fixed"/>
        <w:tblInd w:w="0" w:type="dxa"/>
        <w:tblCellMar>
          <w:top w:w="0" w:type="dxa"/>
          <w:left w:w="0" w:type="dxa"/>
          <w:bottom w:w="0" w:type="dxa"/>
          <w:right w:w="0" w:type="dxa"/>
        </w:tblCellMar>
      </w:tblPr>
      <w:tr>
        <w:trPr>
          <w:trHeight w:val="168"/>
        </w:trPr>
        <w:tc>
          <w:tcPr>
            <w:tcW w:w="2640" w:type="dxa"/>
            <w:vAlign w:val="bottom"/>
          </w:tcPr>
          <w:p>
            <w:pPr>
              <w:spacing w:after="0"/>
              <w:rPr>
                <w:sz w:val="14"/>
                <w:szCs w:val="14"/>
                <w:color w:val="auto"/>
              </w:rPr>
            </w:pPr>
          </w:p>
        </w:tc>
        <w:tc>
          <w:tcPr>
            <w:tcW w:w="4720" w:type="dxa"/>
            <w:vAlign w:val="bottom"/>
            <w:gridSpan w:val="5"/>
          </w:tcPr>
          <w:p>
            <w:pPr>
              <w:jc w:val="center"/>
              <w:ind w:left="1235"/>
              <w:spacing w:after="0"/>
              <w:rPr>
                <w:sz w:val="20"/>
                <w:szCs w:val="20"/>
                <w:color w:val="auto"/>
              </w:rPr>
            </w:pPr>
            <w:r>
              <w:rPr>
                <w:rFonts w:ascii="Arial" w:cs="Arial" w:eastAsia="Arial" w:hAnsi="Arial"/>
                <w:sz w:val="13"/>
                <w:szCs w:val="13"/>
                <w:b w:val="1"/>
                <w:bCs w:val="1"/>
                <w:color w:val="auto"/>
              </w:rPr>
              <w:t>MINIMUM INDIVIDUAL INVESTMENT: 50 Shares ($500)</w:t>
            </w:r>
          </w:p>
        </w:tc>
        <w:tc>
          <w:tcPr>
            <w:tcW w:w="100" w:type="dxa"/>
            <w:vAlign w:val="bottom"/>
          </w:tcPr>
          <w:p>
            <w:pPr>
              <w:spacing w:after="0"/>
              <w:rPr>
                <w:sz w:val="14"/>
                <w:szCs w:val="14"/>
                <w:color w:val="auto"/>
              </w:rPr>
            </w:pPr>
          </w:p>
        </w:tc>
        <w:tc>
          <w:tcPr>
            <w:tcW w:w="17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56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13"/>
        </w:trPr>
        <w:tc>
          <w:tcPr>
            <w:tcW w:w="2640" w:type="dxa"/>
            <w:vAlign w:val="bottom"/>
          </w:tcPr>
          <w:p>
            <w:pPr>
              <w:spacing w:after="0"/>
              <w:rPr>
                <w:sz w:val="24"/>
                <w:szCs w:val="24"/>
                <w:color w:val="auto"/>
              </w:rPr>
            </w:pPr>
          </w:p>
        </w:tc>
        <w:tc>
          <w:tcPr>
            <w:tcW w:w="4720" w:type="dxa"/>
            <w:vAlign w:val="bottom"/>
            <w:gridSpan w:val="5"/>
          </w:tcPr>
          <w:p>
            <w:pPr>
              <w:jc w:val="center"/>
              <w:ind w:left="1215"/>
              <w:spacing w:after="0"/>
              <w:rPr>
                <w:sz w:val="20"/>
                <w:szCs w:val="20"/>
                <w:color w:val="auto"/>
              </w:rPr>
            </w:pPr>
            <w:r>
              <w:rPr>
                <w:rFonts w:ascii="Arial" w:cs="Arial" w:eastAsia="Arial" w:hAnsi="Arial"/>
                <w:sz w:val="13"/>
                <w:szCs w:val="13"/>
                <w:color w:val="auto"/>
                <w:w w:val="94"/>
              </w:rPr>
              <w:t>SEE “SECURITIES BEING OFFERED” AT PAGE 44</w:t>
            </w:r>
          </w:p>
        </w:tc>
        <w:tc>
          <w:tcPr>
            <w:tcW w:w="100" w:type="dxa"/>
            <w:vAlign w:val="bottom"/>
          </w:tcPr>
          <w:p>
            <w:pPr>
              <w:spacing w:after="0"/>
              <w:rPr>
                <w:sz w:val="24"/>
                <w:szCs w:val="24"/>
                <w:color w:val="auto"/>
              </w:rPr>
            </w:pPr>
          </w:p>
        </w:tc>
        <w:tc>
          <w:tcPr>
            <w:tcW w:w="17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301"/>
        </w:trPr>
        <w:tc>
          <w:tcPr>
            <w:tcW w:w="2640" w:type="dxa"/>
            <w:vAlign w:val="bottom"/>
          </w:tcPr>
          <w:p>
            <w:pPr>
              <w:spacing w:after="0"/>
              <w:rPr>
                <w:sz w:val="24"/>
                <w:szCs w:val="24"/>
                <w:color w:val="auto"/>
              </w:rPr>
            </w:pPr>
          </w:p>
        </w:tc>
        <w:tc>
          <w:tcPr>
            <w:tcW w:w="25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820" w:type="dxa"/>
            <w:vAlign w:val="bottom"/>
            <w:gridSpan w:val="2"/>
          </w:tcPr>
          <w:p>
            <w:pPr>
              <w:jc w:val="right"/>
              <w:ind w:right="240"/>
              <w:spacing w:after="0"/>
              <w:rPr>
                <w:sz w:val="20"/>
                <w:szCs w:val="20"/>
                <w:color w:val="auto"/>
              </w:rPr>
            </w:pPr>
            <w:r>
              <w:rPr>
                <w:rFonts w:ascii="Arial" w:cs="Arial" w:eastAsia="Arial" w:hAnsi="Arial"/>
                <w:sz w:val="13"/>
                <w:szCs w:val="13"/>
                <w:b w:val="1"/>
                <w:bCs w:val="1"/>
                <w:color w:val="auto"/>
                <w:w w:val="93"/>
              </w:rPr>
              <w:t>Underwriting Discount and</w:t>
            </w:r>
          </w:p>
        </w:tc>
        <w:tc>
          <w:tcPr>
            <w:tcW w:w="1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660" w:type="dxa"/>
            <w:vAlign w:val="bottom"/>
            <w:gridSpan w:val="2"/>
          </w:tcPr>
          <w:p>
            <w:pPr>
              <w:jc w:val="right"/>
              <w:ind w:right="500"/>
              <w:spacing w:after="0"/>
              <w:rPr>
                <w:sz w:val="20"/>
                <w:szCs w:val="20"/>
                <w:color w:val="auto"/>
              </w:rPr>
            </w:pPr>
            <w:r>
              <w:rPr>
                <w:rFonts w:ascii="Arial" w:cs="Arial" w:eastAsia="Arial" w:hAnsi="Arial"/>
                <w:sz w:val="13"/>
                <w:szCs w:val="13"/>
                <w:b w:val="1"/>
                <w:bCs w:val="1"/>
                <w:color w:val="auto"/>
                <w:w w:val="97"/>
              </w:rPr>
              <w:t>Proceeds to Issuer</w:t>
            </w:r>
          </w:p>
        </w:tc>
      </w:tr>
      <w:tr>
        <w:trPr>
          <w:trHeight w:val="169"/>
        </w:trPr>
        <w:tc>
          <w:tcPr>
            <w:tcW w:w="2640" w:type="dxa"/>
            <w:vAlign w:val="bottom"/>
          </w:tcPr>
          <w:p>
            <w:pPr>
              <w:spacing w:after="0"/>
              <w:rPr>
                <w:sz w:val="20"/>
                <w:szCs w:val="20"/>
                <w:color w:val="auto"/>
              </w:rPr>
            </w:pPr>
            <w:r>
              <w:rPr>
                <w:rFonts w:ascii="Arial" w:cs="Arial" w:eastAsia="Arial" w:hAnsi="Arial"/>
                <w:sz w:val="13"/>
                <w:szCs w:val="13"/>
                <w:b w:val="1"/>
                <w:bCs w:val="1"/>
                <w:color w:val="auto"/>
              </w:rPr>
              <w:t>Class A Common Stock</w:t>
            </w:r>
          </w:p>
        </w:tc>
        <w:tc>
          <w:tcPr>
            <w:tcW w:w="25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760" w:type="dxa"/>
            <w:vAlign w:val="bottom"/>
            <w:gridSpan w:val="2"/>
          </w:tcPr>
          <w:p>
            <w:pPr>
              <w:ind w:left="220"/>
              <w:spacing w:after="0"/>
              <w:rPr>
                <w:sz w:val="20"/>
                <w:szCs w:val="20"/>
                <w:color w:val="auto"/>
              </w:rPr>
            </w:pPr>
            <w:r>
              <w:rPr>
                <w:rFonts w:ascii="Arial" w:cs="Arial" w:eastAsia="Arial" w:hAnsi="Arial"/>
                <w:sz w:val="13"/>
                <w:szCs w:val="13"/>
                <w:b w:val="1"/>
                <w:bCs w:val="1"/>
                <w:color w:val="auto"/>
              </w:rPr>
              <w:t>Price to Public</w:t>
            </w:r>
          </w:p>
        </w:tc>
        <w:tc>
          <w:tcPr>
            <w:tcW w:w="100" w:type="dxa"/>
            <w:vAlign w:val="bottom"/>
          </w:tcPr>
          <w:p>
            <w:pPr>
              <w:spacing w:after="0"/>
              <w:rPr>
                <w:sz w:val="14"/>
                <w:szCs w:val="14"/>
                <w:color w:val="auto"/>
              </w:rPr>
            </w:pPr>
          </w:p>
        </w:tc>
        <w:tc>
          <w:tcPr>
            <w:tcW w:w="1820" w:type="dxa"/>
            <w:vAlign w:val="bottom"/>
            <w:gridSpan w:val="2"/>
          </w:tcPr>
          <w:p>
            <w:pPr>
              <w:jc w:val="right"/>
              <w:ind w:right="600"/>
              <w:spacing w:after="0"/>
              <w:rPr>
                <w:sz w:val="20"/>
                <w:szCs w:val="20"/>
                <w:color w:val="auto"/>
              </w:rPr>
            </w:pPr>
            <w:r>
              <w:rPr>
                <w:rFonts w:ascii="Arial" w:cs="Arial" w:eastAsia="Arial" w:hAnsi="Arial"/>
                <w:sz w:val="13"/>
                <w:szCs w:val="13"/>
                <w:b w:val="1"/>
                <w:bCs w:val="1"/>
                <w:color w:val="auto"/>
              </w:rPr>
              <w:t>Commissions *</w:t>
            </w:r>
          </w:p>
        </w:tc>
        <w:tc>
          <w:tcPr>
            <w:tcW w:w="10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660" w:type="dxa"/>
            <w:vAlign w:val="bottom"/>
            <w:gridSpan w:val="2"/>
          </w:tcPr>
          <w:p>
            <w:pPr>
              <w:jc w:val="right"/>
              <w:ind w:right="540"/>
              <w:spacing w:after="0"/>
              <w:rPr>
                <w:sz w:val="20"/>
                <w:szCs w:val="20"/>
                <w:color w:val="auto"/>
              </w:rPr>
            </w:pPr>
            <w:r>
              <w:rPr>
                <w:rFonts w:ascii="Arial" w:cs="Arial" w:eastAsia="Arial" w:hAnsi="Arial"/>
                <w:sz w:val="13"/>
                <w:szCs w:val="13"/>
                <w:b w:val="1"/>
                <w:bCs w:val="1"/>
                <w:color w:val="auto"/>
              </w:rPr>
              <w:t>Before Expenses</w:t>
            </w:r>
          </w:p>
        </w:tc>
      </w:tr>
      <w:tr>
        <w:trPr>
          <w:trHeight w:val="147"/>
        </w:trPr>
        <w:tc>
          <w:tcPr>
            <w:tcW w:w="2640" w:type="dxa"/>
            <w:vAlign w:val="bottom"/>
            <w:tcBorders>
              <w:top w:val="single" w:sz="8" w:color="auto"/>
            </w:tcBorders>
            <w:shd w:val="clear" w:color="auto" w:fill="CCEEFF"/>
          </w:tcPr>
          <w:p>
            <w:pPr>
              <w:spacing w:after="0" w:line="147" w:lineRule="exact"/>
              <w:rPr>
                <w:sz w:val="20"/>
                <w:szCs w:val="20"/>
                <w:color w:val="auto"/>
              </w:rPr>
            </w:pPr>
            <w:r>
              <w:rPr>
                <w:rFonts w:ascii="Arial" w:cs="Arial" w:eastAsia="Arial" w:hAnsi="Arial"/>
                <w:sz w:val="13"/>
                <w:szCs w:val="13"/>
                <w:color w:val="auto"/>
              </w:rPr>
              <w:t>Price Per Share</w:t>
            </w:r>
          </w:p>
        </w:tc>
        <w:tc>
          <w:tcPr>
            <w:tcW w:w="2560" w:type="dxa"/>
            <w:vAlign w:val="bottom"/>
            <w:tcBorders>
              <w:top w:val="single" w:sz="8" w:color="auto"/>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tcBorders>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154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10.00</w:t>
            </w:r>
          </w:p>
        </w:tc>
        <w:tc>
          <w:tcPr>
            <w:tcW w:w="22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w w:val="82"/>
              </w:rPr>
              <w:t>$</w:t>
            </w:r>
          </w:p>
        </w:tc>
        <w:tc>
          <w:tcPr>
            <w:tcW w:w="170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0.70</w:t>
            </w:r>
          </w:p>
        </w:tc>
        <w:tc>
          <w:tcPr>
            <w:tcW w:w="12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40" w:type="dxa"/>
            <w:vAlign w:val="bottom"/>
            <w:tcBorders>
              <w:top w:val="single" w:sz="8" w:color="auto"/>
            </w:tcBorders>
            <w:shd w:val="clear" w:color="auto" w:fill="CCEEFF"/>
          </w:tcPr>
          <w:p>
            <w:pPr>
              <w:jc w:val="right"/>
              <w:ind w:right="131"/>
              <w:spacing w:after="0"/>
              <w:rPr>
                <w:sz w:val="20"/>
                <w:szCs w:val="20"/>
                <w:color w:val="auto"/>
              </w:rPr>
            </w:pPr>
            <w:r>
              <w:rPr>
                <w:rFonts w:ascii="Arial" w:cs="Arial" w:eastAsia="Arial" w:hAnsi="Arial"/>
                <w:sz w:val="10"/>
                <w:szCs w:val="10"/>
                <w:color w:val="auto"/>
                <w:w w:val="71"/>
              </w:rPr>
              <w:t>$</w:t>
            </w:r>
          </w:p>
        </w:tc>
        <w:tc>
          <w:tcPr>
            <w:tcW w:w="15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9.30</w:t>
            </w:r>
          </w:p>
        </w:tc>
        <w:tc>
          <w:tcPr>
            <w:tcW w:w="100" w:type="dxa"/>
            <w:vAlign w:val="bottom"/>
            <w:tcBorders>
              <w:top w:val="single" w:sz="8" w:color="CCEEFF"/>
            </w:tcBorders>
            <w:shd w:val="clear" w:color="auto" w:fill="CCEEFF"/>
          </w:tcPr>
          <w:p>
            <w:pPr>
              <w:spacing w:after="0"/>
              <w:rPr>
                <w:sz w:val="12"/>
                <w:szCs w:val="12"/>
                <w:color w:val="auto"/>
              </w:rPr>
            </w:pPr>
          </w:p>
        </w:tc>
      </w:tr>
      <w:tr>
        <w:trPr>
          <w:trHeight w:val="164"/>
        </w:trPr>
        <w:tc>
          <w:tcPr>
            <w:tcW w:w="2640" w:type="dxa"/>
            <w:vAlign w:val="bottom"/>
          </w:tcPr>
          <w:p>
            <w:pPr>
              <w:spacing w:after="0"/>
              <w:rPr>
                <w:sz w:val="20"/>
                <w:szCs w:val="20"/>
                <w:color w:val="auto"/>
              </w:rPr>
            </w:pPr>
            <w:r>
              <w:rPr>
                <w:rFonts w:ascii="Arial" w:cs="Arial" w:eastAsia="Arial" w:hAnsi="Arial"/>
                <w:sz w:val="13"/>
                <w:szCs w:val="13"/>
                <w:color w:val="auto"/>
              </w:rPr>
              <w:t>Total Maximum</w:t>
            </w:r>
          </w:p>
        </w:tc>
        <w:tc>
          <w:tcPr>
            <w:tcW w:w="2960" w:type="dxa"/>
            <w:vAlign w:val="bottom"/>
            <w:gridSpan w:val="3"/>
          </w:tcPr>
          <w:p>
            <w:pPr>
              <w:jc w:val="right"/>
              <w:ind w:right="171"/>
              <w:spacing w:after="0"/>
              <w:rPr>
                <w:sz w:val="20"/>
                <w:szCs w:val="20"/>
                <w:color w:val="auto"/>
              </w:rPr>
            </w:pPr>
            <w:r>
              <w:rPr>
                <w:rFonts w:ascii="Arial" w:cs="Arial" w:eastAsia="Arial" w:hAnsi="Arial"/>
                <w:sz w:val="13"/>
                <w:szCs w:val="13"/>
                <w:color w:val="auto"/>
              </w:rPr>
              <w:t>$</w:t>
            </w:r>
          </w:p>
        </w:tc>
        <w:tc>
          <w:tcPr>
            <w:tcW w:w="1760" w:type="dxa"/>
            <w:vAlign w:val="bottom"/>
            <w:gridSpan w:val="2"/>
          </w:tcPr>
          <w:p>
            <w:pPr>
              <w:jc w:val="right"/>
              <w:ind w:right="220"/>
              <w:spacing w:after="0"/>
              <w:rPr>
                <w:sz w:val="20"/>
                <w:szCs w:val="20"/>
                <w:color w:val="auto"/>
              </w:rPr>
            </w:pPr>
            <w:r>
              <w:rPr>
                <w:rFonts w:ascii="Arial" w:cs="Arial" w:eastAsia="Arial" w:hAnsi="Arial"/>
                <w:sz w:val="13"/>
                <w:szCs w:val="13"/>
                <w:color w:val="auto"/>
              </w:rPr>
              <w:t>40,000,000</w:t>
            </w:r>
          </w:p>
        </w:tc>
        <w:tc>
          <w:tcPr>
            <w:tcW w:w="100" w:type="dxa"/>
            <w:vAlign w:val="bottom"/>
          </w:tcPr>
          <w:p>
            <w:pPr>
              <w:jc w:val="right"/>
              <w:spacing w:after="0"/>
              <w:rPr>
                <w:sz w:val="20"/>
                <w:szCs w:val="20"/>
                <w:color w:val="auto"/>
              </w:rPr>
            </w:pPr>
            <w:r>
              <w:rPr>
                <w:rFonts w:ascii="Arial" w:cs="Arial" w:eastAsia="Arial" w:hAnsi="Arial"/>
                <w:sz w:val="13"/>
                <w:szCs w:val="13"/>
                <w:color w:val="auto"/>
                <w:w w:val="82"/>
              </w:rPr>
              <w:t>$</w:t>
            </w:r>
          </w:p>
        </w:tc>
        <w:tc>
          <w:tcPr>
            <w:tcW w:w="1820" w:type="dxa"/>
            <w:vAlign w:val="bottom"/>
            <w:gridSpan w:val="2"/>
          </w:tcPr>
          <w:p>
            <w:pPr>
              <w:jc w:val="right"/>
              <w:ind w:right="120"/>
              <w:spacing w:after="0"/>
              <w:rPr>
                <w:sz w:val="20"/>
                <w:szCs w:val="20"/>
                <w:color w:val="auto"/>
              </w:rPr>
            </w:pPr>
            <w:r>
              <w:rPr>
                <w:rFonts w:ascii="Arial" w:cs="Arial" w:eastAsia="Arial" w:hAnsi="Arial"/>
                <w:sz w:val="13"/>
                <w:szCs w:val="13"/>
                <w:color w:val="auto"/>
              </w:rPr>
              <w:t>2,800,000</w:t>
            </w:r>
          </w:p>
        </w:tc>
        <w:tc>
          <w:tcPr>
            <w:tcW w:w="340" w:type="dxa"/>
            <w:vAlign w:val="bottom"/>
            <w:gridSpan w:val="2"/>
          </w:tcPr>
          <w:p>
            <w:pPr>
              <w:jc w:val="right"/>
              <w:ind w:right="131"/>
              <w:spacing w:after="0"/>
              <w:rPr>
                <w:sz w:val="20"/>
                <w:szCs w:val="20"/>
                <w:color w:val="auto"/>
              </w:rPr>
            </w:pPr>
            <w:r>
              <w:rPr>
                <w:rFonts w:ascii="Arial" w:cs="Arial" w:eastAsia="Arial" w:hAnsi="Arial"/>
                <w:sz w:val="13"/>
                <w:szCs w:val="13"/>
                <w:color w:val="auto"/>
              </w:rPr>
              <w:t>$</w:t>
            </w:r>
          </w:p>
        </w:tc>
        <w:tc>
          <w:tcPr>
            <w:tcW w:w="1660" w:type="dxa"/>
            <w:vAlign w:val="bottom"/>
            <w:gridSpan w:val="2"/>
          </w:tcPr>
          <w:p>
            <w:pPr>
              <w:jc w:val="right"/>
              <w:ind w:right="100"/>
              <w:spacing w:after="0"/>
              <w:rPr>
                <w:sz w:val="20"/>
                <w:szCs w:val="20"/>
                <w:color w:val="auto"/>
              </w:rPr>
            </w:pPr>
            <w:r>
              <w:rPr>
                <w:rFonts w:ascii="Arial" w:cs="Arial" w:eastAsia="Arial" w:hAnsi="Arial"/>
                <w:sz w:val="13"/>
                <w:szCs w:val="13"/>
                <w:color w:val="auto"/>
              </w:rPr>
              <w:t>37,200,000</w:t>
            </w:r>
          </w:p>
        </w:tc>
      </w:tr>
    </w:tbl>
    <w:p>
      <w:pPr>
        <w:spacing w:after="0" w:line="140" w:lineRule="exact"/>
        <w:rPr>
          <w:sz w:val="24"/>
          <w:szCs w:val="24"/>
          <w:color w:val="auto"/>
        </w:rPr>
      </w:pPr>
    </w:p>
    <w:p>
      <w:pPr>
        <w:ind w:left="320" w:right="20" w:firstLine="7"/>
        <w:spacing w:after="0" w:line="320" w:lineRule="auto"/>
        <w:tabs>
          <w:tab w:leader="none" w:pos="418" w:val="left"/>
        </w:tabs>
        <w:numPr>
          <w:ilvl w:val="0"/>
          <w:numId w:val="1"/>
        </w:numPr>
        <w:rPr>
          <w:rFonts w:ascii="Arial" w:cs="Arial" w:eastAsia="Arial" w:hAnsi="Arial"/>
          <w:sz w:val="11"/>
          <w:szCs w:val="11"/>
          <w:color w:val="auto"/>
        </w:rPr>
      </w:pPr>
      <w:r>
        <w:rPr>
          <w:rFonts w:ascii="Arial" w:cs="Arial" w:eastAsia="Arial" w:hAnsi="Arial"/>
          <w:sz w:val="11"/>
          <w:szCs w:val="11"/>
          <w:color w:val="auto"/>
        </w:rPr>
        <w:t>The Company has engaged Digital Offering, LLC (“Digital Offering”) to act as lead selling agent (which we sometimes refer to as the “Selling Agent”) to offer (the “offering”) the shares of Class A Common Stock (which we sometimes refer to as the “Shares” or “Class A Common Stock”) to prospective investors on a “best efforts” basis. In addition, the Selling Agent may engage one or more sub-agents or selected dealers to assist in its marketing efforts. The Selling Agent is not purchasing the Shares offered by us and is not required to sell any specific number or dollar amount of Shares in the offering before a closing occurs. The Company will pay a cash commission of 7.00% to Digital Offering on sales of the Shares. See “Plan of Distribution” on page 52 for details of compensation payable in connection with the offering.</w:t>
      </w:r>
    </w:p>
    <w:p>
      <w:pPr>
        <w:spacing w:after="0" w:line="108" w:lineRule="exact"/>
        <w:rPr>
          <w:sz w:val="24"/>
          <w:szCs w:val="24"/>
          <w:color w:val="auto"/>
        </w:rPr>
      </w:pPr>
    </w:p>
    <w:p>
      <w:pPr>
        <w:ind w:right="120"/>
        <w:spacing w:after="0" w:line="255" w:lineRule="auto"/>
        <w:rPr>
          <w:sz w:val="20"/>
          <w:szCs w:val="20"/>
          <w:color w:val="auto"/>
        </w:rPr>
      </w:pPr>
      <w:r>
        <w:rPr>
          <w:rFonts w:ascii="Arial" w:cs="Arial" w:eastAsia="Arial" w:hAnsi="Arial"/>
          <w:sz w:val="13"/>
          <w:szCs w:val="13"/>
          <w:color w:val="auto"/>
        </w:rPr>
        <w:t>The Company may undertake one or more closings on a rolling basis; however, it currently contemplates that only one closing will occur. There is no minimum number of shares that must be sold by us for a closing in the offering to occur. Until we complete a closing, the proceeds for the offering will be kept in one or more escrow accounts, subject to certain exceptions with respect to those investors using a selling agent that utilizes a clearing firm. At a closing, the net proceeds will be distributed to the Company and the associated Shares will be issued to investors. If there are no closings or if funds remain in the escrow account upon termination of this offering without any corresponding closing, the proceeds in escrow will be promptly returned to investors, without deduction and without interest. Wilmington Trust, N.A. will serve as the escrow agent for all investors that may participate in this offering that are using the Lead Selling Agent and Prime Trust, LLC will serve as escrow agent for investors that participate in the offering through StartEngine Primary, LLC.</w:t>
      </w:r>
    </w:p>
    <w:p>
      <w:pPr>
        <w:spacing w:after="0" w:line="142" w:lineRule="exact"/>
        <w:rPr>
          <w:sz w:val="24"/>
          <w:szCs w:val="24"/>
          <w:color w:val="auto"/>
        </w:rPr>
      </w:pPr>
    </w:p>
    <w:p>
      <w:pPr>
        <w:ind w:right="60"/>
        <w:spacing w:after="0" w:line="258" w:lineRule="auto"/>
        <w:rPr>
          <w:sz w:val="20"/>
          <w:szCs w:val="20"/>
          <w:color w:val="auto"/>
        </w:rPr>
      </w:pPr>
      <w:r>
        <w:rPr>
          <w:rFonts w:ascii="Arial" w:cs="Arial" w:eastAsia="Arial" w:hAnsi="Arial"/>
          <w:sz w:val="13"/>
          <w:szCs w:val="13"/>
          <w:color w:val="auto"/>
        </w:rPr>
        <w:t>We expect to commence the offer and sale of the Shares as of the date on which the Offering Statement of which this Offering Circular is a part is qualified by the Securities and Exchange Commission (the “Commission”). Prior to this offering, there has been no public market for our Class A Common Stock. We have applied to list our Class A Common Stock on the Nasdaq Global Market (“Nasdaq”) under the symbol “KSCP.” We expect our Class A Common Stock to begin trading on Nasdaq upon completion of the offering. The Company intends to file a registration statement on Form 8-A to register the Class A Common Stock with the Commission and list publicly following the termination of this offering.</w:t>
      </w:r>
    </w:p>
    <w:p>
      <w:pPr>
        <w:spacing w:after="0" w:line="139" w:lineRule="exact"/>
        <w:rPr>
          <w:sz w:val="24"/>
          <w:szCs w:val="24"/>
          <w:color w:val="auto"/>
        </w:rPr>
      </w:pPr>
    </w:p>
    <w:p>
      <w:pPr>
        <w:spacing w:after="0"/>
        <w:rPr>
          <w:sz w:val="20"/>
          <w:szCs w:val="20"/>
          <w:color w:val="auto"/>
        </w:rPr>
      </w:pPr>
      <w:r>
        <w:rPr>
          <w:rFonts w:ascii="Arial" w:cs="Arial" w:eastAsia="Arial" w:hAnsi="Arial"/>
          <w:sz w:val="13"/>
          <w:szCs w:val="13"/>
          <w:color w:val="auto"/>
        </w:rPr>
        <w:t>The Company expects that the amount of expenses of the offering that it will pay will be approximately $1,200,000, not including commissions or state filing fees.</w:t>
      </w:r>
    </w:p>
    <w:p>
      <w:pPr>
        <w:spacing w:after="0" w:line="163" w:lineRule="exact"/>
        <w:rPr>
          <w:sz w:val="24"/>
          <w:szCs w:val="24"/>
          <w:color w:val="auto"/>
        </w:rPr>
      </w:pPr>
    </w:p>
    <w:p>
      <w:pPr>
        <w:ind w:right="200"/>
        <w:spacing w:after="0" w:line="274" w:lineRule="auto"/>
        <w:rPr>
          <w:sz w:val="20"/>
          <w:szCs w:val="20"/>
          <w:color w:val="auto"/>
        </w:rPr>
      </w:pPr>
      <w:r>
        <w:rPr>
          <w:rFonts w:ascii="Arial" w:cs="Arial" w:eastAsia="Arial" w:hAnsi="Arial"/>
          <w:sz w:val="13"/>
          <w:szCs w:val="13"/>
          <w:color w:val="auto"/>
        </w:rPr>
        <w:t>We are an “emerging growth company” as defined in the Jumpstart Our Business Startups Act of 2012, and as such, we have elected to take advantage of certain reduced public company reporting requirements for this Offering Circular and future filings. See “Risk Factors” and “Summary -- Implications of Being an Emerging Growth Company.”</w:t>
      </w:r>
    </w:p>
    <w:p>
      <w:pPr>
        <w:spacing w:after="0" w:line="124" w:lineRule="exact"/>
        <w:rPr>
          <w:sz w:val="24"/>
          <w:szCs w:val="24"/>
          <w:color w:val="auto"/>
        </w:rPr>
      </w:pPr>
    </w:p>
    <w:p>
      <w:pPr>
        <w:jc w:val="center"/>
        <w:ind w:right="20"/>
        <w:spacing w:after="0" w:line="281" w:lineRule="auto"/>
        <w:rPr>
          <w:sz w:val="20"/>
          <w:szCs w:val="20"/>
          <w:color w:val="auto"/>
        </w:rPr>
      </w:pPr>
      <w:r>
        <w:rPr>
          <w:rFonts w:ascii="Arial" w:cs="Arial" w:eastAsia="Arial" w:hAnsi="Arial"/>
          <w:sz w:val="13"/>
          <w:szCs w:val="13"/>
          <w:b w:val="1"/>
          <w:bCs w:val="1"/>
          <w:color w:val="auto"/>
        </w:rPr>
        <w:t>This offering will terminate at the earlier of (1) the date at which the maximum offering amount has been sold, (2) the date which is one year from this offering being qualified by the Commission, or (3) the date at which the offering is earlier terminated by the company at its sole discretion (the “Termination Date”).</w:t>
      </w:r>
    </w:p>
    <w:p>
      <w:pPr>
        <w:spacing w:after="0" w:line="119" w:lineRule="exact"/>
        <w:rPr>
          <w:sz w:val="24"/>
          <w:szCs w:val="24"/>
          <w:color w:val="auto"/>
        </w:rPr>
      </w:pPr>
    </w:p>
    <w:p>
      <w:pPr>
        <w:jc w:val="center"/>
        <w:ind w:right="20"/>
        <w:spacing w:after="0" w:line="261" w:lineRule="auto"/>
        <w:rPr>
          <w:sz w:val="20"/>
          <w:szCs w:val="20"/>
          <w:color w:val="auto"/>
        </w:rPr>
      </w:pPr>
      <w:r>
        <w:rPr>
          <w:rFonts w:ascii="Arial" w:cs="Arial" w:eastAsia="Arial" w:hAnsi="Arial"/>
          <w:sz w:val="13"/>
          <w:szCs w:val="13"/>
          <w:b w:val="1"/>
          <w:bCs w:val="1"/>
          <w:color w:val="auto"/>
        </w:rPr>
        <w:t>THE UNITED STATES SECURITIES AND EXCHANGE COMMISSION DOES NOT PASS UPON THE MERITS OR GIVE ITS APPROVAL OF ANY SECURITIES OFFERED OR THE TERMS OF THE OFFERING, NOR DOES IT PASS UPON THE ACCURACY OR COMPLETENESS OF ANY OFFERING CIRCULAR OR OTHER SOLICITATION MATERIALS. THESE SECURITIES ARE OFFERED PURSUANT TO AN EXEMPTION FROM REGISTRATION WITH THE COMMISSION; HOWEVER THE COMMISSION HAS NOT MADE AN INDEPENDENT DETERMINATION THAT THE SECURITIES OFFERED ARE EXEMPT FROM REGISTRATION</w:t>
      </w:r>
    </w:p>
    <w:p>
      <w:pPr>
        <w:spacing w:after="0" w:line="132" w:lineRule="exact"/>
        <w:rPr>
          <w:sz w:val="24"/>
          <w:szCs w:val="24"/>
          <w:color w:val="auto"/>
        </w:rPr>
      </w:pPr>
    </w:p>
    <w:p>
      <w:pPr>
        <w:jc w:val="center"/>
        <w:ind w:right="20"/>
        <w:spacing w:after="0" w:line="261" w:lineRule="auto"/>
        <w:rPr>
          <w:sz w:val="20"/>
          <w:szCs w:val="20"/>
          <w:color w:val="auto"/>
        </w:rPr>
      </w:pPr>
      <w:r>
        <w:rPr>
          <w:rFonts w:ascii="Arial" w:cs="Arial" w:eastAsia="Arial" w:hAnsi="Arial"/>
          <w:sz w:val="13"/>
          <w:szCs w:val="13"/>
          <w:b w:val="1"/>
          <w:bCs w:val="1"/>
          <w:color w:val="auto"/>
        </w:rPr>
        <w:t>GENERALLY NO SALE MAY BE MADE TO YOU IN THIS OFFERING IF THE AGGREGATE PURCHASE PRICE YOU PAY IS MORE THAN 10% OF THE GREATER OF YOUR ANNUAL INCOME OR NET WORTH. DIFFERENT RULES APPLY TO ACCREDITED INVESTORS AND NON-NATURAL PERSONS. BEFORE MAKING ANY REPRESENTATION THAT YOUR INVESTMENT DOES NOT EXCEED APPLICABLE THRESHOLDS, WE ENCOURAGE YOU TO REVIEW RULE 251(d)(2)(i)(C) OF REGULATION A. FOR GENERAL INFORMATION ON INVESTING, WE ENCOURAGE YOU TO REFER TO www.investor.gov.</w:t>
      </w:r>
    </w:p>
    <w:p>
      <w:pPr>
        <w:spacing w:after="0" w:line="132" w:lineRule="exact"/>
        <w:rPr>
          <w:sz w:val="24"/>
          <w:szCs w:val="24"/>
          <w:color w:val="auto"/>
        </w:rPr>
      </w:pPr>
    </w:p>
    <w:p>
      <w:pPr>
        <w:jc w:val="center"/>
        <w:ind w:right="20"/>
        <w:spacing w:after="0"/>
        <w:rPr>
          <w:sz w:val="20"/>
          <w:szCs w:val="20"/>
          <w:color w:val="auto"/>
        </w:rPr>
      </w:pPr>
      <w:r>
        <w:rPr>
          <w:rFonts w:ascii="Arial" w:cs="Arial" w:eastAsia="Arial" w:hAnsi="Arial"/>
          <w:sz w:val="13"/>
          <w:szCs w:val="13"/>
          <w:b w:val="1"/>
          <w:bCs w:val="1"/>
          <w:color w:val="auto"/>
        </w:rPr>
        <w:t>This offering is inherently risky. See “Risk Factors” on page 5.</w:t>
      </w:r>
    </w:p>
    <w:p>
      <w:pPr>
        <w:spacing w:after="0" w:line="163" w:lineRule="exact"/>
        <w:rPr>
          <w:sz w:val="24"/>
          <w:szCs w:val="24"/>
          <w:color w:val="auto"/>
        </w:rPr>
      </w:pPr>
    </w:p>
    <w:p>
      <w:pPr>
        <w:jc w:val="center"/>
        <w:spacing w:after="0"/>
        <w:rPr>
          <w:sz w:val="20"/>
          <w:szCs w:val="20"/>
          <w:color w:val="auto"/>
        </w:rPr>
      </w:pPr>
      <w:r>
        <w:rPr>
          <w:rFonts w:ascii="Arial" w:cs="Arial" w:eastAsia="Arial" w:hAnsi="Arial"/>
          <w:sz w:val="13"/>
          <w:szCs w:val="13"/>
          <w:b w:val="1"/>
          <w:bCs w:val="1"/>
          <w:color w:val="auto"/>
        </w:rPr>
        <w:t>Sales of these securities will commence on approximately December 1, 2021.</w:t>
      </w:r>
    </w:p>
    <w:p>
      <w:pPr>
        <w:spacing w:after="0" w:line="163" w:lineRule="exact"/>
        <w:rPr>
          <w:sz w:val="24"/>
          <w:szCs w:val="24"/>
          <w:color w:val="auto"/>
        </w:rPr>
      </w:pPr>
    </w:p>
    <w:p>
      <w:pPr>
        <w:jc w:val="center"/>
        <w:spacing w:after="0"/>
        <w:rPr>
          <w:sz w:val="20"/>
          <w:szCs w:val="20"/>
          <w:color w:val="auto"/>
        </w:rPr>
      </w:pPr>
      <w:r>
        <w:rPr>
          <w:rFonts w:ascii="Arial" w:cs="Arial" w:eastAsia="Arial" w:hAnsi="Arial"/>
          <w:sz w:val="13"/>
          <w:szCs w:val="13"/>
          <w:b w:val="1"/>
          <w:bCs w:val="1"/>
          <w:color w:val="auto"/>
        </w:rPr>
        <w:t>The Company is following the format of Part I of Form S-1 pursuant to the general instructions of Part II(a)(1)(ii) of Form 1-A.</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-635</wp:posOffset>
            </wp:positionH>
            <wp:positionV relativeFrom="paragraph">
              <wp:posOffset>323215</wp:posOffset>
            </wp:positionV>
            <wp:extent cx="7170420" cy="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300"/>
          </w:cols>
          <w:pgMar w:left="300" w:top="361" w:right="299" w:bottom="1440" w:gutter="0" w:footer="0" w:header="0"/>
        </w:sectPr>
      </w:pPr>
    </w:p>
    <w:bookmarkStart w:id="1" w:name="page2"/>
    <w:bookmarkEnd w:id="1"/>
    <w:tbl>
      <w:tblPr>
        <w:tblLayout w:type="fixed"/>
        <w:tblInd w:w="0" w:type="dxa"/>
        <w:tblCellMar>
          <w:top w:w="0" w:type="dxa"/>
          <w:left w:w="0" w:type="dxa"/>
          <w:bottom w:w="0" w:type="dxa"/>
          <w:right w:w="0" w:type="dxa"/>
        </w:tblCellMar>
      </w:tblPr>
      <w:tr>
        <w:trPr>
          <w:trHeight w:val="168"/>
        </w:trPr>
        <w:tc>
          <w:tcPr>
            <w:tcW w:w="20" w:type="dxa"/>
            <w:vAlign w:val="bottom"/>
          </w:tcPr>
          <w:p>
            <w:pPr>
              <w:spacing w:after="0"/>
              <w:rPr>
                <w:sz w:val="14"/>
                <w:szCs w:val="14"/>
                <w:color w:val="auto"/>
              </w:rPr>
            </w:pPr>
          </w:p>
        </w:tc>
        <w:tc>
          <w:tcPr>
            <w:tcW w:w="4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120" w:type="dxa"/>
            <w:vAlign w:val="bottom"/>
          </w:tcPr>
          <w:p>
            <w:pPr>
              <w:spacing w:after="0"/>
              <w:rPr>
                <w:sz w:val="14"/>
                <w:szCs w:val="14"/>
                <w:color w:val="auto"/>
              </w:rPr>
            </w:pPr>
          </w:p>
        </w:tc>
        <w:tc>
          <w:tcPr>
            <w:tcW w:w="6560" w:type="dxa"/>
            <w:vAlign w:val="bottom"/>
            <w:gridSpan w:val="2"/>
          </w:tcPr>
          <w:p>
            <w:pPr>
              <w:ind w:left="320"/>
              <w:spacing w:after="0"/>
              <w:rPr>
                <w:sz w:val="20"/>
                <w:szCs w:val="20"/>
                <w:color w:val="auto"/>
              </w:rPr>
            </w:pPr>
            <w:r>
              <w:rPr>
                <w:rFonts w:ascii="Arial" w:cs="Arial" w:eastAsia="Arial" w:hAnsi="Arial"/>
                <w:sz w:val="13"/>
                <w:szCs w:val="13"/>
                <w:b w:val="1"/>
                <w:bCs w:val="1"/>
                <w:color w:val="auto"/>
              </w:rPr>
              <w:t>TABLE OF CONTENTS</w:t>
            </w:r>
          </w:p>
        </w:tc>
        <w:tc>
          <w:tcPr>
            <w:tcW w:w="1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8"/>
        </w:trPr>
        <w:tc>
          <w:tcPr>
            <w:tcW w:w="20" w:type="dxa"/>
            <w:vAlign w:val="bottom"/>
            <w:vMerge w:val="restart"/>
          </w:tcPr>
          <w:p>
            <w:pPr>
              <w:spacing w:after="0"/>
              <w:rPr>
                <w:sz w:val="13"/>
                <w:szCs w:val="13"/>
                <w:color w:val="auto"/>
              </w:rPr>
            </w:pPr>
          </w:p>
        </w:tc>
        <w:tc>
          <w:tcPr>
            <w:tcW w:w="4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12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62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20" w:type="dxa"/>
            <w:vAlign w:val="bottom"/>
            <w:vMerge w:val="restart"/>
          </w:tcPr>
          <w:p>
            <w:pPr>
              <w:spacing w:after="0"/>
              <w:rPr>
                <w:sz w:val="13"/>
                <w:szCs w:val="13"/>
                <w:color w:val="auto"/>
              </w:rPr>
            </w:pPr>
          </w:p>
        </w:tc>
        <w:tc>
          <w:tcPr>
            <w:tcW w:w="0" w:type="dxa"/>
            <w:vAlign w:val="bottom"/>
          </w:tcPr>
          <w:p>
            <w:pPr>
              <w:spacing w:after="0"/>
              <w:rPr>
                <w:sz w:val="1"/>
                <w:szCs w:val="1"/>
                <w:color w:val="auto"/>
              </w:rPr>
            </w:pPr>
          </w:p>
        </w:tc>
      </w:tr>
      <w:tr>
        <w:trPr>
          <w:trHeight w:val="127"/>
        </w:trPr>
        <w:tc>
          <w:tcPr>
            <w:tcW w:w="20" w:type="dxa"/>
            <w:vAlign w:val="bottom"/>
            <w:vMerge w:val="continue"/>
          </w:tcPr>
          <w:p>
            <w:pPr>
              <w:spacing w:after="0"/>
              <w:rPr>
                <w:sz w:val="11"/>
                <w:szCs w:val="11"/>
                <w:color w:val="auto"/>
              </w:rPr>
            </w:pPr>
          </w:p>
        </w:tc>
        <w:tc>
          <w:tcPr>
            <w:tcW w:w="11140" w:type="dxa"/>
            <w:vAlign w:val="bottom"/>
            <w:tcBorders>
              <w:right w:val="single" w:sz="8" w:color="CCEEFF"/>
            </w:tcBorders>
            <w:gridSpan w:val="14"/>
            <w:shd w:val="clear" w:color="auto" w:fill="CCEEFF"/>
          </w:tcPr>
          <w:p>
            <w:pPr>
              <w:spacing w:after="0" w:line="128" w:lineRule="exact"/>
              <w:rPr>
                <w:rFonts w:ascii="Arial" w:cs="Arial" w:eastAsia="Arial" w:hAnsi="Arial"/>
                <w:sz w:val="13"/>
                <w:szCs w:val="13"/>
                <w:b w:val="1"/>
                <w:bCs w:val="1"/>
                <w:color w:val="0000EE"/>
              </w:rPr>
            </w:pPr>
            <w:hyperlink w:anchor="page4">
              <w:r>
                <w:rPr>
                  <w:rFonts w:ascii="Arial" w:cs="Arial" w:eastAsia="Arial" w:hAnsi="Arial"/>
                  <w:sz w:val="13"/>
                  <w:szCs w:val="13"/>
                  <w:b w:val="1"/>
                  <w:bCs w:val="1"/>
                  <w:color w:val="0000EE"/>
                </w:rPr>
                <w:t>Summary</w:t>
              </w:r>
            </w:hyperlink>
          </w:p>
        </w:tc>
        <w:tc>
          <w:tcPr>
            <w:tcW w:w="120" w:type="dxa"/>
            <w:vAlign w:val="bottom"/>
            <w:tcBorders>
              <w:right w:val="single" w:sz="8" w:color="CCEEFF"/>
            </w:tcBorders>
            <w:shd w:val="clear" w:color="auto" w:fill="CCEEFF"/>
          </w:tcPr>
          <w:p>
            <w:pPr>
              <w:jc w:val="right"/>
              <w:spacing w:after="0" w:line="128" w:lineRule="exact"/>
              <w:rPr>
                <w:rFonts w:ascii="Arial" w:cs="Arial" w:eastAsia="Arial" w:hAnsi="Arial"/>
                <w:sz w:val="13"/>
                <w:szCs w:val="13"/>
                <w:color w:val="0000EE"/>
              </w:rPr>
            </w:pPr>
            <w:hyperlink w:anchor="page4">
              <w:r>
                <w:rPr>
                  <w:rFonts w:ascii="Arial" w:cs="Arial" w:eastAsia="Arial" w:hAnsi="Arial"/>
                  <w:sz w:val="13"/>
                  <w:szCs w:val="13"/>
                  <w:color w:val="0000EE"/>
                </w:rPr>
                <w:t>1</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CCEEFF"/>
          </w:tcPr>
          <w:p>
            <w:pPr>
              <w:spacing w:after="0"/>
              <w:rPr>
                <w:sz w:val="2"/>
                <w:szCs w:val="2"/>
                <w:color w:val="auto"/>
              </w:rPr>
            </w:pPr>
          </w:p>
        </w:tc>
        <w:tc>
          <w:tcPr>
            <w:tcW w:w="180" w:type="dxa"/>
            <w:vAlign w:val="bottom"/>
            <w:shd w:val="clear" w:color="auto" w:fill="CCEEFF"/>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260" w:type="dxa"/>
            <w:vAlign w:val="bottom"/>
            <w:tcBorders>
              <w:left w:val="single" w:sz="8" w:color="CCEEFF"/>
            </w:tcBorders>
            <w:shd w:val="clear" w:color="auto" w:fill="CCEEFF"/>
          </w:tcPr>
          <w:p>
            <w:pPr>
              <w:spacing w:after="0"/>
              <w:rPr>
                <w:sz w:val="2"/>
                <w:szCs w:val="2"/>
                <w:color w:val="auto"/>
              </w:rPr>
            </w:pPr>
          </w:p>
        </w:tc>
        <w:tc>
          <w:tcPr>
            <w:tcW w:w="340" w:type="dxa"/>
            <w:vAlign w:val="bottom"/>
            <w:tcBorders>
              <w:left w:val="single" w:sz="8" w:color="CCEEFF"/>
            </w:tcBorders>
            <w:shd w:val="clear" w:color="auto" w:fill="CCEEFF"/>
          </w:tcPr>
          <w:p>
            <w:pPr>
              <w:spacing w:after="0"/>
              <w:rPr>
                <w:sz w:val="2"/>
                <w:szCs w:val="2"/>
                <w:color w:val="auto"/>
              </w:rPr>
            </w:pPr>
          </w:p>
        </w:tc>
        <w:tc>
          <w:tcPr>
            <w:tcW w:w="560" w:type="dxa"/>
            <w:vAlign w:val="bottom"/>
            <w:tcBorders>
              <w:right w:val="single" w:sz="8" w:color="CCEEFF"/>
            </w:tcBorders>
            <w:shd w:val="clear" w:color="auto" w:fill="CCEEFF"/>
          </w:tcPr>
          <w:p>
            <w:pPr>
              <w:spacing w:after="0"/>
              <w:rPr>
                <w:sz w:val="2"/>
                <w:szCs w:val="2"/>
                <w:color w:val="auto"/>
              </w:rPr>
            </w:pPr>
          </w:p>
        </w:tc>
        <w:tc>
          <w:tcPr>
            <w:tcW w:w="860" w:type="dxa"/>
            <w:vAlign w:val="bottom"/>
            <w:shd w:val="clear" w:color="auto" w:fill="CCEEFF"/>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40" w:type="dxa"/>
            <w:vAlign w:val="bottom"/>
            <w:shd w:val="clear" w:color="auto" w:fill="CCEEFF"/>
          </w:tcPr>
          <w:p>
            <w:pPr>
              <w:spacing w:after="0"/>
              <w:rPr>
                <w:sz w:val="2"/>
                <w:szCs w:val="2"/>
                <w:color w:val="auto"/>
              </w:rPr>
            </w:pPr>
          </w:p>
        </w:tc>
        <w:tc>
          <w:tcPr>
            <w:tcW w:w="1120" w:type="dxa"/>
            <w:vAlign w:val="bottom"/>
            <w:shd w:val="clear" w:color="auto" w:fill="CCEEFF"/>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6220" w:type="dxa"/>
            <w:vAlign w:val="bottom"/>
            <w:tcBorders>
              <w:right w:val="single" w:sz="8" w:color="CCEEFF"/>
            </w:tcBorders>
            <w:shd w:val="clear" w:color="auto" w:fill="CCEEFF"/>
          </w:tcPr>
          <w:p>
            <w:pPr>
              <w:spacing w:after="0"/>
              <w:rPr>
                <w:sz w:val="2"/>
                <w:szCs w:val="2"/>
                <w:color w:val="auto"/>
              </w:rPr>
            </w:pPr>
          </w:p>
        </w:tc>
        <w:tc>
          <w:tcPr>
            <w:tcW w:w="120" w:type="dxa"/>
            <w:vAlign w:val="bottom"/>
            <w:tcBorders>
              <w:right w:val="single" w:sz="8" w:color="0000EE"/>
            </w:tcBorders>
            <w:shd w:val="clear" w:color="auto" w:fill="CCEEFF"/>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1140" w:type="dxa"/>
            <w:vAlign w:val="bottom"/>
            <w:gridSpan w:val="14"/>
          </w:tcPr>
          <w:p>
            <w:pPr>
              <w:spacing w:after="0" w:line="128" w:lineRule="exact"/>
              <w:rPr>
                <w:rFonts w:ascii="Arial" w:cs="Arial" w:eastAsia="Arial" w:hAnsi="Arial"/>
                <w:sz w:val="13"/>
                <w:szCs w:val="13"/>
                <w:b w:val="1"/>
                <w:bCs w:val="1"/>
                <w:color w:val="0000EE"/>
              </w:rPr>
            </w:pPr>
            <w:hyperlink w:anchor="page8">
              <w:r>
                <w:rPr>
                  <w:rFonts w:ascii="Arial" w:cs="Arial" w:eastAsia="Arial" w:hAnsi="Arial"/>
                  <w:sz w:val="13"/>
                  <w:szCs w:val="13"/>
                  <w:b w:val="1"/>
                  <w:bCs w:val="1"/>
                  <w:color w:val="0000EE"/>
                </w:rPr>
                <w:t>Risk Factors</w:t>
              </w:r>
            </w:hyperlink>
          </w:p>
        </w:tc>
        <w:tc>
          <w:tcPr>
            <w:tcW w:w="120" w:type="dxa"/>
            <w:vAlign w:val="bottom"/>
          </w:tcPr>
          <w:p>
            <w:pPr>
              <w:jc w:val="right"/>
              <w:spacing w:after="0" w:line="128" w:lineRule="exact"/>
              <w:rPr>
                <w:rFonts w:ascii="Arial" w:cs="Arial" w:eastAsia="Arial" w:hAnsi="Arial"/>
                <w:sz w:val="13"/>
                <w:szCs w:val="13"/>
                <w:color w:val="0000EE"/>
              </w:rPr>
            </w:pPr>
            <w:hyperlink w:anchor="page8">
              <w:r>
                <w:rPr>
                  <w:rFonts w:ascii="Arial" w:cs="Arial" w:eastAsia="Arial" w:hAnsi="Arial"/>
                  <w:sz w:val="13"/>
                  <w:szCs w:val="13"/>
                  <w:color w:val="0000EE"/>
                </w:rPr>
                <w:t>5</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tcPr>
          <w:p>
            <w:pPr>
              <w:spacing w:after="0"/>
              <w:rPr>
                <w:sz w:val="2"/>
                <w:szCs w:val="2"/>
                <w:color w:val="auto"/>
              </w:rPr>
            </w:pPr>
          </w:p>
        </w:tc>
        <w:tc>
          <w:tcPr>
            <w:tcW w:w="220" w:type="dxa"/>
            <w:vAlign w:val="bottom"/>
          </w:tcPr>
          <w:p>
            <w:pPr>
              <w:spacing w:after="0"/>
              <w:rPr>
                <w:sz w:val="2"/>
                <w:szCs w:val="2"/>
                <w:color w:val="auto"/>
              </w:rPr>
            </w:pPr>
          </w:p>
        </w:tc>
        <w:tc>
          <w:tcPr>
            <w:tcW w:w="260" w:type="dxa"/>
            <w:vAlign w:val="bottom"/>
          </w:tcPr>
          <w:p>
            <w:pPr>
              <w:spacing w:after="0"/>
              <w:rPr>
                <w:sz w:val="2"/>
                <w:szCs w:val="2"/>
                <w:color w:val="auto"/>
              </w:rPr>
            </w:pPr>
          </w:p>
        </w:tc>
        <w:tc>
          <w:tcPr>
            <w:tcW w:w="340" w:type="dxa"/>
            <w:vAlign w:val="bottom"/>
          </w:tcPr>
          <w:p>
            <w:pPr>
              <w:spacing w:after="0"/>
              <w:rPr>
                <w:sz w:val="2"/>
                <w:szCs w:val="2"/>
                <w:color w:val="auto"/>
              </w:rPr>
            </w:pPr>
          </w:p>
        </w:tc>
        <w:tc>
          <w:tcPr>
            <w:tcW w:w="560" w:type="dxa"/>
            <w:vAlign w:val="bottom"/>
          </w:tcPr>
          <w:p>
            <w:pPr>
              <w:spacing w:after="0"/>
              <w:rPr>
                <w:sz w:val="2"/>
                <w:szCs w:val="2"/>
                <w:color w:val="auto"/>
              </w:rPr>
            </w:pPr>
          </w:p>
        </w:tc>
        <w:tc>
          <w:tcPr>
            <w:tcW w:w="860" w:type="dxa"/>
            <w:vAlign w:val="bottom"/>
          </w:tcPr>
          <w:p>
            <w:pPr>
              <w:spacing w:after="0"/>
              <w:rPr>
                <w:sz w:val="2"/>
                <w:szCs w:val="2"/>
                <w:color w:val="auto"/>
              </w:rPr>
            </w:pPr>
          </w:p>
        </w:tc>
        <w:tc>
          <w:tcPr>
            <w:tcW w:w="220" w:type="dxa"/>
            <w:vAlign w:val="bottom"/>
          </w:tcPr>
          <w:p>
            <w:pPr>
              <w:spacing w:after="0"/>
              <w:rPr>
                <w:sz w:val="2"/>
                <w:szCs w:val="2"/>
                <w:color w:val="auto"/>
              </w:rPr>
            </w:pPr>
          </w:p>
        </w:tc>
        <w:tc>
          <w:tcPr>
            <w:tcW w:w="140" w:type="dxa"/>
            <w:vAlign w:val="bottom"/>
          </w:tcPr>
          <w:p>
            <w:pPr>
              <w:spacing w:after="0"/>
              <w:rPr>
                <w:sz w:val="2"/>
                <w:szCs w:val="2"/>
                <w:color w:val="auto"/>
              </w:rPr>
            </w:pPr>
          </w:p>
        </w:tc>
        <w:tc>
          <w:tcPr>
            <w:tcW w:w="1120" w:type="dxa"/>
            <w:vAlign w:val="bottom"/>
          </w:tcPr>
          <w:p>
            <w:pPr>
              <w:spacing w:after="0"/>
              <w:rPr>
                <w:sz w:val="2"/>
                <w:szCs w:val="2"/>
                <w:color w:val="auto"/>
              </w:rPr>
            </w:pPr>
          </w:p>
        </w:tc>
        <w:tc>
          <w:tcPr>
            <w:tcW w:w="340" w:type="dxa"/>
            <w:vAlign w:val="bottom"/>
          </w:tcPr>
          <w:p>
            <w:pPr>
              <w:spacing w:after="0"/>
              <w:rPr>
                <w:sz w:val="2"/>
                <w:szCs w:val="2"/>
                <w:color w:val="auto"/>
              </w:rPr>
            </w:pPr>
          </w:p>
        </w:tc>
        <w:tc>
          <w:tcPr>
            <w:tcW w:w="6220" w:type="dxa"/>
            <w:vAlign w:val="bottom"/>
          </w:tcPr>
          <w:p>
            <w:pPr>
              <w:spacing w:after="0"/>
              <w:rPr>
                <w:sz w:val="2"/>
                <w:szCs w:val="2"/>
                <w:color w:val="auto"/>
              </w:rPr>
            </w:pPr>
          </w:p>
        </w:tc>
        <w:tc>
          <w:tcPr>
            <w:tcW w:w="120" w:type="dxa"/>
            <w:vAlign w:val="bottom"/>
            <w:tcBorders>
              <w:right w:val="single" w:sz="8" w:color="0000EE"/>
            </w:tcBorders>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440" w:type="dxa"/>
            <w:vAlign w:val="bottom"/>
            <w:shd w:val="clear" w:color="auto" w:fill="CCEEFF"/>
          </w:tcPr>
          <w:p>
            <w:pPr>
              <w:spacing w:after="0" w:line="128" w:lineRule="exact"/>
              <w:rPr>
                <w:rFonts w:ascii="Arial" w:cs="Arial" w:eastAsia="Arial" w:hAnsi="Arial"/>
                <w:sz w:val="13"/>
                <w:szCs w:val="13"/>
                <w:b w:val="1"/>
                <w:bCs w:val="1"/>
                <w:color w:val="0000EE"/>
                <w:w w:val="86"/>
              </w:rPr>
            </w:pPr>
            <w:hyperlink w:anchor="page19">
              <w:r>
                <w:rPr>
                  <w:rFonts w:ascii="Arial" w:cs="Arial" w:eastAsia="Arial" w:hAnsi="Arial"/>
                  <w:sz w:val="13"/>
                  <w:szCs w:val="13"/>
                  <w:b w:val="1"/>
                  <w:bCs w:val="1"/>
                  <w:color w:val="0000EE"/>
                  <w:w w:val="86"/>
                </w:rPr>
                <w:t>Dilution</w:t>
              </w:r>
            </w:hyperlink>
          </w:p>
        </w:tc>
        <w:tc>
          <w:tcPr>
            <w:tcW w:w="240" w:type="dxa"/>
            <w:vAlign w:val="bottom"/>
            <w:gridSpan w:val="2"/>
            <w:shd w:val="clear" w:color="auto" w:fill="CCEEFF"/>
          </w:tcPr>
          <w:p>
            <w:pPr>
              <w:spacing w:after="0"/>
              <w:rPr>
                <w:sz w:val="11"/>
                <w:szCs w:val="11"/>
                <w:color w:val="auto"/>
              </w:rPr>
            </w:pPr>
          </w:p>
        </w:tc>
        <w:tc>
          <w:tcPr>
            <w:tcW w:w="10460" w:type="dxa"/>
            <w:vAlign w:val="bottom"/>
            <w:tcBorders>
              <w:right w:val="single" w:sz="8" w:color="CCEEFF"/>
            </w:tcBorders>
            <w:gridSpan w:val="11"/>
            <w:shd w:val="clear" w:color="auto" w:fill="CCEEFF"/>
          </w:tcPr>
          <w:p>
            <w:pPr>
              <w:spacing w:after="0"/>
              <w:rPr>
                <w:sz w:val="11"/>
                <w:szCs w:val="11"/>
                <w:color w:val="auto"/>
              </w:rPr>
            </w:pPr>
          </w:p>
        </w:tc>
        <w:tc>
          <w:tcPr>
            <w:tcW w:w="120" w:type="dxa"/>
            <w:vAlign w:val="bottom"/>
            <w:tcBorders>
              <w:right w:val="single" w:sz="8" w:color="CCEEFF"/>
            </w:tcBorders>
            <w:shd w:val="clear" w:color="auto" w:fill="CCEEFF"/>
          </w:tcPr>
          <w:p>
            <w:pPr>
              <w:jc w:val="right"/>
              <w:spacing w:after="0" w:line="128" w:lineRule="exact"/>
              <w:rPr>
                <w:rFonts w:ascii="Arial" w:cs="Arial" w:eastAsia="Arial" w:hAnsi="Arial"/>
                <w:sz w:val="12"/>
                <w:szCs w:val="12"/>
                <w:color w:val="0000EE"/>
                <w:w w:val="74"/>
              </w:rPr>
            </w:pPr>
            <w:hyperlink w:anchor="page19">
              <w:r>
                <w:rPr>
                  <w:rFonts w:ascii="Arial" w:cs="Arial" w:eastAsia="Arial" w:hAnsi="Arial"/>
                  <w:sz w:val="12"/>
                  <w:szCs w:val="12"/>
                  <w:color w:val="0000EE"/>
                  <w:w w:val="74"/>
                </w:rPr>
                <w:t>16</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160" w:type="dxa"/>
            <w:vAlign w:val="bottom"/>
            <w:shd w:val="clear" w:color="auto" w:fill="CCEEFF"/>
          </w:tcPr>
          <w:p>
            <w:pPr>
              <w:spacing w:after="0"/>
              <w:rPr>
                <w:sz w:val="2"/>
                <w:szCs w:val="2"/>
                <w:color w:val="auto"/>
              </w:rPr>
            </w:pPr>
          </w:p>
        </w:tc>
        <w:tc>
          <w:tcPr>
            <w:tcW w:w="180" w:type="dxa"/>
            <w:vAlign w:val="bottom"/>
            <w:shd w:val="clear" w:color="auto" w:fill="CCEEFF"/>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260" w:type="dxa"/>
            <w:vAlign w:val="bottom"/>
            <w:tcBorders>
              <w:left w:val="single" w:sz="8" w:color="CCEEFF"/>
            </w:tcBorders>
            <w:shd w:val="clear" w:color="auto" w:fill="CCEEFF"/>
          </w:tcPr>
          <w:p>
            <w:pPr>
              <w:spacing w:after="0"/>
              <w:rPr>
                <w:sz w:val="2"/>
                <w:szCs w:val="2"/>
                <w:color w:val="auto"/>
              </w:rPr>
            </w:pPr>
          </w:p>
        </w:tc>
        <w:tc>
          <w:tcPr>
            <w:tcW w:w="340" w:type="dxa"/>
            <w:vAlign w:val="bottom"/>
            <w:tcBorders>
              <w:left w:val="single" w:sz="8" w:color="CCEEFF"/>
            </w:tcBorders>
            <w:shd w:val="clear" w:color="auto" w:fill="CCEEFF"/>
          </w:tcPr>
          <w:p>
            <w:pPr>
              <w:spacing w:after="0"/>
              <w:rPr>
                <w:sz w:val="2"/>
                <w:szCs w:val="2"/>
                <w:color w:val="auto"/>
              </w:rPr>
            </w:pPr>
          </w:p>
        </w:tc>
        <w:tc>
          <w:tcPr>
            <w:tcW w:w="560" w:type="dxa"/>
            <w:vAlign w:val="bottom"/>
            <w:tcBorders>
              <w:right w:val="single" w:sz="8" w:color="CCEEFF"/>
            </w:tcBorders>
            <w:shd w:val="clear" w:color="auto" w:fill="CCEEFF"/>
          </w:tcPr>
          <w:p>
            <w:pPr>
              <w:spacing w:after="0"/>
              <w:rPr>
                <w:sz w:val="2"/>
                <w:szCs w:val="2"/>
                <w:color w:val="auto"/>
              </w:rPr>
            </w:pPr>
          </w:p>
        </w:tc>
        <w:tc>
          <w:tcPr>
            <w:tcW w:w="860" w:type="dxa"/>
            <w:vAlign w:val="bottom"/>
            <w:shd w:val="clear" w:color="auto" w:fill="CCEEFF"/>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40" w:type="dxa"/>
            <w:vAlign w:val="bottom"/>
            <w:shd w:val="clear" w:color="auto" w:fill="CCEEFF"/>
          </w:tcPr>
          <w:p>
            <w:pPr>
              <w:spacing w:after="0"/>
              <w:rPr>
                <w:sz w:val="2"/>
                <w:szCs w:val="2"/>
                <w:color w:val="auto"/>
              </w:rPr>
            </w:pPr>
          </w:p>
        </w:tc>
        <w:tc>
          <w:tcPr>
            <w:tcW w:w="1120" w:type="dxa"/>
            <w:vAlign w:val="bottom"/>
            <w:shd w:val="clear" w:color="auto" w:fill="CCEEFF"/>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6220" w:type="dxa"/>
            <w:vAlign w:val="bottom"/>
            <w:tcBorders>
              <w:right w:val="single" w:sz="8" w:color="CCEEFF"/>
            </w:tcBorders>
            <w:shd w:val="clear" w:color="auto" w:fill="CCEEFF"/>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860" w:type="dxa"/>
            <w:vAlign w:val="bottom"/>
            <w:gridSpan w:val="4"/>
          </w:tcPr>
          <w:p>
            <w:pPr>
              <w:spacing w:after="0" w:line="128" w:lineRule="exact"/>
              <w:rPr>
                <w:rFonts w:ascii="Arial" w:cs="Arial" w:eastAsia="Arial" w:hAnsi="Arial"/>
                <w:sz w:val="13"/>
                <w:szCs w:val="13"/>
                <w:b w:val="1"/>
                <w:bCs w:val="1"/>
                <w:color w:val="0000EE"/>
                <w:w w:val="86"/>
              </w:rPr>
            </w:pPr>
            <w:hyperlink w:anchor="page21">
              <w:r>
                <w:rPr>
                  <w:rFonts w:ascii="Arial" w:cs="Arial" w:eastAsia="Arial" w:hAnsi="Arial"/>
                  <w:sz w:val="13"/>
                  <w:szCs w:val="13"/>
                  <w:b w:val="1"/>
                  <w:bCs w:val="1"/>
                  <w:color w:val="0000EE"/>
                  <w:w w:val="86"/>
                </w:rPr>
                <w:t>Dividend Policy</w:t>
              </w:r>
            </w:hyperlink>
          </w:p>
        </w:tc>
        <w:tc>
          <w:tcPr>
            <w:tcW w:w="10280" w:type="dxa"/>
            <w:vAlign w:val="bottom"/>
            <w:gridSpan w:val="10"/>
          </w:tcPr>
          <w:p>
            <w:pPr>
              <w:spacing w:after="0"/>
              <w:rPr>
                <w:sz w:val="11"/>
                <w:szCs w:val="11"/>
                <w:color w:val="auto"/>
              </w:rPr>
            </w:pPr>
          </w:p>
        </w:tc>
        <w:tc>
          <w:tcPr>
            <w:tcW w:w="120" w:type="dxa"/>
            <w:vAlign w:val="bottom"/>
          </w:tcPr>
          <w:p>
            <w:pPr>
              <w:jc w:val="right"/>
              <w:spacing w:after="0" w:line="128" w:lineRule="exact"/>
              <w:rPr>
                <w:rFonts w:ascii="Arial" w:cs="Arial" w:eastAsia="Arial" w:hAnsi="Arial"/>
                <w:sz w:val="12"/>
                <w:szCs w:val="12"/>
                <w:color w:val="0000EE"/>
                <w:w w:val="74"/>
              </w:rPr>
            </w:pPr>
            <w:hyperlink w:anchor="page21">
              <w:r>
                <w:rPr>
                  <w:rFonts w:ascii="Arial" w:cs="Arial" w:eastAsia="Arial" w:hAnsi="Arial"/>
                  <w:sz w:val="12"/>
                  <w:szCs w:val="12"/>
                  <w:color w:val="0000EE"/>
                  <w:w w:val="74"/>
                </w:rPr>
                <w:t>18</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shd w:val="clear" w:color="auto" w:fill="0000EE"/>
          </w:tcPr>
          <w:p>
            <w:pPr>
              <w:spacing w:after="0"/>
              <w:rPr>
                <w:sz w:val="2"/>
                <w:szCs w:val="2"/>
                <w:color w:val="auto"/>
              </w:rPr>
            </w:pPr>
          </w:p>
        </w:tc>
        <w:tc>
          <w:tcPr>
            <w:tcW w:w="220" w:type="dxa"/>
            <w:vAlign w:val="bottom"/>
          </w:tcPr>
          <w:p>
            <w:pPr>
              <w:spacing w:after="0"/>
              <w:rPr>
                <w:sz w:val="2"/>
                <w:szCs w:val="2"/>
                <w:color w:val="auto"/>
              </w:rPr>
            </w:pPr>
          </w:p>
        </w:tc>
        <w:tc>
          <w:tcPr>
            <w:tcW w:w="260" w:type="dxa"/>
            <w:vAlign w:val="bottom"/>
          </w:tcPr>
          <w:p>
            <w:pPr>
              <w:spacing w:after="0"/>
              <w:rPr>
                <w:sz w:val="2"/>
                <w:szCs w:val="2"/>
                <w:color w:val="auto"/>
              </w:rPr>
            </w:pPr>
          </w:p>
        </w:tc>
        <w:tc>
          <w:tcPr>
            <w:tcW w:w="340" w:type="dxa"/>
            <w:vAlign w:val="bottom"/>
          </w:tcPr>
          <w:p>
            <w:pPr>
              <w:spacing w:after="0"/>
              <w:rPr>
                <w:sz w:val="2"/>
                <w:szCs w:val="2"/>
                <w:color w:val="auto"/>
              </w:rPr>
            </w:pPr>
          </w:p>
        </w:tc>
        <w:tc>
          <w:tcPr>
            <w:tcW w:w="560" w:type="dxa"/>
            <w:vAlign w:val="bottom"/>
          </w:tcPr>
          <w:p>
            <w:pPr>
              <w:spacing w:after="0"/>
              <w:rPr>
                <w:sz w:val="2"/>
                <w:szCs w:val="2"/>
                <w:color w:val="auto"/>
              </w:rPr>
            </w:pPr>
          </w:p>
        </w:tc>
        <w:tc>
          <w:tcPr>
            <w:tcW w:w="860" w:type="dxa"/>
            <w:vAlign w:val="bottom"/>
          </w:tcPr>
          <w:p>
            <w:pPr>
              <w:spacing w:after="0"/>
              <w:rPr>
                <w:sz w:val="2"/>
                <w:szCs w:val="2"/>
                <w:color w:val="auto"/>
              </w:rPr>
            </w:pPr>
          </w:p>
        </w:tc>
        <w:tc>
          <w:tcPr>
            <w:tcW w:w="220" w:type="dxa"/>
            <w:vAlign w:val="bottom"/>
          </w:tcPr>
          <w:p>
            <w:pPr>
              <w:spacing w:after="0"/>
              <w:rPr>
                <w:sz w:val="2"/>
                <w:szCs w:val="2"/>
                <w:color w:val="auto"/>
              </w:rPr>
            </w:pPr>
          </w:p>
        </w:tc>
        <w:tc>
          <w:tcPr>
            <w:tcW w:w="140" w:type="dxa"/>
            <w:vAlign w:val="bottom"/>
          </w:tcPr>
          <w:p>
            <w:pPr>
              <w:spacing w:after="0"/>
              <w:rPr>
                <w:sz w:val="2"/>
                <w:szCs w:val="2"/>
                <w:color w:val="auto"/>
              </w:rPr>
            </w:pPr>
          </w:p>
        </w:tc>
        <w:tc>
          <w:tcPr>
            <w:tcW w:w="1120" w:type="dxa"/>
            <w:vAlign w:val="bottom"/>
          </w:tcPr>
          <w:p>
            <w:pPr>
              <w:spacing w:after="0"/>
              <w:rPr>
                <w:sz w:val="2"/>
                <w:szCs w:val="2"/>
                <w:color w:val="auto"/>
              </w:rPr>
            </w:pPr>
          </w:p>
        </w:tc>
        <w:tc>
          <w:tcPr>
            <w:tcW w:w="340" w:type="dxa"/>
            <w:vAlign w:val="bottom"/>
          </w:tcPr>
          <w:p>
            <w:pPr>
              <w:spacing w:after="0"/>
              <w:rPr>
                <w:sz w:val="2"/>
                <w:szCs w:val="2"/>
                <w:color w:val="auto"/>
              </w:rPr>
            </w:pPr>
          </w:p>
        </w:tc>
        <w:tc>
          <w:tcPr>
            <w:tcW w:w="6220" w:type="dxa"/>
            <w:vAlign w:val="bottom"/>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860" w:type="dxa"/>
            <w:vAlign w:val="bottom"/>
            <w:gridSpan w:val="4"/>
            <w:shd w:val="clear" w:color="auto" w:fill="CCEEFF"/>
          </w:tcPr>
          <w:p>
            <w:pPr>
              <w:spacing w:after="0" w:line="128" w:lineRule="exact"/>
              <w:rPr>
                <w:rFonts w:ascii="Arial" w:cs="Arial" w:eastAsia="Arial" w:hAnsi="Arial"/>
                <w:sz w:val="13"/>
                <w:szCs w:val="13"/>
                <w:b w:val="1"/>
                <w:bCs w:val="1"/>
                <w:color w:val="0000EE"/>
                <w:w w:val="82"/>
              </w:rPr>
            </w:pPr>
            <w:hyperlink w:anchor="page22">
              <w:r>
                <w:rPr>
                  <w:rFonts w:ascii="Arial" w:cs="Arial" w:eastAsia="Arial" w:hAnsi="Arial"/>
                  <w:sz w:val="13"/>
                  <w:szCs w:val="13"/>
                  <w:b w:val="1"/>
                  <w:bCs w:val="1"/>
                  <w:color w:val="0000EE"/>
                  <w:w w:val="82"/>
                </w:rPr>
                <w:t>Use of Proceeds</w:t>
              </w:r>
            </w:hyperlink>
          </w:p>
        </w:tc>
        <w:tc>
          <w:tcPr>
            <w:tcW w:w="10280" w:type="dxa"/>
            <w:vAlign w:val="bottom"/>
            <w:tcBorders>
              <w:right w:val="single" w:sz="8" w:color="CCEEFF"/>
            </w:tcBorders>
            <w:gridSpan w:val="10"/>
            <w:shd w:val="clear" w:color="auto" w:fill="CCEEFF"/>
          </w:tcPr>
          <w:p>
            <w:pPr>
              <w:spacing w:after="0"/>
              <w:rPr>
                <w:sz w:val="11"/>
                <w:szCs w:val="11"/>
                <w:color w:val="auto"/>
              </w:rPr>
            </w:pPr>
          </w:p>
        </w:tc>
        <w:tc>
          <w:tcPr>
            <w:tcW w:w="120" w:type="dxa"/>
            <w:vAlign w:val="bottom"/>
            <w:tcBorders>
              <w:right w:val="single" w:sz="8" w:color="CCEEFF"/>
            </w:tcBorders>
            <w:shd w:val="clear" w:color="auto" w:fill="CCEEFF"/>
          </w:tcPr>
          <w:p>
            <w:pPr>
              <w:jc w:val="right"/>
              <w:spacing w:after="0" w:line="128" w:lineRule="exact"/>
              <w:rPr>
                <w:rFonts w:ascii="Arial" w:cs="Arial" w:eastAsia="Arial" w:hAnsi="Arial"/>
                <w:sz w:val="12"/>
                <w:szCs w:val="12"/>
                <w:color w:val="0000EE"/>
                <w:w w:val="74"/>
              </w:rPr>
            </w:pPr>
            <w:hyperlink w:anchor="page22">
              <w:r>
                <w:rPr>
                  <w:rFonts w:ascii="Arial" w:cs="Arial" w:eastAsia="Arial" w:hAnsi="Arial"/>
                  <w:sz w:val="12"/>
                  <w:szCs w:val="12"/>
                  <w:color w:val="0000EE"/>
                  <w:w w:val="74"/>
                </w:rPr>
                <w:t>19</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shd w:val="clear" w:color="auto" w:fill="0000EE"/>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260" w:type="dxa"/>
            <w:vAlign w:val="bottom"/>
            <w:tcBorders>
              <w:left w:val="single" w:sz="8" w:color="CCEEFF"/>
            </w:tcBorders>
            <w:shd w:val="clear" w:color="auto" w:fill="CCEEFF"/>
          </w:tcPr>
          <w:p>
            <w:pPr>
              <w:spacing w:after="0"/>
              <w:rPr>
                <w:sz w:val="2"/>
                <w:szCs w:val="2"/>
                <w:color w:val="auto"/>
              </w:rPr>
            </w:pPr>
          </w:p>
        </w:tc>
        <w:tc>
          <w:tcPr>
            <w:tcW w:w="340" w:type="dxa"/>
            <w:vAlign w:val="bottom"/>
            <w:tcBorders>
              <w:left w:val="single" w:sz="8" w:color="CCEEFF"/>
            </w:tcBorders>
            <w:shd w:val="clear" w:color="auto" w:fill="CCEEFF"/>
          </w:tcPr>
          <w:p>
            <w:pPr>
              <w:spacing w:after="0"/>
              <w:rPr>
                <w:sz w:val="2"/>
                <w:szCs w:val="2"/>
                <w:color w:val="auto"/>
              </w:rPr>
            </w:pPr>
          </w:p>
        </w:tc>
        <w:tc>
          <w:tcPr>
            <w:tcW w:w="560" w:type="dxa"/>
            <w:vAlign w:val="bottom"/>
            <w:tcBorders>
              <w:right w:val="single" w:sz="8" w:color="CCEEFF"/>
            </w:tcBorders>
            <w:shd w:val="clear" w:color="auto" w:fill="CCEEFF"/>
          </w:tcPr>
          <w:p>
            <w:pPr>
              <w:spacing w:after="0"/>
              <w:rPr>
                <w:sz w:val="2"/>
                <w:szCs w:val="2"/>
                <w:color w:val="auto"/>
              </w:rPr>
            </w:pPr>
          </w:p>
        </w:tc>
        <w:tc>
          <w:tcPr>
            <w:tcW w:w="860" w:type="dxa"/>
            <w:vAlign w:val="bottom"/>
            <w:shd w:val="clear" w:color="auto" w:fill="CCEEFF"/>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40" w:type="dxa"/>
            <w:vAlign w:val="bottom"/>
            <w:shd w:val="clear" w:color="auto" w:fill="CCEEFF"/>
          </w:tcPr>
          <w:p>
            <w:pPr>
              <w:spacing w:after="0"/>
              <w:rPr>
                <w:sz w:val="2"/>
                <w:szCs w:val="2"/>
                <w:color w:val="auto"/>
              </w:rPr>
            </w:pPr>
          </w:p>
        </w:tc>
        <w:tc>
          <w:tcPr>
            <w:tcW w:w="1120" w:type="dxa"/>
            <w:vAlign w:val="bottom"/>
            <w:shd w:val="clear" w:color="auto" w:fill="CCEEFF"/>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6220" w:type="dxa"/>
            <w:vAlign w:val="bottom"/>
            <w:tcBorders>
              <w:right w:val="single" w:sz="8" w:color="CCEEFF"/>
            </w:tcBorders>
            <w:shd w:val="clear" w:color="auto" w:fill="CCEEFF"/>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340" w:type="dxa"/>
            <w:vAlign w:val="bottom"/>
            <w:gridSpan w:val="6"/>
          </w:tcPr>
          <w:p>
            <w:pPr>
              <w:spacing w:after="0" w:line="128" w:lineRule="exact"/>
              <w:rPr>
                <w:rFonts w:ascii="Arial" w:cs="Arial" w:eastAsia="Arial" w:hAnsi="Arial"/>
                <w:sz w:val="13"/>
                <w:szCs w:val="13"/>
                <w:b w:val="1"/>
                <w:bCs w:val="1"/>
                <w:color w:val="0000EE"/>
                <w:w w:val="82"/>
              </w:rPr>
            </w:pPr>
            <w:hyperlink w:anchor="page23">
              <w:r>
                <w:rPr>
                  <w:rFonts w:ascii="Arial" w:cs="Arial" w:eastAsia="Arial" w:hAnsi="Arial"/>
                  <w:sz w:val="13"/>
                  <w:szCs w:val="13"/>
                  <w:b w:val="1"/>
                  <w:bCs w:val="1"/>
                  <w:color w:val="0000EE"/>
                  <w:w w:val="82"/>
                </w:rPr>
                <w:t>The Company’s Business</w:t>
              </w:r>
            </w:hyperlink>
          </w:p>
        </w:tc>
        <w:tc>
          <w:tcPr>
            <w:tcW w:w="9800" w:type="dxa"/>
            <w:vAlign w:val="bottom"/>
            <w:gridSpan w:val="8"/>
          </w:tcPr>
          <w:p>
            <w:pPr>
              <w:spacing w:after="0"/>
              <w:rPr>
                <w:sz w:val="11"/>
                <w:szCs w:val="11"/>
                <w:color w:val="auto"/>
              </w:rPr>
            </w:pPr>
          </w:p>
        </w:tc>
        <w:tc>
          <w:tcPr>
            <w:tcW w:w="120" w:type="dxa"/>
            <w:vAlign w:val="bottom"/>
          </w:tcPr>
          <w:p>
            <w:pPr>
              <w:jc w:val="right"/>
              <w:spacing w:after="0" w:line="128" w:lineRule="exact"/>
              <w:rPr>
                <w:rFonts w:ascii="Arial" w:cs="Arial" w:eastAsia="Arial" w:hAnsi="Arial"/>
                <w:sz w:val="12"/>
                <w:szCs w:val="12"/>
                <w:color w:val="0000EE"/>
                <w:w w:val="74"/>
              </w:rPr>
            </w:pPr>
            <w:hyperlink w:anchor="page23">
              <w:r>
                <w:rPr>
                  <w:rFonts w:ascii="Arial" w:cs="Arial" w:eastAsia="Arial" w:hAnsi="Arial"/>
                  <w:sz w:val="12"/>
                  <w:szCs w:val="12"/>
                  <w:color w:val="0000EE"/>
                  <w:w w:val="74"/>
                </w:rPr>
                <w:t>20</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260" w:type="dxa"/>
            <w:vAlign w:val="bottom"/>
            <w:tcBorders>
              <w:left w:val="single" w:sz="8" w:color="0000EE"/>
            </w:tcBorders>
            <w:shd w:val="clear" w:color="auto" w:fill="0000EE"/>
          </w:tcPr>
          <w:p>
            <w:pPr>
              <w:spacing w:after="0"/>
              <w:rPr>
                <w:sz w:val="2"/>
                <w:szCs w:val="2"/>
                <w:color w:val="auto"/>
              </w:rPr>
            </w:pPr>
          </w:p>
        </w:tc>
        <w:tc>
          <w:tcPr>
            <w:tcW w:w="340" w:type="dxa"/>
            <w:vAlign w:val="bottom"/>
            <w:tcBorders>
              <w:left w:val="single" w:sz="8" w:color="0000EE"/>
            </w:tcBorders>
          </w:tcPr>
          <w:p>
            <w:pPr>
              <w:spacing w:after="0"/>
              <w:rPr>
                <w:sz w:val="2"/>
                <w:szCs w:val="2"/>
                <w:color w:val="auto"/>
              </w:rPr>
            </w:pPr>
          </w:p>
        </w:tc>
        <w:tc>
          <w:tcPr>
            <w:tcW w:w="560" w:type="dxa"/>
            <w:vAlign w:val="bottom"/>
          </w:tcPr>
          <w:p>
            <w:pPr>
              <w:spacing w:after="0"/>
              <w:rPr>
                <w:sz w:val="2"/>
                <w:szCs w:val="2"/>
                <w:color w:val="auto"/>
              </w:rPr>
            </w:pPr>
          </w:p>
        </w:tc>
        <w:tc>
          <w:tcPr>
            <w:tcW w:w="860" w:type="dxa"/>
            <w:vAlign w:val="bottom"/>
          </w:tcPr>
          <w:p>
            <w:pPr>
              <w:spacing w:after="0"/>
              <w:rPr>
                <w:sz w:val="2"/>
                <w:szCs w:val="2"/>
                <w:color w:val="auto"/>
              </w:rPr>
            </w:pPr>
          </w:p>
        </w:tc>
        <w:tc>
          <w:tcPr>
            <w:tcW w:w="220" w:type="dxa"/>
            <w:vAlign w:val="bottom"/>
          </w:tcPr>
          <w:p>
            <w:pPr>
              <w:spacing w:after="0"/>
              <w:rPr>
                <w:sz w:val="2"/>
                <w:szCs w:val="2"/>
                <w:color w:val="auto"/>
              </w:rPr>
            </w:pPr>
          </w:p>
        </w:tc>
        <w:tc>
          <w:tcPr>
            <w:tcW w:w="140" w:type="dxa"/>
            <w:vAlign w:val="bottom"/>
          </w:tcPr>
          <w:p>
            <w:pPr>
              <w:spacing w:after="0"/>
              <w:rPr>
                <w:sz w:val="2"/>
                <w:szCs w:val="2"/>
                <w:color w:val="auto"/>
              </w:rPr>
            </w:pPr>
          </w:p>
        </w:tc>
        <w:tc>
          <w:tcPr>
            <w:tcW w:w="1120" w:type="dxa"/>
            <w:vAlign w:val="bottom"/>
          </w:tcPr>
          <w:p>
            <w:pPr>
              <w:spacing w:after="0"/>
              <w:rPr>
                <w:sz w:val="2"/>
                <w:szCs w:val="2"/>
                <w:color w:val="auto"/>
              </w:rPr>
            </w:pPr>
          </w:p>
        </w:tc>
        <w:tc>
          <w:tcPr>
            <w:tcW w:w="340" w:type="dxa"/>
            <w:vAlign w:val="bottom"/>
          </w:tcPr>
          <w:p>
            <w:pPr>
              <w:spacing w:after="0"/>
              <w:rPr>
                <w:sz w:val="2"/>
                <w:szCs w:val="2"/>
                <w:color w:val="auto"/>
              </w:rPr>
            </w:pPr>
          </w:p>
        </w:tc>
        <w:tc>
          <w:tcPr>
            <w:tcW w:w="6220" w:type="dxa"/>
            <w:vAlign w:val="bottom"/>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1140" w:type="dxa"/>
            <w:vAlign w:val="bottom"/>
            <w:tcBorders>
              <w:right w:val="single" w:sz="8" w:color="CCEEFF"/>
            </w:tcBorders>
            <w:gridSpan w:val="14"/>
            <w:shd w:val="clear" w:color="auto" w:fill="CCEEFF"/>
          </w:tcPr>
          <w:p>
            <w:pPr>
              <w:spacing w:after="0" w:line="128" w:lineRule="exact"/>
              <w:rPr>
                <w:rFonts w:ascii="Arial" w:cs="Arial" w:eastAsia="Arial" w:hAnsi="Arial"/>
                <w:sz w:val="13"/>
                <w:szCs w:val="13"/>
                <w:b w:val="1"/>
                <w:bCs w:val="1"/>
                <w:color w:val="0000EE"/>
              </w:rPr>
            </w:pPr>
            <w:hyperlink w:anchor="page27">
              <w:r>
                <w:rPr>
                  <w:rFonts w:ascii="Arial" w:cs="Arial" w:eastAsia="Arial" w:hAnsi="Arial"/>
                  <w:sz w:val="13"/>
                  <w:szCs w:val="13"/>
                  <w:b w:val="1"/>
                  <w:bCs w:val="1"/>
                  <w:color w:val="0000EE"/>
                </w:rPr>
                <w:t>Management’s Discussion and Analysis of Financial Condition and Results of Operations</w:t>
              </w:r>
            </w:hyperlink>
          </w:p>
        </w:tc>
        <w:tc>
          <w:tcPr>
            <w:tcW w:w="120" w:type="dxa"/>
            <w:vAlign w:val="bottom"/>
            <w:tcBorders>
              <w:right w:val="single" w:sz="8" w:color="CCEEFF"/>
            </w:tcBorders>
            <w:shd w:val="clear" w:color="auto" w:fill="CCEEFF"/>
          </w:tcPr>
          <w:p>
            <w:pPr>
              <w:jc w:val="right"/>
              <w:spacing w:after="0" w:line="128" w:lineRule="exact"/>
              <w:rPr>
                <w:rFonts w:ascii="Arial" w:cs="Arial" w:eastAsia="Arial" w:hAnsi="Arial"/>
                <w:sz w:val="12"/>
                <w:szCs w:val="12"/>
                <w:color w:val="0000EE"/>
                <w:w w:val="74"/>
              </w:rPr>
            </w:pPr>
            <w:hyperlink w:anchor="page27">
              <w:r>
                <w:rPr>
                  <w:rFonts w:ascii="Arial" w:cs="Arial" w:eastAsia="Arial" w:hAnsi="Arial"/>
                  <w:sz w:val="12"/>
                  <w:szCs w:val="12"/>
                  <w:color w:val="0000EE"/>
                  <w:w w:val="74"/>
                </w:rPr>
                <w:t>24</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260" w:type="dxa"/>
            <w:vAlign w:val="bottom"/>
            <w:tcBorders>
              <w:left w:val="single" w:sz="8" w:color="0000EE"/>
            </w:tcBorders>
            <w:shd w:val="clear" w:color="auto" w:fill="0000EE"/>
          </w:tcPr>
          <w:p>
            <w:pPr>
              <w:spacing w:after="0"/>
              <w:rPr>
                <w:sz w:val="2"/>
                <w:szCs w:val="2"/>
                <w:color w:val="auto"/>
              </w:rPr>
            </w:pPr>
          </w:p>
        </w:tc>
        <w:tc>
          <w:tcPr>
            <w:tcW w:w="340" w:type="dxa"/>
            <w:vAlign w:val="bottom"/>
            <w:tcBorders>
              <w:left w:val="single" w:sz="8" w:color="0000EE"/>
            </w:tcBorders>
            <w:shd w:val="clear" w:color="auto" w:fill="0000EE"/>
          </w:tcPr>
          <w:p>
            <w:pPr>
              <w:spacing w:after="0"/>
              <w:rPr>
                <w:sz w:val="2"/>
                <w:szCs w:val="2"/>
                <w:color w:val="auto"/>
              </w:rPr>
            </w:pPr>
          </w:p>
        </w:tc>
        <w:tc>
          <w:tcPr>
            <w:tcW w:w="560" w:type="dxa"/>
            <w:vAlign w:val="bottom"/>
            <w:tcBorders>
              <w:right w:val="single" w:sz="8" w:color="0000EE"/>
            </w:tcBorders>
            <w:shd w:val="clear" w:color="auto" w:fill="0000EE"/>
          </w:tcPr>
          <w:p>
            <w:pPr>
              <w:spacing w:after="0"/>
              <w:rPr>
                <w:sz w:val="2"/>
                <w:szCs w:val="2"/>
                <w:color w:val="auto"/>
              </w:rPr>
            </w:pPr>
          </w:p>
        </w:tc>
        <w:tc>
          <w:tcPr>
            <w:tcW w:w="86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1120" w:type="dxa"/>
            <w:vAlign w:val="bottom"/>
            <w:shd w:val="clear" w:color="auto" w:fill="0000EE"/>
          </w:tcPr>
          <w:p>
            <w:pPr>
              <w:spacing w:after="0"/>
              <w:rPr>
                <w:sz w:val="2"/>
                <w:szCs w:val="2"/>
                <w:color w:val="auto"/>
              </w:rPr>
            </w:pPr>
          </w:p>
        </w:tc>
        <w:tc>
          <w:tcPr>
            <w:tcW w:w="340" w:type="dxa"/>
            <w:vAlign w:val="bottom"/>
            <w:shd w:val="clear" w:color="auto" w:fill="0000EE"/>
          </w:tcPr>
          <w:p>
            <w:pPr>
              <w:spacing w:after="0"/>
              <w:rPr>
                <w:sz w:val="2"/>
                <w:szCs w:val="2"/>
                <w:color w:val="auto"/>
              </w:rPr>
            </w:pPr>
          </w:p>
        </w:tc>
        <w:tc>
          <w:tcPr>
            <w:tcW w:w="6220" w:type="dxa"/>
            <w:vAlign w:val="bottom"/>
            <w:tcBorders>
              <w:right w:val="single" w:sz="8" w:color="CCEEFF"/>
            </w:tcBorders>
            <w:shd w:val="clear" w:color="auto" w:fill="CCEEFF"/>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3100" w:type="dxa"/>
            <w:vAlign w:val="bottom"/>
            <w:gridSpan w:val="9"/>
          </w:tcPr>
          <w:p>
            <w:pPr>
              <w:spacing w:after="0" w:line="128" w:lineRule="exact"/>
              <w:rPr>
                <w:rFonts w:ascii="Arial" w:cs="Arial" w:eastAsia="Arial" w:hAnsi="Arial"/>
                <w:sz w:val="13"/>
                <w:szCs w:val="13"/>
                <w:b w:val="1"/>
                <w:bCs w:val="1"/>
                <w:color w:val="0000EE"/>
                <w:w w:val="88"/>
              </w:rPr>
            </w:pPr>
            <w:hyperlink w:anchor="page39">
              <w:r>
                <w:rPr>
                  <w:rFonts w:ascii="Arial" w:cs="Arial" w:eastAsia="Arial" w:hAnsi="Arial"/>
                  <w:sz w:val="13"/>
                  <w:szCs w:val="13"/>
                  <w:b w:val="1"/>
                  <w:bCs w:val="1"/>
                  <w:color w:val="0000EE"/>
                  <w:w w:val="88"/>
                </w:rPr>
                <w:t>Directors, Executive Officers and Significant Employees</w:t>
              </w:r>
            </w:hyperlink>
          </w:p>
        </w:tc>
        <w:tc>
          <w:tcPr>
            <w:tcW w:w="1820" w:type="dxa"/>
            <w:vAlign w:val="bottom"/>
            <w:gridSpan w:val="4"/>
          </w:tcPr>
          <w:p>
            <w:pPr>
              <w:spacing w:after="0"/>
              <w:rPr>
                <w:sz w:val="11"/>
                <w:szCs w:val="11"/>
                <w:color w:val="auto"/>
              </w:rPr>
            </w:pPr>
          </w:p>
        </w:tc>
        <w:tc>
          <w:tcPr>
            <w:tcW w:w="6220" w:type="dxa"/>
            <w:vAlign w:val="bottom"/>
          </w:tcPr>
          <w:p>
            <w:pPr>
              <w:spacing w:after="0"/>
              <w:rPr>
                <w:sz w:val="11"/>
                <w:szCs w:val="11"/>
                <w:color w:val="auto"/>
              </w:rPr>
            </w:pPr>
          </w:p>
        </w:tc>
        <w:tc>
          <w:tcPr>
            <w:tcW w:w="120" w:type="dxa"/>
            <w:vAlign w:val="bottom"/>
          </w:tcPr>
          <w:p>
            <w:pPr>
              <w:jc w:val="right"/>
              <w:spacing w:after="0" w:line="128" w:lineRule="exact"/>
              <w:rPr>
                <w:rFonts w:ascii="Arial" w:cs="Arial" w:eastAsia="Arial" w:hAnsi="Arial"/>
                <w:sz w:val="12"/>
                <w:szCs w:val="12"/>
                <w:color w:val="0000EE"/>
                <w:w w:val="74"/>
              </w:rPr>
            </w:pPr>
            <w:hyperlink w:anchor="page39">
              <w:r>
                <w:rPr>
                  <w:rFonts w:ascii="Arial" w:cs="Arial" w:eastAsia="Arial" w:hAnsi="Arial"/>
                  <w:sz w:val="12"/>
                  <w:szCs w:val="12"/>
                  <w:color w:val="0000EE"/>
                  <w:w w:val="74"/>
                </w:rPr>
                <w:t>36</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260" w:type="dxa"/>
            <w:vAlign w:val="bottom"/>
            <w:tcBorders>
              <w:left w:val="single" w:sz="8" w:color="0000EE"/>
            </w:tcBorders>
            <w:shd w:val="clear" w:color="auto" w:fill="0000EE"/>
          </w:tcPr>
          <w:p>
            <w:pPr>
              <w:spacing w:after="0"/>
              <w:rPr>
                <w:sz w:val="2"/>
                <w:szCs w:val="2"/>
                <w:color w:val="auto"/>
              </w:rPr>
            </w:pPr>
          </w:p>
        </w:tc>
        <w:tc>
          <w:tcPr>
            <w:tcW w:w="340" w:type="dxa"/>
            <w:vAlign w:val="bottom"/>
            <w:tcBorders>
              <w:left w:val="single" w:sz="8" w:color="0000EE"/>
            </w:tcBorders>
            <w:shd w:val="clear" w:color="auto" w:fill="0000EE"/>
          </w:tcPr>
          <w:p>
            <w:pPr>
              <w:spacing w:after="0"/>
              <w:rPr>
                <w:sz w:val="2"/>
                <w:szCs w:val="2"/>
                <w:color w:val="auto"/>
              </w:rPr>
            </w:pPr>
          </w:p>
        </w:tc>
        <w:tc>
          <w:tcPr>
            <w:tcW w:w="560" w:type="dxa"/>
            <w:vAlign w:val="bottom"/>
            <w:tcBorders>
              <w:right w:val="single" w:sz="8" w:color="0000EE"/>
            </w:tcBorders>
            <w:shd w:val="clear" w:color="auto" w:fill="0000EE"/>
          </w:tcPr>
          <w:p>
            <w:pPr>
              <w:spacing w:after="0"/>
              <w:rPr>
                <w:sz w:val="2"/>
                <w:szCs w:val="2"/>
                <w:color w:val="auto"/>
              </w:rPr>
            </w:pPr>
          </w:p>
        </w:tc>
        <w:tc>
          <w:tcPr>
            <w:tcW w:w="860" w:type="dxa"/>
            <w:vAlign w:val="bottom"/>
            <w:shd w:val="clear" w:color="auto" w:fill="0000EE"/>
          </w:tcPr>
          <w:p>
            <w:pPr>
              <w:spacing w:after="0"/>
              <w:rPr>
                <w:sz w:val="2"/>
                <w:szCs w:val="2"/>
                <w:color w:val="auto"/>
              </w:rPr>
            </w:pPr>
          </w:p>
        </w:tc>
        <w:tc>
          <w:tcPr>
            <w:tcW w:w="220" w:type="dxa"/>
            <w:vAlign w:val="bottom"/>
          </w:tcPr>
          <w:p>
            <w:pPr>
              <w:spacing w:after="0"/>
              <w:rPr>
                <w:sz w:val="2"/>
                <w:szCs w:val="2"/>
                <w:color w:val="auto"/>
              </w:rPr>
            </w:pPr>
          </w:p>
        </w:tc>
        <w:tc>
          <w:tcPr>
            <w:tcW w:w="140" w:type="dxa"/>
            <w:vAlign w:val="bottom"/>
          </w:tcPr>
          <w:p>
            <w:pPr>
              <w:spacing w:after="0"/>
              <w:rPr>
                <w:sz w:val="2"/>
                <w:szCs w:val="2"/>
                <w:color w:val="auto"/>
              </w:rPr>
            </w:pPr>
          </w:p>
        </w:tc>
        <w:tc>
          <w:tcPr>
            <w:tcW w:w="1120" w:type="dxa"/>
            <w:vAlign w:val="bottom"/>
          </w:tcPr>
          <w:p>
            <w:pPr>
              <w:spacing w:after="0"/>
              <w:rPr>
                <w:sz w:val="2"/>
                <w:szCs w:val="2"/>
                <w:color w:val="auto"/>
              </w:rPr>
            </w:pPr>
          </w:p>
        </w:tc>
        <w:tc>
          <w:tcPr>
            <w:tcW w:w="340" w:type="dxa"/>
            <w:vAlign w:val="bottom"/>
          </w:tcPr>
          <w:p>
            <w:pPr>
              <w:spacing w:after="0"/>
              <w:rPr>
                <w:sz w:val="2"/>
                <w:szCs w:val="2"/>
                <w:color w:val="auto"/>
              </w:rPr>
            </w:pPr>
          </w:p>
        </w:tc>
        <w:tc>
          <w:tcPr>
            <w:tcW w:w="6220" w:type="dxa"/>
            <w:vAlign w:val="bottom"/>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2240" w:type="dxa"/>
            <w:vAlign w:val="bottom"/>
            <w:tcBorders>
              <w:right w:val="single" w:sz="8" w:color="CCEEFF"/>
            </w:tcBorders>
            <w:gridSpan w:val="8"/>
            <w:shd w:val="clear" w:color="auto" w:fill="CCEEFF"/>
          </w:tcPr>
          <w:p>
            <w:pPr>
              <w:spacing w:after="0" w:line="128" w:lineRule="exact"/>
              <w:rPr>
                <w:rFonts w:ascii="Arial" w:cs="Arial" w:eastAsia="Arial" w:hAnsi="Arial"/>
                <w:sz w:val="13"/>
                <w:szCs w:val="13"/>
                <w:b w:val="1"/>
                <w:bCs w:val="1"/>
                <w:color w:val="0000EE"/>
                <w:w w:val="89"/>
              </w:rPr>
            </w:pPr>
            <w:hyperlink w:anchor="page43">
              <w:r>
                <w:rPr>
                  <w:rFonts w:ascii="Arial" w:cs="Arial" w:eastAsia="Arial" w:hAnsi="Arial"/>
                  <w:sz w:val="13"/>
                  <w:szCs w:val="13"/>
                  <w:b w:val="1"/>
                  <w:bCs w:val="1"/>
                  <w:color w:val="0000EE"/>
                  <w:w w:val="89"/>
                </w:rPr>
                <w:t>Compensation of Directors and Officers</w:t>
              </w:r>
            </w:hyperlink>
          </w:p>
        </w:tc>
        <w:tc>
          <w:tcPr>
            <w:tcW w:w="860" w:type="dxa"/>
            <w:vAlign w:val="bottom"/>
            <w:shd w:val="clear" w:color="auto" w:fill="CCEEFF"/>
          </w:tcPr>
          <w:p>
            <w:pPr>
              <w:spacing w:after="0"/>
              <w:rPr>
                <w:sz w:val="11"/>
                <w:szCs w:val="11"/>
                <w:color w:val="auto"/>
              </w:rPr>
            </w:pPr>
          </w:p>
        </w:tc>
        <w:tc>
          <w:tcPr>
            <w:tcW w:w="8040" w:type="dxa"/>
            <w:vAlign w:val="bottom"/>
            <w:tcBorders>
              <w:right w:val="single" w:sz="8" w:color="CCEEFF"/>
            </w:tcBorders>
            <w:gridSpan w:val="5"/>
            <w:shd w:val="clear" w:color="auto" w:fill="CCEEFF"/>
          </w:tcPr>
          <w:p>
            <w:pPr>
              <w:spacing w:after="0"/>
              <w:rPr>
                <w:sz w:val="11"/>
                <w:szCs w:val="11"/>
                <w:color w:val="auto"/>
              </w:rPr>
            </w:pPr>
          </w:p>
        </w:tc>
        <w:tc>
          <w:tcPr>
            <w:tcW w:w="120" w:type="dxa"/>
            <w:vAlign w:val="bottom"/>
            <w:tcBorders>
              <w:right w:val="single" w:sz="8" w:color="CCEEFF"/>
            </w:tcBorders>
            <w:shd w:val="clear" w:color="auto" w:fill="CCEEFF"/>
          </w:tcPr>
          <w:p>
            <w:pPr>
              <w:jc w:val="right"/>
              <w:spacing w:after="0" w:line="128" w:lineRule="exact"/>
              <w:rPr>
                <w:rFonts w:ascii="Arial" w:cs="Arial" w:eastAsia="Arial" w:hAnsi="Arial"/>
                <w:sz w:val="12"/>
                <w:szCs w:val="12"/>
                <w:color w:val="0000EE"/>
                <w:w w:val="74"/>
              </w:rPr>
            </w:pPr>
            <w:hyperlink w:anchor="page43">
              <w:r>
                <w:rPr>
                  <w:rFonts w:ascii="Arial" w:cs="Arial" w:eastAsia="Arial" w:hAnsi="Arial"/>
                  <w:sz w:val="12"/>
                  <w:szCs w:val="12"/>
                  <w:color w:val="0000EE"/>
                  <w:w w:val="74"/>
                </w:rPr>
                <w:t>39</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260" w:type="dxa"/>
            <w:vAlign w:val="bottom"/>
            <w:tcBorders>
              <w:left w:val="single" w:sz="8" w:color="0000EE"/>
            </w:tcBorders>
            <w:shd w:val="clear" w:color="auto" w:fill="0000EE"/>
          </w:tcPr>
          <w:p>
            <w:pPr>
              <w:spacing w:after="0"/>
              <w:rPr>
                <w:sz w:val="2"/>
                <w:szCs w:val="2"/>
                <w:color w:val="auto"/>
              </w:rPr>
            </w:pPr>
          </w:p>
        </w:tc>
        <w:tc>
          <w:tcPr>
            <w:tcW w:w="340" w:type="dxa"/>
            <w:vAlign w:val="bottom"/>
            <w:tcBorders>
              <w:left w:val="single" w:sz="8" w:color="0000EE"/>
            </w:tcBorders>
            <w:shd w:val="clear" w:color="auto" w:fill="0000EE"/>
          </w:tcPr>
          <w:p>
            <w:pPr>
              <w:spacing w:after="0"/>
              <w:rPr>
                <w:sz w:val="2"/>
                <w:szCs w:val="2"/>
                <w:color w:val="auto"/>
              </w:rPr>
            </w:pPr>
          </w:p>
        </w:tc>
        <w:tc>
          <w:tcPr>
            <w:tcW w:w="560" w:type="dxa"/>
            <w:vAlign w:val="bottom"/>
            <w:tcBorders>
              <w:right w:val="single" w:sz="8" w:color="CCEEFF"/>
            </w:tcBorders>
            <w:shd w:val="clear" w:color="auto" w:fill="0000EE"/>
          </w:tcPr>
          <w:p>
            <w:pPr>
              <w:spacing w:after="0"/>
              <w:rPr>
                <w:sz w:val="2"/>
                <w:szCs w:val="2"/>
                <w:color w:val="auto"/>
              </w:rPr>
            </w:pPr>
          </w:p>
        </w:tc>
        <w:tc>
          <w:tcPr>
            <w:tcW w:w="860" w:type="dxa"/>
            <w:vAlign w:val="bottom"/>
            <w:shd w:val="clear" w:color="auto" w:fill="CCEEFF"/>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40" w:type="dxa"/>
            <w:vAlign w:val="bottom"/>
            <w:shd w:val="clear" w:color="auto" w:fill="CCEEFF"/>
          </w:tcPr>
          <w:p>
            <w:pPr>
              <w:spacing w:after="0"/>
              <w:rPr>
                <w:sz w:val="2"/>
                <w:szCs w:val="2"/>
                <w:color w:val="auto"/>
              </w:rPr>
            </w:pPr>
          </w:p>
        </w:tc>
        <w:tc>
          <w:tcPr>
            <w:tcW w:w="1120" w:type="dxa"/>
            <w:vAlign w:val="bottom"/>
            <w:shd w:val="clear" w:color="auto" w:fill="CCEEFF"/>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6220" w:type="dxa"/>
            <w:vAlign w:val="bottom"/>
            <w:tcBorders>
              <w:right w:val="single" w:sz="8" w:color="CCEEFF"/>
            </w:tcBorders>
            <w:shd w:val="clear" w:color="auto" w:fill="CCEEFF"/>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3460" w:type="dxa"/>
            <w:vAlign w:val="bottom"/>
            <w:gridSpan w:val="11"/>
          </w:tcPr>
          <w:p>
            <w:pPr>
              <w:spacing w:after="0" w:line="128" w:lineRule="exact"/>
              <w:rPr>
                <w:rFonts w:ascii="Arial" w:cs="Arial" w:eastAsia="Arial" w:hAnsi="Arial"/>
                <w:sz w:val="13"/>
                <w:szCs w:val="13"/>
                <w:b w:val="1"/>
                <w:bCs w:val="1"/>
                <w:color w:val="0000EE"/>
                <w:w w:val="90"/>
              </w:rPr>
            </w:pPr>
            <w:hyperlink w:anchor="page47">
              <w:r>
                <w:rPr>
                  <w:rFonts w:ascii="Arial" w:cs="Arial" w:eastAsia="Arial" w:hAnsi="Arial"/>
                  <w:sz w:val="13"/>
                  <w:szCs w:val="13"/>
                  <w:b w:val="1"/>
                  <w:bCs w:val="1"/>
                  <w:color w:val="0000EE"/>
                  <w:w w:val="90"/>
                </w:rPr>
                <w:t>Security Ownership of Management and Certain Stockholders</w:t>
              </w:r>
            </w:hyperlink>
          </w:p>
        </w:tc>
        <w:tc>
          <w:tcPr>
            <w:tcW w:w="7680" w:type="dxa"/>
            <w:vAlign w:val="bottom"/>
            <w:gridSpan w:val="3"/>
          </w:tcPr>
          <w:p>
            <w:pPr>
              <w:spacing w:after="0"/>
              <w:rPr>
                <w:sz w:val="11"/>
                <w:szCs w:val="11"/>
                <w:color w:val="auto"/>
              </w:rPr>
            </w:pPr>
          </w:p>
        </w:tc>
        <w:tc>
          <w:tcPr>
            <w:tcW w:w="120" w:type="dxa"/>
            <w:vAlign w:val="bottom"/>
          </w:tcPr>
          <w:p>
            <w:pPr>
              <w:jc w:val="right"/>
              <w:spacing w:after="0" w:line="128" w:lineRule="exact"/>
              <w:rPr>
                <w:rFonts w:ascii="Arial" w:cs="Arial" w:eastAsia="Arial" w:hAnsi="Arial"/>
                <w:sz w:val="12"/>
                <w:szCs w:val="12"/>
                <w:color w:val="0000EE"/>
                <w:w w:val="74"/>
              </w:rPr>
            </w:pPr>
            <w:hyperlink w:anchor="page47">
              <w:r>
                <w:rPr>
                  <w:rFonts w:ascii="Arial" w:cs="Arial" w:eastAsia="Arial" w:hAnsi="Arial"/>
                  <w:sz w:val="12"/>
                  <w:szCs w:val="12"/>
                  <w:color w:val="0000EE"/>
                  <w:w w:val="74"/>
                </w:rPr>
                <w:t>43</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260" w:type="dxa"/>
            <w:vAlign w:val="bottom"/>
            <w:tcBorders>
              <w:left w:val="single" w:sz="8" w:color="0000EE"/>
            </w:tcBorders>
            <w:shd w:val="clear" w:color="auto" w:fill="0000EE"/>
          </w:tcPr>
          <w:p>
            <w:pPr>
              <w:spacing w:after="0"/>
              <w:rPr>
                <w:sz w:val="2"/>
                <w:szCs w:val="2"/>
                <w:color w:val="auto"/>
              </w:rPr>
            </w:pPr>
          </w:p>
        </w:tc>
        <w:tc>
          <w:tcPr>
            <w:tcW w:w="340" w:type="dxa"/>
            <w:vAlign w:val="bottom"/>
            <w:tcBorders>
              <w:left w:val="single" w:sz="8" w:color="0000EE"/>
            </w:tcBorders>
            <w:shd w:val="clear" w:color="auto" w:fill="0000EE"/>
          </w:tcPr>
          <w:p>
            <w:pPr>
              <w:spacing w:after="0"/>
              <w:rPr>
                <w:sz w:val="2"/>
                <w:szCs w:val="2"/>
                <w:color w:val="auto"/>
              </w:rPr>
            </w:pPr>
          </w:p>
        </w:tc>
        <w:tc>
          <w:tcPr>
            <w:tcW w:w="560" w:type="dxa"/>
            <w:vAlign w:val="bottom"/>
            <w:tcBorders>
              <w:right w:val="single" w:sz="8" w:color="0000EE"/>
            </w:tcBorders>
            <w:shd w:val="clear" w:color="auto" w:fill="0000EE"/>
          </w:tcPr>
          <w:p>
            <w:pPr>
              <w:spacing w:after="0"/>
              <w:rPr>
                <w:sz w:val="2"/>
                <w:szCs w:val="2"/>
                <w:color w:val="auto"/>
              </w:rPr>
            </w:pPr>
          </w:p>
        </w:tc>
        <w:tc>
          <w:tcPr>
            <w:tcW w:w="86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1120" w:type="dxa"/>
            <w:vAlign w:val="bottom"/>
          </w:tcPr>
          <w:p>
            <w:pPr>
              <w:spacing w:after="0"/>
              <w:rPr>
                <w:sz w:val="2"/>
                <w:szCs w:val="2"/>
                <w:color w:val="auto"/>
              </w:rPr>
            </w:pPr>
          </w:p>
        </w:tc>
        <w:tc>
          <w:tcPr>
            <w:tcW w:w="340" w:type="dxa"/>
            <w:vAlign w:val="bottom"/>
          </w:tcPr>
          <w:p>
            <w:pPr>
              <w:spacing w:after="0"/>
              <w:rPr>
                <w:sz w:val="2"/>
                <w:szCs w:val="2"/>
                <w:color w:val="auto"/>
              </w:rPr>
            </w:pPr>
          </w:p>
        </w:tc>
        <w:tc>
          <w:tcPr>
            <w:tcW w:w="6220" w:type="dxa"/>
            <w:vAlign w:val="bottom"/>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3460" w:type="dxa"/>
            <w:vAlign w:val="bottom"/>
            <w:gridSpan w:val="11"/>
            <w:shd w:val="clear" w:color="auto" w:fill="CCEEFF"/>
          </w:tcPr>
          <w:p>
            <w:pPr>
              <w:spacing w:after="0" w:line="128" w:lineRule="exact"/>
              <w:rPr>
                <w:rFonts w:ascii="Arial" w:cs="Arial" w:eastAsia="Arial" w:hAnsi="Arial"/>
                <w:sz w:val="13"/>
                <w:szCs w:val="13"/>
                <w:b w:val="1"/>
                <w:bCs w:val="1"/>
                <w:color w:val="0000EE"/>
                <w:w w:val="93"/>
              </w:rPr>
            </w:pPr>
            <w:hyperlink w:anchor="page47">
              <w:r>
                <w:rPr>
                  <w:rFonts w:ascii="Arial" w:cs="Arial" w:eastAsia="Arial" w:hAnsi="Arial"/>
                  <w:sz w:val="13"/>
                  <w:szCs w:val="13"/>
                  <w:b w:val="1"/>
                  <w:bCs w:val="1"/>
                  <w:color w:val="0000EE"/>
                  <w:w w:val="93"/>
                </w:rPr>
                <w:t>Interest of Management and Others in Certain Transactions</w:t>
              </w:r>
            </w:hyperlink>
          </w:p>
        </w:tc>
        <w:tc>
          <w:tcPr>
            <w:tcW w:w="7680" w:type="dxa"/>
            <w:vAlign w:val="bottom"/>
            <w:tcBorders>
              <w:right w:val="single" w:sz="8" w:color="CCEEFF"/>
            </w:tcBorders>
            <w:gridSpan w:val="3"/>
            <w:shd w:val="clear" w:color="auto" w:fill="CCEEFF"/>
          </w:tcPr>
          <w:p>
            <w:pPr>
              <w:spacing w:after="0"/>
              <w:rPr>
                <w:sz w:val="11"/>
                <w:szCs w:val="11"/>
                <w:color w:val="auto"/>
              </w:rPr>
            </w:pPr>
          </w:p>
        </w:tc>
        <w:tc>
          <w:tcPr>
            <w:tcW w:w="120" w:type="dxa"/>
            <w:vAlign w:val="bottom"/>
            <w:tcBorders>
              <w:right w:val="single" w:sz="8" w:color="CCEEFF"/>
            </w:tcBorders>
            <w:shd w:val="clear" w:color="auto" w:fill="CCEEFF"/>
          </w:tcPr>
          <w:p>
            <w:pPr>
              <w:jc w:val="right"/>
              <w:spacing w:after="0" w:line="128" w:lineRule="exact"/>
              <w:rPr>
                <w:rFonts w:ascii="Arial" w:cs="Arial" w:eastAsia="Arial" w:hAnsi="Arial"/>
                <w:sz w:val="12"/>
                <w:szCs w:val="12"/>
                <w:color w:val="0000EE"/>
                <w:w w:val="74"/>
              </w:rPr>
            </w:pPr>
            <w:hyperlink w:anchor="page47">
              <w:r>
                <w:rPr>
                  <w:rFonts w:ascii="Arial" w:cs="Arial" w:eastAsia="Arial" w:hAnsi="Arial"/>
                  <w:sz w:val="12"/>
                  <w:szCs w:val="12"/>
                  <w:color w:val="0000EE"/>
                  <w:w w:val="74"/>
                </w:rPr>
                <w:t>43</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260" w:type="dxa"/>
            <w:vAlign w:val="bottom"/>
            <w:tcBorders>
              <w:left w:val="single" w:sz="8" w:color="0000EE"/>
            </w:tcBorders>
            <w:shd w:val="clear" w:color="auto" w:fill="0000EE"/>
          </w:tcPr>
          <w:p>
            <w:pPr>
              <w:spacing w:after="0"/>
              <w:rPr>
                <w:sz w:val="2"/>
                <w:szCs w:val="2"/>
                <w:color w:val="auto"/>
              </w:rPr>
            </w:pPr>
          </w:p>
        </w:tc>
        <w:tc>
          <w:tcPr>
            <w:tcW w:w="340" w:type="dxa"/>
            <w:vAlign w:val="bottom"/>
            <w:tcBorders>
              <w:left w:val="single" w:sz="8" w:color="0000EE"/>
            </w:tcBorders>
            <w:shd w:val="clear" w:color="auto" w:fill="0000EE"/>
          </w:tcPr>
          <w:p>
            <w:pPr>
              <w:spacing w:after="0"/>
              <w:rPr>
                <w:sz w:val="2"/>
                <w:szCs w:val="2"/>
                <w:color w:val="auto"/>
              </w:rPr>
            </w:pPr>
          </w:p>
        </w:tc>
        <w:tc>
          <w:tcPr>
            <w:tcW w:w="560" w:type="dxa"/>
            <w:vAlign w:val="bottom"/>
            <w:tcBorders>
              <w:right w:val="single" w:sz="8" w:color="0000EE"/>
            </w:tcBorders>
            <w:shd w:val="clear" w:color="auto" w:fill="0000EE"/>
          </w:tcPr>
          <w:p>
            <w:pPr>
              <w:spacing w:after="0"/>
              <w:rPr>
                <w:sz w:val="2"/>
                <w:szCs w:val="2"/>
                <w:color w:val="auto"/>
              </w:rPr>
            </w:pPr>
          </w:p>
        </w:tc>
        <w:tc>
          <w:tcPr>
            <w:tcW w:w="86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140" w:type="dxa"/>
            <w:vAlign w:val="bottom"/>
            <w:shd w:val="clear" w:color="auto" w:fill="CCEEFF"/>
          </w:tcPr>
          <w:p>
            <w:pPr>
              <w:spacing w:after="0"/>
              <w:rPr>
                <w:sz w:val="2"/>
                <w:szCs w:val="2"/>
                <w:color w:val="auto"/>
              </w:rPr>
            </w:pPr>
          </w:p>
        </w:tc>
        <w:tc>
          <w:tcPr>
            <w:tcW w:w="1120" w:type="dxa"/>
            <w:vAlign w:val="bottom"/>
            <w:shd w:val="clear" w:color="auto" w:fill="CCEEFF"/>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6220" w:type="dxa"/>
            <w:vAlign w:val="bottom"/>
            <w:tcBorders>
              <w:right w:val="single" w:sz="8" w:color="CCEEFF"/>
            </w:tcBorders>
            <w:shd w:val="clear" w:color="auto" w:fill="CCEEFF"/>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340" w:type="dxa"/>
            <w:vAlign w:val="bottom"/>
            <w:gridSpan w:val="6"/>
          </w:tcPr>
          <w:p>
            <w:pPr>
              <w:spacing w:after="0" w:line="128" w:lineRule="exact"/>
              <w:rPr>
                <w:rFonts w:ascii="Arial" w:cs="Arial" w:eastAsia="Arial" w:hAnsi="Arial"/>
                <w:sz w:val="13"/>
                <w:szCs w:val="13"/>
                <w:b w:val="1"/>
                <w:bCs w:val="1"/>
                <w:color w:val="0000EE"/>
                <w:w w:val="85"/>
              </w:rPr>
            </w:pPr>
            <w:hyperlink w:anchor="page48">
              <w:r>
                <w:rPr>
                  <w:rFonts w:ascii="Arial" w:cs="Arial" w:eastAsia="Arial" w:hAnsi="Arial"/>
                  <w:sz w:val="13"/>
                  <w:szCs w:val="13"/>
                  <w:b w:val="1"/>
                  <w:bCs w:val="1"/>
                  <w:color w:val="0000EE"/>
                  <w:w w:val="85"/>
                </w:rPr>
                <w:t>Securities Being Offered</w:t>
              </w:r>
            </w:hyperlink>
          </w:p>
        </w:tc>
        <w:tc>
          <w:tcPr>
            <w:tcW w:w="1980" w:type="dxa"/>
            <w:vAlign w:val="bottom"/>
            <w:gridSpan w:val="4"/>
          </w:tcPr>
          <w:p>
            <w:pPr>
              <w:spacing w:after="0"/>
              <w:rPr>
                <w:sz w:val="11"/>
                <w:szCs w:val="11"/>
                <w:color w:val="auto"/>
              </w:rPr>
            </w:pPr>
          </w:p>
        </w:tc>
        <w:tc>
          <w:tcPr>
            <w:tcW w:w="7820" w:type="dxa"/>
            <w:vAlign w:val="bottom"/>
            <w:gridSpan w:val="4"/>
          </w:tcPr>
          <w:p>
            <w:pPr>
              <w:spacing w:after="0"/>
              <w:rPr>
                <w:sz w:val="11"/>
                <w:szCs w:val="11"/>
                <w:color w:val="auto"/>
              </w:rPr>
            </w:pPr>
          </w:p>
        </w:tc>
        <w:tc>
          <w:tcPr>
            <w:tcW w:w="120" w:type="dxa"/>
            <w:vAlign w:val="bottom"/>
          </w:tcPr>
          <w:p>
            <w:pPr>
              <w:jc w:val="right"/>
              <w:spacing w:after="0" w:line="128" w:lineRule="exact"/>
              <w:rPr>
                <w:rFonts w:ascii="Arial" w:cs="Arial" w:eastAsia="Arial" w:hAnsi="Arial"/>
                <w:sz w:val="12"/>
                <w:szCs w:val="12"/>
                <w:color w:val="0000EE"/>
                <w:w w:val="74"/>
              </w:rPr>
            </w:pPr>
            <w:hyperlink w:anchor="page48">
              <w:r>
                <w:rPr>
                  <w:rFonts w:ascii="Arial" w:cs="Arial" w:eastAsia="Arial" w:hAnsi="Arial"/>
                  <w:sz w:val="12"/>
                  <w:szCs w:val="12"/>
                  <w:color w:val="0000EE"/>
                  <w:w w:val="74"/>
                </w:rPr>
                <w:t>44</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260" w:type="dxa"/>
            <w:vAlign w:val="bottom"/>
            <w:tcBorders>
              <w:left w:val="single" w:sz="8" w:color="0000EE"/>
            </w:tcBorders>
            <w:shd w:val="clear" w:color="auto" w:fill="0000EE"/>
          </w:tcPr>
          <w:p>
            <w:pPr>
              <w:spacing w:after="0"/>
              <w:rPr>
                <w:sz w:val="2"/>
                <w:szCs w:val="2"/>
                <w:color w:val="auto"/>
              </w:rPr>
            </w:pPr>
          </w:p>
        </w:tc>
        <w:tc>
          <w:tcPr>
            <w:tcW w:w="340" w:type="dxa"/>
            <w:vAlign w:val="bottom"/>
          </w:tcPr>
          <w:p>
            <w:pPr>
              <w:spacing w:after="0"/>
              <w:rPr>
                <w:sz w:val="2"/>
                <w:szCs w:val="2"/>
                <w:color w:val="auto"/>
              </w:rPr>
            </w:pPr>
          </w:p>
        </w:tc>
        <w:tc>
          <w:tcPr>
            <w:tcW w:w="560" w:type="dxa"/>
            <w:vAlign w:val="bottom"/>
          </w:tcPr>
          <w:p>
            <w:pPr>
              <w:spacing w:after="0"/>
              <w:rPr>
                <w:sz w:val="2"/>
                <w:szCs w:val="2"/>
                <w:color w:val="auto"/>
              </w:rPr>
            </w:pPr>
          </w:p>
        </w:tc>
        <w:tc>
          <w:tcPr>
            <w:tcW w:w="860" w:type="dxa"/>
            <w:vAlign w:val="bottom"/>
          </w:tcPr>
          <w:p>
            <w:pPr>
              <w:spacing w:after="0"/>
              <w:rPr>
                <w:sz w:val="2"/>
                <w:szCs w:val="2"/>
                <w:color w:val="auto"/>
              </w:rPr>
            </w:pPr>
          </w:p>
        </w:tc>
        <w:tc>
          <w:tcPr>
            <w:tcW w:w="220" w:type="dxa"/>
            <w:vAlign w:val="bottom"/>
          </w:tcPr>
          <w:p>
            <w:pPr>
              <w:spacing w:after="0"/>
              <w:rPr>
                <w:sz w:val="2"/>
                <w:szCs w:val="2"/>
                <w:color w:val="auto"/>
              </w:rPr>
            </w:pPr>
          </w:p>
        </w:tc>
        <w:tc>
          <w:tcPr>
            <w:tcW w:w="140" w:type="dxa"/>
            <w:vAlign w:val="bottom"/>
          </w:tcPr>
          <w:p>
            <w:pPr>
              <w:spacing w:after="0"/>
              <w:rPr>
                <w:sz w:val="2"/>
                <w:szCs w:val="2"/>
                <w:color w:val="auto"/>
              </w:rPr>
            </w:pPr>
          </w:p>
        </w:tc>
        <w:tc>
          <w:tcPr>
            <w:tcW w:w="1120" w:type="dxa"/>
            <w:vAlign w:val="bottom"/>
          </w:tcPr>
          <w:p>
            <w:pPr>
              <w:spacing w:after="0"/>
              <w:rPr>
                <w:sz w:val="2"/>
                <w:szCs w:val="2"/>
                <w:color w:val="auto"/>
              </w:rPr>
            </w:pPr>
          </w:p>
        </w:tc>
        <w:tc>
          <w:tcPr>
            <w:tcW w:w="340" w:type="dxa"/>
            <w:vAlign w:val="bottom"/>
          </w:tcPr>
          <w:p>
            <w:pPr>
              <w:spacing w:after="0"/>
              <w:rPr>
                <w:sz w:val="2"/>
                <w:szCs w:val="2"/>
                <w:color w:val="auto"/>
              </w:rPr>
            </w:pPr>
          </w:p>
        </w:tc>
        <w:tc>
          <w:tcPr>
            <w:tcW w:w="6220" w:type="dxa"/>
            <w:vAlign w:val="bottom"/>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1140" w:type="dxa"/>
            <w:vAlign w:val="bottom"/>
            <w:tcBorders>
              <w:right w:val="single" w:sz="8" w:color="CCEEFF"/>
            </w:tcBorders>
            <w:gridSpan w:val="14"/>
            <w:shd w:val="clear" w:color="auto" w:fill="CCEEFF"/>
          </w:tcPr>
          <w:p>
            <w:pPr>
              <w:spacing w:after="0" w:line="128" w:lineRule="exact"/>
              <w:rPr>
                <w:rFonts w:ascii="Arial" w:cs="Arial" w:eastAsia="Arial" w:hAnsi="Arial"/>
                <w:sz w:val="13"/>
                <w:szCs w:val="13"/>
                <w:b w:val="1"/>
                <w:bCs w:val="1"/>
                <w:color w:val="0000EE"/>
              </w:rPr>
            </w:pPr>
            <w:hyperlink w:anchor="page55">
              <w:r>
                <w:rPr>
                  <w:rFonts w:ascii="Arial" w:cs="Arial" w:eastAsia="Arial" w:hAnsi="Arial"/>
                  <w:sz w:val="13"/>
                  <w:szCs w:val="13"/>
                  <w:b w:val="1"/>
                  <w:bCs w:val="1"/>
                  <w:color w:val="0000EE"/>
                </w:rPr>
                <w:t>Shares Eligible for Future Sale</w:t>
              </w:r>
            </w:hyperlink>
          </w:p>
        </w:tc>
        <w:tc>
          <w:tcPr>
            <w:tcW w:w="120" w:type="dxa"/>
            <w:vAlign w:val="bottom"/>
            <w:tcBorders>
              <w:right w:val="single" w:sz="8" w:color="CCEEFF"/>
            </w:tcBorders>
            <w:shd w:val="clear" w:color="auto" w:fill="CCEEFF"/>
          </w:tcPr>
          <w:p>
            <w:pPr>
              <w:jc w:val="right"/>
              <w:spacing w:after="0" w:line="128" w:lineRule="exact"/>
              <w:rPr>
                <w:rFonts w:ascii="Arial" w:cs="Arial" w:eastAsia="Arial" w:hAnsi="Arial"/>
                <w:sz w:val="12"/>
                <w:szCs w:val="12"/>
                <w:color w:val="0000EE"/>
                <w:w w:val="74"/>
              </w:rPr>
            </w:pPr>
            <w:hyperlink w:anchor="page55">
              <w:r>
                <w:rPr>
                  <w:rFonts w:ascii="Arial" w:cs="Arial" w:eastAsia="Arial" w:hAnsi="Arial"/>
                  <w:sz w:val="12"/>
                  <w:szCs w:val="12"/>
                  <w:color w:val="0000EE"/>
                  <w:w w:val="74"/>
                </w:rPr>
                <w:t>51</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260" w:type="dxa"/>
            <w:vAlign w:val="bottom"/>
            <w:tcBorders>
              <w:left w:val="single" w:sz="8" w:color="0000EE"/>
            </w:tcBorders>
            <w:shd w:val="clear" w:color="auto" w:fill="0000EE"/>
          </w:tcPr>
          <w:p>
            <w:pPr>
              <w:spacing w:after="0"/>
              <w:rPr>
                <w:sz w:val="2"/>
                <w:szCs w:val="2"/>
                <w:color w:val="auto"/>
              </w:rPr>
            </w:pPr>
          </w:p>
        </w:tc>
        <w:tc>
          <w:tcPr>
            <w:tcW w:w="340" w:type="dxa"/>
            <w:vAlign w:val="bottom"/>
            <w:tcBorders>
              <w:left w:val="single" w:sz="8" w:color="0000EE"/>
            </w:tcBorders>
            <w:shd w:val="clear" w:color="auto" w:fill="0000EE"/>
          </w:tcPr>
          <w:p>
            <w:pPr>
              <w:spacing w:after="0"/>
              <w:rPr>
                <w:sz w:val="2"/>
                <w:szCs w:val="2"/>
                <w:color w:val="auto"/>
              </w:rPr>
            </w:pPr>
          </w:p>
        </w:tc>
        <w:tc>
          <w:tcPr>
            <w:tcW w:w="560" w:type="dxa"/>
            <w:vAlign w:val="bottom"/>
            <w:tcBorders>
              <w:right w:val="single" w:sz="8" w:color="CCEEFF"/>
            </w:tcBorders>
            <w:shd w:val="clear" w:color="auto" w:fill="CCEEFF"/>
          </w:tcPr>
          <w:p>
            <w:pPr>
              <w:spacing w:after="0"/>
              <w:rPr>
                <w:sz w:val="2"/>
                <w:szCs w:val="2"/>
                <w:color w:val="auto"/>
              </w:rPr>
            </w:pPr>
          </w:p>
        </w:tc>
        <w:tc>
          <w:tcPr>
            <w:tcW w:w="860" w:type="dxa"/>
            <w:vAlign w:val="bottom"/>
            <w:shd w:val="clear" w:color="auto" w:fill="CCEEFF"/>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40" w:type="dxa"/>
            <w:vAlign w:val="bottom"/>
            <w:shd w:val="clear" w:color="auto" w:fill="CCEEFF"/>
          </w:tcPr>
          <w:p>
            <w:pPr>
              <w:spacing w:after="0"/>
              <w:rPr>
                <w:sz w:val="2"/>
                <w:szCs w:val="2"/>
                <w:color w:val="auto"/>
              </w:rPr>
            </w:pPr>
          </w:p>
        </w:tc>
        <w:tc>
          <w:tcPr>
            <w:tcW w:w="1120" w:type="dxa"/>
            <w:vAlign w:val="bottom"/>
            <w:shd w:val="clear" w:color="auto" w:fill="CCEEFF"/>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6220" w:type="dxa"/>
            <w:vAlign w:val="bottom"/>
            <w:tcBorders>
              <w:right w:val="single" w:sz="8" w:color="CCEEFF"/>
            </w:tcBorders>
            <w:shd w:val="clear" w:color="auto" w:fill="CCEEFF"/>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680" w:type="dxa"/>
            <w:vAlign w:val="bottom"/>
            <w:gridSpan w:val="7"/>
          </w:tcPr>
          <w:p>
            <w:pPr>
              <w:spacing w:after="0" w:line="128" w:lineRule="exact"/>
              <w:rPr>
                <w:rFonts w:ascii="Arial" w:cs="Arial" w:eastAsia="Arial" w:hAnsi="Arial"/>
                <w:sz w:val="13"/>
                <w:szCs w:val="13"/>
                <w:b w:val="1"/>
                <w:bCs w:val="1"/>
                <w:color w:val="0000EE"/>
              </w:rPr>
            </w:pPr>
            <w:hyperlink w:anchor="page56">
              <w:r>
                <w:rPr>
                  <w:rFonts w:ascii="Arial" w:cs="Arial" w:eastAsia="Arial" w:hAnsi="Arial"/>
                  <w:sz w:val="13"/>
                  <w:szCs w:val="13"/>
                  <w:b w:val="1"/>
                  <w:bCs w:val="1"/>
                  <w:color w:val="0000EE"/>
                </w:rPr>
                <w:t>Plan of Distribution</w:t>
              </w:r>
            </w:hyperlink>
          </w:p>
        </w:tc>
        <w:tc>
          <w:tcPr>
            <w:tcW w:w="9460" w:type="dxa"/>
            <w:vAlign w:val="bottom"/>
            <w:gridSpan w:val="7"/>
          </w:tcPr>
          <w:p>
            <w:pPr>
              <w:spacing w:after="0"/>
              <w:rPr>
                <w:sz w:val="11"/>
                <w:szCs w:val="11"/>
                <w:color w:val="auto"/>
              </w:rPr>
            </w:pPr>
          </w:p>
        </w:tc>
        <w:tc>
          <w:tcPr>
            <w:tcW w:w="120" w:type="dxa"/>
            <w:vAlign w:val="bottom"/>
          </w:tcPr>
          <w:p>
            <w:pPr>
              <w:jc w:val="right"/>
              <w:spacing w:after="0" w:line="128" w:lineRule="exact"/>
              <w:rPr>
                <w:rFonts w:ascii="Arial" w:cs="Arial" w:eastAsia="Arial" w:hAnsi="Arial"/>
                <w:sz w:val="12"/>
                <w:szCs w:val="12"/>
                <w:color w:val="0000EE"/>
                <w:w w:val="74"/>
              </w:rPr>
            </w:pPr>
            <w:hyperlink w:anchor="page56">
              <w:r>
                <w:rPr>
                  <w:rFonts w:ascii="Arial" w:cs="Arial" w:eastAsia="Arial" w:hAnsi="Arial"/>
                  <w:sz w:val="12"/>
                  <w:szCs w:val="12"/>
                  <w:color w:val="0000EE"/>
                  <w:w w:val="74"/>
                </w:rPr>
                <w:t>52</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260" w:type="dxa"/>
            <w:vAlign w:val="bottom"/>
          </w:tcPr>
          <w:p>
            <w:pPr>
              <w:spacing w:after="0"/>
              <w:rPr>
                <w:sz w:val="2"/>
                <w:szCs w:val="2"/>
                <w:color w:val="auto"/>
              </w:rPr>
            </w:pPr>
          </w:p>
        </w:tc>
        <w:tc>
          <w:tcPr>
            <w:tcW w:w="340" w:type="dxa"/>
            <w:vAlign w:val="bottom"/>
          </w:tcPr>
          <w:p>
            <w:pPr>
              <w:spacing w:after="0"/>
              <w:rPr>
                <w:sz w:val="2"/>
                <w:szCs w:val="2"/>
                <w:color w:val="auto"/>
              </w:rPr>
            </w:pPr>
          </w:p>
        </w:tc>
        <w:tc>
          <w:tcPr>
            <w:tcW w:w="560" w:type="dxa"/>
            <w:vAlign w:val="bottom"/>
          </w:tcPr>
          <w:p>
            <w:pPr>
              <w:spacing w:after="0"/>
              <w:rPr>
                <w:sz w:val="2"/>
                <w:szCs w:val="2"/>
                <w:color w:val="auto"/>
              </w:rPr>
            </w:pPr>
          </w:p>
        </w:tc>
        <w:tc>
          <w:tcPr>
            <w:tcW w:w="860" w:type="dxa"/>
            <w:vAlign w:val="bottom"/>
          </w:tcPr>
          <w:p>
            <w:pPr>
              <w:spacing w:after="0"/>
              <w:rPr>
                <w:sz w:val="2"/>
                <w:szCs w:val="2"/>
                <w:color w:val="auto"/>
              </w:rPr>
            </w:pPr>
          </w:p>
        </w:tc>
        <w:tc>
          <w:tcPr>
            <w:tcW w:w="220" w:type="dxa"/>
            <w:vAlign w:val="bottom"/>
          </w:tcPr>
          <w:p>
            <w:pPr>
              <w:spacing w:after="0"/>
              <w:rPr>
                <w:sz w:val="2"/>
                <w:szCs w:val="2"/>
                <w:color w:val="auto"/>
              </w:rPr>
            </w:pPr>
          </w:p>
        </w:tc>
        <w:tc>
          <w:tcPr>
            <w:tcW w:w="140" w:type="dxa"/>
            <w:vAlign w:val="bottom"/>
          </w:tcPr>
          <w:p>
            <w:pPr>
              <w:spacing w:after="0"/>
              <w:rPr>
                <w:sz w:val="2"/>
                <w:szCs w:val="2"/>
                <w:color w:val="auto"/>
              </w:rPr>
            </w:pPr>
          </w:p>
        </w:tc>
        <w:tc>
          <w:tcPr>
            <w:tcW w:w="1120" w:type="dxa"/>
            <w:vAlign w:val="bottom"/>
          </w:tcPr>
          <w:p>
            <w:pPr>
              <w:spacing w:after="0"/>
              <w:rPr>
                <w:sz w:val="2"/>
                <w:szCs w:val="2"/>
                <w:color w:val="auto"/>
              </w:rPr>
            </w:pPr>
          </w:p>
        </w:tc>
        <w:tc>
          <w:tcPr>
            <w:tcW w:w="340" w:type="dxa"/>
            <w:vAlign w:val="bottom"/>
          </w:tcPr>
          <w:p>
            <w:pPr>
              <w:spacing w:after="0"/>
              <w:rPr>
                <w:sz w:val="2"/>
                <w:szCs w:val="2"/>
                <w:color w:val="auto"/>
              </w:rPr>
            </w:pPr>
          </w:p>
        </w:tc>
        <w:tc>
          <w:tcPr>
            <w:tcW w:w="6220" w:type="dxa"/>
            <w:vAlign w:val="bottom"/>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11140" w:type="dxa"/>
            <w:vAlign w:val="bottom"/>
            <w:tcBorders>
              <w:right w:val="single" w:sz="8" w:color="CCEEFF"/>
            </w:tcBorders>
            <w:gridSpan w:val="14"/>
            <w:shd w:val="clear" w:color="auto" w:fill="CCEEFF"/>
          </w:tcPr>
          <w:p>
            <w:pPr>
              <w:spacing w:after="0" w:line="128" w:lineRule="exact"/>
              <w:rPr>
                <w:rFonts w:ascii="Arial" w:cs="Arial" w:eastAsia="Arial" w:hAnsi="Arial"/>
                <w:sz w:val="13"/>
                <w:szCs w:val="13"/>
                <w:b w:val="1"/>
                <w:bCs w:val="1"/>
                <w:color w:val="0000EE"/>
              </w:rPr>
            </w:pPr>
            <w:hyperlink w:anchor="page62">
              <w:r>
                <w:rPr>
                  <w:rFonts w:ascii="Arial" w:cs="Arial" w:eastAsia="Arial" w:hAnsi="Arial"/>
                  <w:sz w:val="13"/>
                  <w:szCs w:val="13"/>
                  <w:b w:val="1"/>
                  <w:bCs w:val="1"/>
                  <w:color w:val="0000EE"/>
                </w:rPr>
                <w:t>Disclosure of Commission Position on Indemnification for Securities Act Liabilities</w:t>
              </w:r>
            </w:hyperlink>
          </w:p>
        </w:tc>
        <w:tc>
          <w:tcPr>
            <w:tcW w:w="120" w:type="dxa"/>
            <w:vAlign w:val="bottom"/>
            <w:tcBorders>
              <w:right w:val="single" w:sz="8" w:color="CCEEFF"/>
            </w:tcBorders>
            <w:shd w:val="clear" w:color="auto" w:fill="CCEEFF"/>
          </w:tcPr>
          <w:p>
            <w:pPr>
              <w:jc w:val="right"/>
              <w:spacing w:after="0" w:line="128" w:lineRule="exact"/>
              <w:rPr>
                <w:rFonts w:ascii="Arial" w:cs="Arial" w:eastAsia="Arial" w:hAnsi="Arial"/>
                <w:sz w:val="12"/>
                <w:szCs w:val="12"/>
                <w:color w:val="0000EE"/>
                <w:w w:val="74"/>
              </w:rPr>
            </w:pPr>
            <w:hyperlink w:anchor="page62">
              <w:r>
                <w:rPr>
                  <w:rFonts w:ascii="Arial" w:cs="Arial" w:eastAsia="Arial" w:hAnsi="Arial"/>
                  <w:sz w:val="12"/>
                  <w:szCs w:val="12"/>
                  <w:color w:val="0000EE"/>
                  <w:w w:val="74"/>
                </w:rPr>
                <w:t>58</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260" w:type="dxa"/>
            <w:vAlign w:val="bottom"/>
            <w:tcBorders>
              <w:left w:val="single" w:sz="8" w:color="0000EE"/>
            </w:tcBorders>
            <w:shd w:val="clear" w:color="auto" w:fill="0000EE"/>
          </w:tcPr>
          <w:p>
            <w:pPr>
              <w:spacing w:after="0"/>
              <w:rPr>
                <w:sz w:val="2"/>
                <w:szCs w:val="2"/>
                <w:color w:val="auto"/>
              </w:rPr>
            </w:pPr>
          </w:p>
        </w:tc>
        <w:tc>
          <w:tcPr>
            <w:tcW w:w="340" w:type="dxa"/>
            <w:vAlign w:val="bottom"/>
            <w:tcBorders>
              <w:left w:val="single" w:sz="8" w:color="0000EE"/>
            </w:tcBorders>
            <w:shd w:val="clear" w:color="auto" w:fill="0000EE"/>
          </w:tcPr>
          <w:p>
            <w:pPr>
              <w:spacing w:after="0"/>
              <w:rPr>
                <w:sz w:val="2"/>
                <w:szCs w:val="2"/>
                <w:color w:val="auto"/>
              </w:rPr>
            </w:pPr>
          </w:p>
        </w:tc>
        <w:tc>
          <w:tcPr>
            <w:tcW w:w="560" w:type="dxa"/>
            <w:vAlign w:val="bottom"/>
            <w:tcBorders>
              <w:right w:val="single" w:sz="8" w:color="0000EE"/>
            </w:tcBorders>
            <w:shd w:val="clear" w:color="auto" w:fill="0000EE"/>
          </w:tcPr>
          <w:p>
            <w:pPr>
              <w:spacing w:after="0"/>
              <w:rPr>
                <w:sz w:val="2"/>
                <w:szCs w:val="2"/>
                <w:color w:val="auto"/>
              </w:rPr>
            </w:pPr>
          </w:p>
        </w:tc>
        <w:tc>
          <w:tcPr>
            <w:tcW w:w="86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140" w:type="dxa"/>
            <w:vAlign w:val="bottom"/>
            <w:shd w:val="clear" w:color="auto" w:fill="0000EE"/>
          </w:tcPr>
          <w:p>
            <w:pPr>
              <w:spacing w:after="0"/>
              <w:rPr>
                <w:sz w:val="2"/>
                <w:szCs w:val="2"/>
                <w:color w:val="auto"/>
              </w:rPr>
            </w:pPr>
          </w:p>
        </w:tc>
        <w:tc>
          <w:tcPr>
            <w:tcW w:w="1120" w:type="dxa"/>
            <w:vAlign w:val="bottom"/>
            <w:shd w:val="clear" w:color="auto" w:fill="0000EE"/>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6220" w:type="dxa"/>
            <w:vAlign w:val="bottom"/>
            <w:tcBorders>
              <w:right w:val="single" w:sz="8" w:color="CCEEFF"/>
            </w:tcBorders>
            <w:shd w:val="clear" w:color="auto" w:fill="CCEEFF"/>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2240" w:type="dxa"/>
            <w:vAlign w:val="bottom"/>
            <w:gridSpan w:val="8"/>
          </w:tcPr>
          <w:p>
            <w:pPr>
              <w:spacing w:after="0" w:line="128" w:lineRule="exact"/>
              <w:rPr>
                <w:rFonts w:ascii="Arial" w:cs="Arial" w:eastAsia="Arial" w:hAnsi="Arial"/>
                <w:sz w:val="13"/>
                <w:szCs w:val="13"/>
                <w:b w:val="1"/>
                <w:bCs w:val="1"/>
                <w:color w:val="0000EE"/>
                <w:w w:val="92"/>
              </w:rPr>
            </w:pPr>
            <w:hyperlink w:anchor="page62">
              <w:r>
                <w:rPr>
                  <w:rFonts w:ascii="Arial" w:cs="Arial" w:eastAsia="Arial" w:hAnsi="Arial"/>
                  <w:sz w:val="13"/>
                  <w:szCs w:val="13"/>
                  <w:b w:val="1"/>
                  <w:bCs w:val="1"/>
                  <w:color w:val="0000EE"/>
                  <w:w w:val="92"/>
                </w:rPr>
                <w:t>Where You Can Find More Information</w:t>
              </w:r>
            </w:hyperlink>
          </w:p>
        </w:tc>
        <w:tc>
          <w:tcPr>
            <w:tcW w:w="2340" w:type="dxa"/>
            <w:vAlign w:val="bottom"/>
            <w:gridSpan w:val="4"/>
          </w:tcPr>
          <w:p>
            <w:pPr>
              <w:spacing w:after="0"/>
              <w:rPr>
                <w:sz w:val="11"/>
                <w:szCs w:val="11"/>
                <w:color w:val="auto"/>
              </w:rPr>
            </w:pPr>
          </w:p>
        </w:tc>
        <w:tc>
          <w:tcPr>
            <w:tcW w:w="6560" w:type="dxa"/>
            <w:vAlign w:val="bottom"/>
            <w:gridSpan w:val="2"/>
          </w:tcPr>
          <w:p>
            <w:pPr>
              <w:spacing w:after="0"/>
              <w:rPr>
                <w:sz w:val="11"/>
                <w:szCs w:val="11"/>
                <w:color w:val="auto"/>
              </w:rPr>
            </w:pPr>
          </w:p>
        </w:tc>
        <w:tc>
          <w:tcPr>
            <w:tcW w:w="120" w:type="dxa"/>
            <w:vAlign w:val="bottom"/>
          </w:tcPr>
          <w:p>
            <w:pPr>
              <w:jc w:val="right"/>
              <w:spacing w:after="0" w:line="128" w:lineRule="exact"/>
              <w:rPr>
                <w:rFonts w:ascii="Arial" w:cs="Arial" w:eastAsia="Arial" w:hAnsi="Arial"/>
                <w:sz w:val="12"/>
                <w:szCs w:val="12"/>
                <w:color w:val="0000EE"/>
                <w:w w:val="74"/>
              </w:rPr>
            </w:pPr>
            <w:hyperlink w:anchor="page62">
              <w:r>
                <w:rPr>
                  <w:rFonts w:ascii="Arial" w:cs="Arial" w:eastAsia="Arial" w:hAnsi="Arial"/>
                  <w:sz w:val="12"/>
                  <w:szCs w:val="12"/>
                  <w:color w:val="0000EE"/>
                  <w:w w:val="74"/>
                </w:rPr>
                <w:t>58</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vMerge w:val="restart"/>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260" w:type="dxa"/>
            <w:vAlign w:val="bottom"/>
            <w:tcBorders>
              <w:left w:val="single" w:sz="8" w:color="0000EE"/>
            </w:tcBorders>
            <w:shd w:val="clear" w:color="auto" w:fill="0000EE"/>
          </w:tcPr>
          <w:p>
            <w:pPr>
              <w:spacing w:after="0"/>
              <w:rPr>
                <w:sz w:val="2"/>
                <w:szCs w:val="2"/>
                <w:color w:val="auto"/>
              </w:rPr>
            </w:pPr>
          </w:p>
        </w:tc>
        <w:tc>
          <w:tcPr>
            <w:tcW w:w="340" w:type="dxa"/>
            <w:vAlign w:val="bottom"/>
            <w:tcBorders>
              <w:left w:val="single" w:sz="8" w:color="0000EE"/>
            </w:tcBorders>
            <w:shd w:val="clear" w:color="auto" w:fill="0000EE"/>
          </w:tcPr>
          <w:p>
            <w:pPr>
              <w:spacing w:after="0"/>
              <w:rPr>
                <w:sz w:val="2"/>
                <w:szCs w:val="2"/>
                <w:color w:val="auto"/>
              </w:rPr>
            </w:pPr>
          </w:p>
        </w:tc>
        <w:tc>
          <w:tcPr>
            <w:tcW w:w="560" w:type="dxa"/>
            <w:vAlign w:val="bottom"/>
            <w:tcBorders>
              <w:right w:val="single" w:sz="8" w:color="0000EE"/>
            </w:tcBorders>
            <w:shd w:val="clear" w:color="auto" w:fill="0000EE"/>
          </w:tcPr>
          <w:p>
            <w:pPr>
              <w:spacing w:after="0"/>
              <w:rPr>
                <w:sz w:val="2"/>
                <w:szCs w:val="2"/>
                <w:color w:val="auto"/>
              </w:rPr>
            </w:pPr>
          </w:p>
        </w:tc>
        <w:tc>
          <w:tcPr>
            <w:tcW w:w="860" w:type="dxa"/>
            <w:vAlign w:val="bottom"/>
          </w:tcPr>
          <w:p>
            <w:pPr>
              <w:spacing w:after="0"/>
              <w:rPr>
                <w:sz w:val="2"/>
                <w:szCs w:val="2"/>
                <w:color w:val="auto"/>
              </w:rPr>
            </w:pPr>
          </w:p>
        </w:tc>
        <w:tc>
          <w:tcPr>
            <w:tcW w:w="220" w:type="dxa"/>
            <w:vAlign w:val="bottom"/>
          </w:tcPr>
          <w:p>
            <w:pPr>
              <w:spacing w:after="0"/>
              <w:rPr>
                <w:sz w:val="2"/>
                <w:szCs w:val="2"/>
                <w:color w:val="auto"/>
              </w:rPr>
            </w:pPr>
          </w:p>
        </w:tc>
        <w:tc>
          <w:tcPr>
            <w:tcW w:w="140" w:type="dxa"/>
            <w:vAlign w:val="bottom"/>
          </w:tcPr>
          <w:p>
            <w:pPr>
              <w:spacing w:after="0"/>
              <w:rPr>
                <w:sz w:val="2"/>
                <w:szCs w:val="2"/>
                <w:color w:val="auto"/>
              </w:rPr>
            </w:pPr>
          </w:p>
        </w:tc>
        <w:tc>
          <w:tcPr>
            <w:tcW w:w="1120" w:type="dxa"/>
            <w:vAlign w:val="bottom"/>
          </w:tcPr>
          <w:p>
            <w:pPr>
              <w:spacing w:after="0"/>
              <w:rPr>
                <w:sz w:val="2"/>
                <w:szCs w:val="2"/>
                <w:color w:val="auto"/>
              </w:rPr>
            </w:pPr>
          </w:p>
        </w:tc>
        <w:tc>
          <w:tcPr>
            <w:tcW w:w="340" w:type="dxa"/>
            <w:vAlign w:val="bottom"/>
          </w:tcPr>
          <w:p>
            <w:pPr>
              <w:spacing w:after="0"/>
              <w:rPr>
                <w:sz w:val="2"/>
                <w:szCs w:val="2"/>
                <w:color w:val="auto"/>
              </w:rPr>
            </w:pPr>
          </w:p>
        </w:tc>
        <w:tc>
          <w:tcPr>
            <w:tcW w:w="6220" w:type="dxa"/>
            <w:vAlign w:val="bottom"/>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vMerge w:val="restart"/>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7"/>
        </w:trPr>
        <w:tc>
          <w:tcPr>
            <w:tcW w:w="20" w:type="dxa"/>
            <w:vAlign w:val="bottom"/>
            <w:vMerge w:val="continue"/>
          </w:tcPr>
          <w:p>
            <w:pPr>
              <w:spacing w:after="0"/>
              <w:rPr>
                <w:sz w:val="11"/>
                <w:szCs w:val="11"/>
                <w:color w:val="auto"/>
              </w:rPr>
            </w:pPr>
          </w:p>
        </w:tc>
        <w:tc>
          <w:tcPr>
            <w:tcW w:w="2240" w:type="dxa"/>
            <w:vAlign w:val="bottom"/>
            <w:tcBorders>
              <w:right w:val="single" w:sz="8" w:color="CCEEFF"/>
            </w:tcBorders>
            <w:gridSpan w:val="8"/>
            <w:shd w:val="clear" w:color="auto" w:fill="CCEEFF"/>
          </w:tcPr>
          <w:p>
            <w:pPr>
              <w:spacing w:after="0" w:line="128" w:lineRule="exact"/>
              <w:rPr>
                <w:rFonts w:ascii="Arial" w:cs="Arial" w:eastAsia="Arial" w:hAnsi="Arial"/>
                <w:sz w:val="13"/>
                <w:szCs w:val="13"/>
                <w:b w:val="1"/>
                <w:bCs w:val="1"/>
                <w:color w:val="0000EE"/>
              </w:rPr>
            </w:pPr>
            <w:hyperlink w:anchor="page63">
              <w:r>
                <w:rPr>
                  <w:rFonts w:ascii="Arial" w:cs="Arial" w:eastAsia="Arial" w:hAnsi="Arial"/>
                  <w:sz w:val="13"/>
                  <w:szCs w:val="13"/>
                  <w:b w:val="1"/>
                  <w:bCs w:val="1"/>
                  <w:color w:val="0000EE"/>
                </w:rPr>
                <w:t>Financial Statements</w:t>
              </w:r>
            </w:hyperlink>
          </w:p>
        </w:tc>
        <w:tc>
          <w:tcPr>
            <w:tcW w:w="8900" w:type="dxa"/>
            <w:vAlign w:val="bottom"/>
            <w:tcBorders>
              <w:right w:val="single" w:sz="8" w:color="CCEEFF"/>
            </w:tcBorders>
            <w:gridSpan w:val="6"/>
            <w:shd w:val="clear" w:color="auto" w:fill="CCEEFF"/>
          </w:tcPr>
          <w:p>
            <w:pPr>
              <w:spacing w:after="0"/>
              <w:rPr>
                <w:sz w:val="11"/>
                <w:szCs w:val="11"/>
                <w:color w:val="auto"/>
              </w:rPr>
            </w:pPr>
          </w:p>
        </w:tc>
        <w:tc>
          <w:tcPr>
            <w:tcW w:w="120" w:type="dxa"/>
            <w:vAlign w:val="bottom"/>
            <w:tcBorders>
              <w:right w:val="single" w:sz="8" w:color="CCEEFF"/>
            </w:tcBorders>
            <w:shd w:val="clear" w:color="auto" w:fill="CCEEFF"/>
          </w:tcPr>
          <w:p>
            <w:pPr>
              <w:jc w:val="right"/>
              <w:spacing w:after="0"/>
              <w:rPr>
                <w:rFonts w:ascii="Arial" w:cs="Arial" w:eastAsia="Arial" w:hAnsi="Arial"/>
                <w:sz w:val="9"/>
                <w:szCs w:val="9"/>
                <w:color w:val="0000EE"/>
                <w:w w:val="73"/>
              </w:rPr>
            </w:pPr>
            <w:hyperlink w:anchor="page63">
              <w:r>
                <w:rPr>
                  <w:rFonts w:ascii="Arial" w:cs="Arial" w:eastAsia="Arial" w:hAnsi="Arial"/>
                  <w:sz w:val="9"/>
                  <w:szCs w:val="9"/>
                  <w:color w:val="0000EE"/>
                  <w:w w:val="73"/>
                </w:rPr>
                <w:t>F-1</w:t>
              </w:r>
            </w:hyperlink>
          </w:p>
        </w:tc>
        <w:tc>
          <w:tcPr>
            <w:tcW w:w="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9"/>
        </w:trPr>
        <w:tc>
          <w:tcPr>
            <w:tcW w:w="20" w:type="dxa"/>
            <w:vAlign w:val="bottom"/>
          </w:tcPr>
          <w:p>
            <w:pPr>
              <w:spacing w:after="0"/>
              <w:rPr>
                <w:sz w:val="2"/>
                <w:szCs w:val="2"/>
                <w:color w:val="auto"/>
              </w:rPr>
            </w:pPr>
          </w:p>
        </w:tc>
        <w:tc>
          <w:tcPr>
            <w:tcW w:w="440" w:type="dxa"/>
            <w:vAlign w:val="bottom"/>
            <w:shd w:val="clear" w:color="auto" w:fill="0000EE"/>
          </w:tcPr>
          <w:p>
            <w:pPr>
              <w:spacing w:after="0"/>
              <w:rPr>
                <w:sz w:val="2"/>
                <w:szCs w:val="2"/>
                <w:color w:val="auto"/>
              </w:rPr>
            </w:pPr>
          </w:p>
        </w:tc>
        <w:tc>
          <w:tcPr>
            <w:tcW w:w="80" w:type="dxa"/>
            <w:vAlign w:val="bottom"/>
            <w:shd w:val="clear" w:color="auto" w:fill="0000EE"/>
          </w:tcPr>
          <w:p>
            <w:pPr>
              <w:spacing w:after="0"/>
              <w:rPr>
                <w:sz w:val="2"/>
                <w:szCs w:val="2"/>
                <w:color w:val="auto"/>
              </w:rPr>
            </w:pPr>
          </w:p>
        </w:tc>
        <w:tc>
          <w:tcPr>
            <w:tcW w:w="160" w:type="dxa"/>
            <w:vAlign w:val="bottom"/>
            <w:shd w:val="clear" w:color="auto" w:fill="0000EE"/>
          </w:tcPr>
          <w:p>
            <w:pPr>
              <w:spacing w:after="0"/>
              <w:rPr>
                <w:sz w:val="2"/>
                <w:szCs w:val="2"/>
                <w:color w:val="auto"/>
              </w:rPr>
            </w:pPr>
          </w:p>
        </w:tc>
        <w:tc>
          <w:tcPr>
            <w:tcW w:w="180" w:type="dxa"/>
            <w:vAlign w:val="bottom"/>
            <w:shd w:val="clear" w:color="auto" w:fill="0000EE"/>
          </w:tcPr>
          <w:p>
            <w:pPr>
              <w:spacing w:after="0"/>
              <w:rPr>
                <w:sz w:val="2"/>
                <w:szCs w:val="2"/>
                <w:color w:val="auto"/>
              </w:rPr>
            </w:pPr>
          </w:p>
        </w:tc>
        <w:tc>
          <w:tcPr>
            <w:tcW w:w="220" w:type="dxa"/>
            <w:vAlign w:val="bottom"/>
            <w:shd w:val="clear" w:color="auto" w:fill="0000EE"/>
          </w:tcPr>
          <w:p>
            <w:pPr>
              <w:spacing w:after="0"/>
              <w:rPr>
                <w:sz w:val="2"/>
                <w:szCs w:val="2"/>
                <w:color w:val="auto"/>
              </w:rPr>
            </w:pPr>
          </w:p>
        </w:tc>
        <w:tc>
          <w:tcPr>
            <w:tcW w:w="260" w:type="dxa"/>
            <w:vAlign w:val="bottom"/>
            <w:tcBorders>
              <w:left w:val="single" w:sz="8" w:color="0000EE"/>
            </w:tcBorders>
            <w:shd w:val="clear" w:color="auto" w:fill="CCEEFF"/>
          </w:tcPr>
          <w:p>
            <w:pPr>
              <w:spacing w:after="0"/>
              <w:rPr>
                <w:sz w:val="2"/>
                <w:szCs w:val="2"/>
                <w:color w:val="auto"/>
              </w:rPr>
            </w:pPr>
          </w:p>
        </w:tc>
        <w:tc>
          <w:tcPr>
            <w:tcW w:w="340" w:type="dxa"/>
            <w:vAlign w:val="bottom"/>
            <w:tcBorders>
              <w:left w:val="single" w:sz="8" w:color="CCEEFF"/>
            </w:tcBorders>
            <w:shd w:val="clear" w:color="auto" w:fill="CCEEFF"/>
          </w:tcPr>
          <w:p>
            <w:pPr>
              <w:spacing w:after="0"/>
              <w:rPr>
                <w:sz w:val="2"/>
                <w:szCs w:val="2"/>
                <w:color w:val="auto"/>
              </w:rPr>
            </w:pPr>
          </w:p>
        </w:tc>
        <w:tc>
          <w:tcPr>
            <w:tcW w:w="560" w:type="dxa"/>
            <w:vAlign w:val="bottom"/>
            <w:tcBorders>
              <w:right w:val="single" w:sz="8" w:color="CCEEFF"/>
            </w:tcBorders>
            <w:shd w:val="clear" w:color="auto" w:fill="CCEEFF"/>
          </w:tcPr>
          <w:p>
            <w:pPr>
              <w:spacing w:after="0"/>
              <w:rPr>
                <w:sz w:val="2"/>
                <w:szCs w:val="2"/>
                <w:color w:val="auto"/>
              </w:rPr>
            </w:pPr>
          </w:p>
        </w:tc>
        <w:tc>
          <w:tcPr>
            <w:tcW w:w="860" w:type="dxa"/>
            <w:vAlign w:val="bottom"/>
            <w:shd w:val="clear" w:color="auto" w:fill="CCEEFF"/>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40" w:type="dxa"/>
            <w:vAlign w:val="bottom"/>
            <w:shd w:val="clear" w:color="auto" w:fill="CCEEFF"/>
          </w:tcPr>
          <w:p>
            <w:pPr>
              <w:spacing w:after="0"/>
              <w:rPr>
                <w:sz w:val="2"/>
                <w:szCs w:val="2"/>
                <w:color w:val="auto"/>
              </w:rPr>
            </w:pPr>
          </w:p>
        </w:tc>
        <w:tc>
          <w:tcPr>
            <w:tcW w:w="1120" w:type="dxa"/>
            <w:vAlign w:val="bottom"/>
            <w:shd w:val="clear" w:color="auto" w:fill="CCEEFF"/>
          </w:tcPr>
          <w:p>
            <w:pPr>
              <w:spacing w:after="0"/>
              <w:rPr>
                <w:sz w:val="2"/>
                <w:szCs w:val="2"/>
                <w:color w:val="auto"/>
              </w:rPr>
            </w:pPr>
          </w:p>
        </w:tc>
        <w:tc>
          <w:tcPr>
            <w:tcW w:w="340" w:type="dxa"/>
            <w:vAlign w:val="bottom"/>
            <w:shd w:val="clear" w:color="auto" w:fill="CCEEFF"/>
          </w:tcPr>
          <w:p>
            <w:pPr>
              <w:spacing w:after="0"/>
              <w:rPr>
                <w:sz w:val="2"/>
                <w:szCs w:val="2"/>
                <w:color w:val="auto"/>
              </w:rPr>
            </w:pPr>
          </w:p>
        </w:tc>
        <w:tc>
          <w:tcPr>
            <w:tcW w:w="6220" w:type="dxa"/>
            <w:vAlign w:val="bottom"/>
            <w:tcBorders>
              <w:right w:val="single" w:sz="8" w:color="0000EE"/>
            </w:tcBorders>
            <w:shd w:val="clear" w:color="auto" w:fill="CCEEFF"/>
          </w:tcPr>
          <w:p>
            <w:pPr>
              <w:spacing w:after="0"/>
              <w:rPr>
                <w:sz w:val="2"/>
                <w:szCs w:val="2"/>
                <w:color w:val="auto"/>
              </w:rPr>
            </w:pPr>
          </w:p>
        </w:tc>
        <w:tc>
          <w:tcPr>
            <w:tcW w:w="120" w:type="dxa"/>
            <w:vAlign w:val="bottom"/>
            <w:tcBorders>
              <w:right w:val="single" w:sz="8" w:color="0000EE"/>
            </w:tcBorders>
            <w:shd w:val="clear" w:color="auto" w:fill="0000EE"/>
          </w:tcPr>
          <w:p>
            <w:pPr>
              <w:spacing w:after="0"/>
              <w:rPr>
                <w:sz w:val="2"/>
                <w:szCs w:val="2"/>
                <w:color w:val="auto"/>
              </w:rPr>
            </w:pPr>
          </w:p>
        </w:tc>
        <w:tc>
          <w:tcPr>
            <w:tcW w:w="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8" w:lineRule="exact"/>
        <w:rPr>
          <w:sz w:val="20"/>
          <w:szCs w:val="20"/>
          <w:color w:val="auto"/>
        </w:rPr>
      </w:pPr>
    </w:p>
    <w:p>
      <w:pPr>
        <w:spacing w:after="0"/>
        <w:rPr>
          <w:sz w:val="20"/>
          <w:szCs w:val="20"/>
          <w:color w:val="auto"/>
        </w:rPr>
      </w:pPr>
      <w:r>
        <w:rPr>
          <w:rFonts w:ascii="Arial" w:cs="Arial" w:eastAsia="Arial" w:hAnsi="Arial"/>
          <w:sz w:val="13"/>
          <w:szCs w:val="13"/>
          <w:i w:val="1"/>
          <w:iCs w:val="1"/>
          <w:color w:val="auto"/>
        </w:rPr>
        <w:t>In this Offering Circular, the term Knightscope,” “we,” “us,” “our,” or “the Company” refers to Knightscope, Inc.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320675</wp:posOffset>
            </wp:positionV>
            <wp:extent cx="7170420" cy="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300"/>
          </w:cols>
          <w:pgMar w:left="300" w:top="694" w:right="299" w:bottom="1440" w:gutter="0" w:footer="0" w:header="0"/>
        </w:sectPr>
      </w:pPr>
    </w:p>
    <w:bookmarkStart w:id="2" w:name="page3"/>
    <w:bookmarkEnd w:id="2"/>
    <w:p>
      <w:pPr>
        <w:jc w:val="center"/>
        <w:ind w:right="-19"/>
        <w:spacing w:after="0"/>
        <w:rPr>
          <w:sz w:val="20"/>
          <w:szCs w:val="20"/>
          <w:color w:val="auto"/>
        </w:rPr>
      </w:pPr>
      <w:r>
        <w:rPr>
          <w:rFonts w:ascii="Arial" w:cs="Arial" w:eastAsia="Arial" w:hAnsi="Arial"/>
          <w:sz w:val="13"/>
          <w:szCs w:val="13"/>
          <w:b w:val="1"/>
          <w:bCs w:val="1"/>
          <w:color w:val="auto"/>
        </w:rPr>
        <w:t>SPECIAL NOTE REGARDING FORWARD-LOOKING STATEMENTS</w:t>
      </w:r>
    </w:p>
    <w:p>
      <w:pPr>
        <w:spacing w:after="0" w:line="167" w:lineRule="exact"/>
        <w:rPr>
          <w:sz w:val="20"/>
          <w:szCs w:val="20"/>
          <w:color w:val="auto"/>
        </w:rPr>
      </w:pPr>
    </w:p>
    <w:p>
      <w:pPr>
        <w:jc w:val="both"/>
        <w:ind w:right="360"/>
        <w:spacing w:after="0" w:line="262" w:lineRule="auto"/>
        <w:rPr>
          <w:sz w:val="20"/>
          <w:szCs w:val="20"/>
          <w:color w:val="auto"/>
        </w:rPr>
      </w:pPr>
      <w:r>
        <w:rPr>
          <w:rFonts w:ascii="Arial" w:cs="Arial" w:eastAsia="Arial" w:hAnsi="Arial"/>
          <w:sz w:val="13"/>
          <w:szCs w:val="13"/>
          <w:color w:val="auto"/>
        </w:rPr>
        <w:t>This Offering Circular may contain forward-looking statements, as that term is defined under the federal securities laws. Forward-looking statements include, among others, statements about our business plan, strategy and industry. These statements are often, but not always, made through the use of words or phrases such as “may,” “will,” “anticipate,” “estimate,” “plan,” “project,” “continuing,” “ongoing,” “expect,” “believe,” “intend,” “predict,” “potential,” “opportunity,” and similar words or phrases or the negatives of these words or phrases.</w:t>
      </w:r>
    </w:p>
    <w:p>
      <w:pPr>
        <w:spacing w:after="0" w:line="136" w:lineRule="exact"/>
        <w:rPr>
          <w:sz w:val="20"/>
          <w:szCs w:val="20"/>
          <w:color w:val="auto"/>
        </w:rPr>
      </w:pPr>
    </w:p>
    <w:p>
      <w:pPr>
        <w:ind w:right="20"/>
        <w:spacing w:after="0" w:line="279" w:lineRule="auto"/>
        <w:rPr>
          <w:sz w:val="20"/>
          <w:szCs w:val="20"/>
          <w:color w:val="auto"/>
        </w:rPr>
      </w:pPr>
      <w:r>
        <w:rPr>
          <w:rFonts w:ascii="Arial" w:cs="Arial" w:eastAsia="Arial" w:hAnsi="Arial"/>
          <w:sz w:val="12"/>
          <w:szCs w:val="12"/>
          <w:color w:val="auto"/>
        </w:rPr>
        <w:t>These forward-looking statements are based on our current assumptions, expectations, and beliefs and are subject to substantial risks, estimates, assumptions, uncertainties, and changes in circumstances that may cause our actual results, performance, or achievements to differ materially from those expressed or implied in any forward-looking statement, including, among others, the profitability of the business. These statements reflect management’s current views with respect to future events and are subject to risks and uncertainties that could cause the Company’s actual results to differ materially from those contained in the forward-looking statements. Because the risks, estimates, assumptions and uncertainties referred to above could cause actual results or outcomes to differ materially from those expressed in any forward-looking statements, you should not place undue reliance on any forward-looking statements. Also, forward-looking statements represent our management’s beliefs and assumptions only as of the date of this Offering Circular. You should read this Offering Circular completely and with the understanding that our actual future results may be significantly different from our expectations. The cautionary statements set forth in this Offering Circular identify important factors which you should consider in evaluating our forward-looking statements. These factors include, without limitation:</w:t>
      </w:r>
    </w:p>
    <w:p>
      <w:pPr>
        <w:spacing w:after="0" w:line="128" w:lineRule="exact"/>
        <w:rPr>
          <w:sz w:val="20"/>
          <w:szCs w:val="20"/>
          <w:color w:val="auto"/>
        </w:rPr>
      </w:pPr>
    </w:p>
    <w:p>
      <w:pPr>
        <w:ind w:left="460" w:hanging="227"/>
        <w:spacing w:after="0"/>
        <w:tabs>
          <w:tab w:leader="none" w:pos="460" w:val="left"/>
        </w:tabs>
        <w:numPr>
          <w:ilvl w:val="0"/>
          <w:numId w:val="2"/>
        </w:numPr>
        <w:rPr>
          <w:rFonts w:ascii="Arial" w:cs="Arial" w:eastAsia="Arial" w:hAnsi="Arial"/>
          <w:sz w:val="13"/>
          <w:szCs w:val="13"/>
          <w:color w:val="auto"/>
        </w:rPr>
      </w:pPr>
      <w:r>
        <w:rPr>
          <w:rFonts w:ascii="Arial" w:cs="Arial" w:eastAsia="Arial" w:hAnsi="Arial"/>
          <w:sz w:val="13"/>
          <w:szCs w:val="13"/>
          <w:color w:val="auto"/>
        </w:rPr>
        <w:t>The success of our products and product candidates will require significant capital resources and years of development efforts;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2"/>
        </w:numPr>
        <w:rPr>
          <w:rFonts w:ascii="Arial" w:cs="Arial" w:eastAsia="Arial" w:hAnsi="Arial"/>
          <w:sz w:val="13"/>
          <w:szCs w:val="13"/>
          <w:color w:val="auto"/>
        </w:rPr>
      </w:pPr>
      <w:r>
        <w:rPr>
          <w:rFonts w:ascii="Arial" w:cs="Arial" w:eastAsia="Arial" w:hAnsi="Arial"/>
          <w:sz w:val="13"/>
          <w:szCs w:val="13"/>
          <w:color w:val="auto"/>
        </w:rPr>
        <w:t>Our limited number of deployments and the risk of limited market acceptance of our products;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2"/>
        </w:numPr>
        <w:rPr>
          <w:rFonts w:ascii="Arial" w:cs="Arial" w:eastAsia="Arial" w:hAnsi="Arial"/>
          <w:sz w:val="13"/>
          <w:szCs w:val="13"/>
          <w:color w:val="auto"/>
        </w:rPr>
      </w:pPr>
      <w:r>
        <w:rPr>
          <w:rFonts w:ascii="Arial" w:cs="Arial" w:eastAsia="Arial" w:hAnsi="Arial"/>
          <w:sz w:val="13"/>
          <w:szCs w:val="13"/>
          <w:color w:val="auto"/>
        </w:rPr>
        <w:t>Our ability to protect our intellectual property and to develop, maintain and enhance a strong brand;</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2"/>
        </w:numPr>
        <w:rPr>
          <w:rFonts w:ascii="Arial" w:cs="Arial" w:eastAsia="Arial" w:hAnsi="Arial"/>
          <w:sz w:val="13"/>
          <w:szCs w:val="13"/>
          <w:color w:val="auto"/>
        </w:rPr>
      </w:pPr>
      <w:r>
        <w:rPr>
          <w:rFonts w:ascii="Arial" w:cs="Arial" w:eastAsia="Arial" w:hAnsi="Arial"/>
          <w:sz w:val="13"/>
          <w:szCs w:val="13"/>
          <w:color w:val="auto"/>
        </w:rPr>
        <w:t>Our limited operating history by which performance can be gauged;</w:t>
      </w:r>
    </w:p>
    <w:p>
      <w:pPr>
        <w:spacing w:after="0" w:line="163" w:lineRule="exact"/>
        <w:rPr>
          <w:rFonts w:ascii="Arial" w:cs="Arial" w:eastAsia="Arial" w:hAnsi="Arial"/>
          <w:sz w:val="13"/>
          <w:szCs w:val="13"/>
          <w:color w:val="auto"/>
        </w:rPr>
      </w:pPr>
    </w:p>
    <w:p>
      <w:pPr>
        <w:ind w:left="460" w:right="140" w:hanging="227"/>
        <w:spacing w:after="0" w:line="274" w:lineRule="auto"/>
        <w:tabs>
          <w:tab w:leader="none" w:pos="460" w:val="left"/>
        </w:tabs>
        <w:numPr>
          <w:ilvl w:val="0"/>
          <w:numId w:val="2"/>
        </w:numPr>
        <w:rPr>
          <w:rFonts w:ascii="Arial" w:cs="Arial" w:eastAsia="Arial" w:hAnsi="Arial"/>
          <w:sz w:val="13"/>
          <w:szCs w:val="13"/>
          <w:color w:val="auto"/>
        </w:rPr>
      </w:pPr>
      <w:r>
        <w:rPr>
          <w:rFonts w:ascii="Arial" w:cs="Arial" w:eastAsia="Arial" w:hAnsi="Arial"/>
          <w:sz w:val="13"/>
          <w:szCs w:val="13"/>
          <w:color w:val="auto"/>
        </w:rPr>
        <w:t>Our ability to operate and collect digital information on behalf of our clients, which is dependent on the privacy laws of jurisdictions in which our Autonomous Security Robots (“ASR”) operate, as well as the corporate policies of our clients, which may limit our ability to fully deploy our technologies in various markets;</w:t>
      </w:r>
    </w:p>
    <w:p>
      <w:pPr>
        <w:spacing w:after="0" w:line="127" w:lineRule="exact"/>
        <w:rPr>
          <w:rFonts w:ascii="Arial" w:cs="Arial" w:eastAsia="Arial" w:hAnsi="Arial"/>
          <w:sz w:val="13"/>
          <w:szCs w:val="13"/>
          <w:color w:val="auto"/>
        </w:rPr>
      </w:pPr>
    </w:p>
    <w:p>
      <w:pPr>
        <w:ind w:left="460" w:hanging="227"/>
        <w:spacing w:after="0"/>
        <w:tabs>
          <w:tab w:leader="none" w:pos="460" w:val="left"/>
        </w:tabs>
        <w:numPr>
          <w:ilvl w:val="0"/>
          <w:numId w:val="2"/>
        </w:numPr>
        <w:rPr>
          <w:rFonts w:ascii="Arial" w:cs="Arial" w:eastAsia="Arial" w:hAnsi="Arial"/>
          <w:sz w:val="13"/>
          <w:szCs w:val="13"/>
          <w:color w:val="auto"/>
        </w:rPr>
      </w:pPr>
      <w:r>
        <w:rPr>
          <w:rFonts w:ascii="Arial" w:cs="Arial" w:eastAsia="Arial" w:hAnsi="Arial"/>
          <w:sz w:val="13"/>
          <w:szCs w:val="13"/>
          <w:color w:val="auto"/>
        </w:rPr>
        <w:t>Our ability to raise capital, our rolling closes of equity infusions for our financings, and the availability of future financing;</w:t>
      </w:r>
    </w:p>
    <w:p>
      <w:pPr>
        <w:spacing w:after="0" w:line="163" w:lineRule="exact"/>
        <w:rPr>
          <w:rFonts w:ascii="Arial" w:cs="Arial" w:eastAsia="Arial" w:hAnsi="Arial"/>
          <w:sz w:val="13"/>
          <w:szCs w:val="13"/>
          <w:color w:val="auto"/>
        </w:rPr>
      </w:pPr>
    </w:p>
    <w:p>
      <w:pPr>
        <w:ind w:left="460" w:right="300" w:hanging="227"/>
        <w:spacing w:after="0" w:line="274" w:lineRule="auto"/>
        <w:tabs>
          <w:tab w:leader="none" w:pos="460" w:val="left"/>
        </w:tabs>
        <w:numPr>
          <w:ilvl w:val="0"/>
          <w:numId w:val="2"/>
        </w:numPr>
        <w:rPr>
          <w:rFonts w:ascii="Arial" w:cs="Arial" w:eastAsia="Arial" w:hAnsi="Arial"/>
          <w:sz w:val="13"/>
          <w:szCs w:val="13"/>
          <w:color w:val="auto"/>
        </w:rPr>
      </w:pPr>
      <w:r>
        <w:rPr>
          <w:rFonts w:ascii="Arial" w:cs="Arial" w:eastAsia="Arial" w:hAnsi="Arial"/>
          <w:sz w:val="13"/>
          <w:szCs w:val="13"/>
          <w:color w:val="auto"/>
        </w:rPr>
        <w:t>Unpredictable events, such as the COVID-19 outbreak, and associated business disruptions could seriously harm our future revenues and financial condition, delay our operations, increase our costs and expenses, and impact our ability to raise capital; and</w:t>
      </w:r>
    </w:p>
    <w:p>
      <w:pPr>
        <w:spacing w:after="0" w:line="127" w:lineRule="exact"/>
        <w:rPr>
          <w:rFonts w:ascii="Arial" w:cs="Arial" w:eastAsia="Arial" w:hAnsi="Arial"/>
          <w:sz w:val="13"/>
          <w:szCs w:val="13"/>
          <w:color w:val="auto"/>
        </w:rPr>
      </w:pPr>
    </w:p>
    <w:p>
      <w:pPr>
        <w:ind w:left="460" w:hanging="227"/>
        <w:spacing w:after="0"/>
        <w:tabs>
          <w:tab w:leader="none" w:pos="460" w:val="left"/>
        </w:tabs>
        <w:numPr>
          <w:ilvl w:val="0"/>
          <w:numId w:val="2"/>
        </w:numPr>
        <w:rPr>
          <w:rFonts w:ascii="Arial" w:cs="Arial" w:eastAsia="Arial" w:hAnsi="Arial"/>
          <w:sz w:val="13"/>
          <w:szCs w:val="13"/>
          <w:color w:val="auto"/>
        </w:rPr>
      </w:pPr>
      <w:r>
        <w:rPr>
          <w:rFonts w:ascii="Arial" w:cs="Arial" w:eastAsia="Arial" w:hAnsi="Arial"/>
          <w:sz w:val="13"/>
          <w:szCs w:val="13"/>
          <w:color w:val="auto"/>
        </w:rPr>
        <w:t>Our ability to manage our research, development, expansion, growth and operating expenses.</w:t>
      </w:r>
    </w:p>
    <w:p>
      <w:pPr>
        <w:spacing w:after="0" w:line="163"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Any forward-looking statement speaks only as of the date of this Offering Circular, and, except as required by law, we assume no obligation and do not intend to update any forward-looking statement to reflect events or circumstances occurring after the date hereof.</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297815</wp:posOffset>
            </wp:positionV>
            <wp:extent cx="7170420" cy="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60"/>
          </w:cols>
          <w:pgMar w:left="300" w:top="694" w:right="339" w:bottom="1440" w:gutter="0" w:footer="0" w:header="0"/>
        </w:sectPr>
      </w:pPr>
    </w:p>
    <w:bookmarkStart w:id="3" w:name="page4"/>
    <w:bookmarkEnd w:id="3"/>
    <w:p>
      <w:pPr>
        <w:spacing w:after="0"/>
        <w:rPr>
          <w:sz w:val="20"/>
          <w:szCs w:val="20"/>
          <w:color w:val="auto"/>
        </w:rPr>
      </w:pPr>
      <w:r>
        <w:rPr>
          <w:rFonts w:ascii="Arial" w:cs="Arial" w:eastAsia="Arial" w:hAnsi="Arial"/>
          <w:sz w:val="13"/>
          <w:szCs w:val="13"/>
          <w:b w:val="1"/>
          <w:bCs w:val="1"/>
          <w:color w:val="auto"/>
        </w:rPr>
        <w:t>SUMMARY</w:t>
      </w:r>
    </w:p>
    <w:p>
      <w:pPr>
        <w:spacing w:after="0" w:line="167" w:lineRule="exact"/>
        <w:rPr>
          <w:sz w:val="20"/>
          <w:szCs w:val="20"/>
          <w:color w:val="auto"/>
        </w:rPr>
      </w:pPr>
    </w:p>
    <w:p>
      <w:pPr>
        <w:spacing w:after="0" w:line="287" w:lineRule="auto"/>
        <w:rPr>
          <w:sz w:val="20"/>
          <w:szCs w:val="20"/>
          <w:color w:val="auto"/>
        </w:rPr>
      </w:pPr>
      <w:r>
        <w:rPr>
          <w:rFonts w:ascii="Arial" w:cs="Arial" w:eastAsia="Arial" w:hAnsi="Arial"/>
          <w:sz w:val="12"/>
          <w:szCs w:val="12"/>
          <w:color w:val="auto"/>
        </w:rPr>
        <w:t>Knightscope, Inc. was founded in Mountain View, California in April 2013 and has since developed revolutionary Autonomous Security Robots (“ASRs”) with real-time on-site data collection and analysis and an interface, primarily through funding from both strategic and private investors. Knightscope currently offers three products: (1) the K5 ASR (“K5”) for outdoor usage, (2) the K3 ASR (“K3”) for indoor usage, and (3) the K1 ASR (“K1”) for stationary usage indoors or outdoors. The Company also provides access to the Knightscope Security Operations Center (“KSOC”) to all its clients, a browser-based interface that allows clients real-time data access. The Company works continuously to improve and upgrade the ASRs and KSOC, and their precise specifications will change over time.</w:t>
      </w:r>
    </w:p>
    <w:p>
      <w:pPr>
        <w:spacing w:after="0" w:line="122" w:lineRule="exact"/>
        <w:rPr>
          <w:sz w:val="20"/>
          <w:szCs w:val="20"/>
          <w:color w:val="auto"/>
        </w:rPr>
      </w:pPr>
    </w:p>
    <w:p>
      <w:pPr>
        <w:ind w:right="80"/>
        <w:spacing w:after="0" w:line="283" w:lineRule="auto"/>
        <w:rPr>
          <w:sz w:val="20"/>
          <w:szCs w:val="20"/>
          <w:color w:val="auto"/>
        </w:rPr>
      </w:pPr>
      <w:r>
        <w:rPr>
          <w:rFonts w:ascii="Arial" w:cs="Arial" w:eastAsia="Arial" w:hAnsi="Arial"/>
          <w:sz w:val="12"/>
          <w:szCs w:val="12"/>
          <w:color w:val="auto"/>
        </w:rPr>
        <w:t>The first version of the Company’s flagship K5 was completed in December 2013 and the first version of the K3 was completed in June 2016. The Company began producing the first K1 units during March 2018. The initial proof-of-concept for Knightscope’s products and services occurred in May 2015 and we received our first paid order in June 2015. Currently, the Company operates on a Machine-as-a-Service (“MaaS”) business model. Depending on the ASR model and/or selected offering package, we have recognized recurring monthly revenues ranging between $3,300 and $8,150 per ASR, which includes the ASR rental as well as maintenance, service, support, data transfer, KSOC access, docking stations and unlimited software, firmware and select hardware upgrades. In 2021, the Company added “Knightscope+” remote monitoring as an optional service that can be bundled into its MaaS subscriptions, primarily for clients that operate without a fully staffed 24/7 Security Operations Center (“SOC”).</w:t>
      </w:r>
    </w:p>
    <w:p>
      <w:pPr>
        <w:spacing w:after="0" w:line="125" w:lineRule="exact"/>
        <w:rPr>
          <w:sz w:val="20"/>
          <w:szCs w:val="20"/>
          <w:color w:val="auto"/>
        </w:rPr>
      </w:pPr>
    </w:p>
    <w:p>
      <w:pPr>
        <w:ind w:right="100"/>
        <w:spacing w:after="0" w:line="262" w:lineRule="auto"/>
        <w:rPr>
          <w:sz w:val="20"/>
          <w:szCs w:val="20"/>
          <w:color w:val="auto"/>
        </w:rPr>
      </w:pPr>
      <w:r>
        <w:rPr>
          <w:rFonts w:ascii="Arial" w:cs="Arial" w:eastAsia="Arial" w:hAnsi="Arial"/>
          <w:sz w:val="13"/>
          <w:szCs w:val="13"/>
          <w:color w:val="auto"/>
        </w:rPr>
        <w:t>Our current primary focus is on the deployment and marketing of our core technologies. We continue to generate client orders for K1, K3 and K5 ASRs and our production of machines is expected to continue out of our primary corporate headquarters in Mountain View, California. We are also working on the development and eventual production of the K7 ASR (“K7”) for multi-terrain outdoor usage, which will be built on a four-wheel architecture and have the capability to operate in more difficult environments.</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color w:val="auto"/>
        </w:rPr>
        <w:t>As of November 1, 2021, the Company has over 28,000 investors, including four major corporations, and has raised over $95 million since inception having built its technology stack from scratch.</w:t>
      </w:r>
    </w:p>
    <w:p>
      <w:pPr>
        <w:spacing w:after="0" w:line="320"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4" w:name="page5"/>
    <w:bookmarkEnd w:id="4"/>
    <w:p>
      <w:pPr>
        <w:spacing w:after="0"/>
        <w:rPr>
          <w:sz w:val="20"/>
          <w:szCs w:val="20"/>
          <w:color w:val="auto"/>
        </w:rPr>
      </w:pPr>
      <w:r>
        <w:rPr>
          <w:rFonts w:ascii="Arial" w:cs="Arial" w:eastAsia="Arial" w:hAnsi="Arial"/>
          <w:sz w:val="13"/>
          <w:szCs w:val="13"/>
          <w:b w:val="1"/>
          <w:bCs w:val="1"/>
          <w:color w:val="auto"/>
        </w:rPr>
        <w:t>The Offering</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color w:val="auto"/>
        </w:rPr>
        <w:t>Securities offered</w:t>
      </w:r>
    </w:p>
    <w:p>
      <w:pPr>
        <w:spacing w:after="0" w:line="320" w:lineRule="exact"/>
        <w:rPr>
          <w:sz w:val="20"/>
          <w:szCs w:val="20"/>
          <w:color w:val="auto"/>
        </w:rPr>
      </w:pPr>
    </w:p>
    <w:p>
      <w:pPr>
        <w:ind w:right="880"/>
        <w:spacing w:after="0" w:line="274" w:lineRule="auto"/>
        <w:rPr>
          <w:sz w:val="20"/>
          <w:szCs w:val="20"/>
          <w:color w:val="auto"/>
        </w:rPr>
      </w:pPr>
      <w:r>
        <w:rPr>
          <w:rFonts w:ascii="Arial" w:cs="Arial" w:eastAsia="Arial" w:hAnsi="Arial"/>
          <w:sz w:val="13"/>
          <w:szCs w:val="13"/>
          <w:color w:val="auto"/>
        </w:rPr>
        <w:t>Class A Common Stock outstanding before the offering (1)</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color w:val="auto"/>
        </w:rPr>
        <w:t>Class A Common Stock outstanding after</w:t>
      </w:r>
    </w:p>
    <w:p>
      <w:pPr>
        <w:spacing w:after="0" w:line="15" w:lineRule="exact"/>
        <w:rPr>
          <w:sz w:val="20"/>
          <w:szCs w:val="20"/>
          <w:color w:val="auto"/>
        </w:rPr>
      </w:pPr>
    </w:p>
    <w:p>
      <w:pPr>
        <w:spacing w:after="0"/>
        <w:rPr>
          <w:sz w:val="20"/>
          <w:szCs w:val="20"/>
          <w:color w:val="auto"/>
        </w:rPr>
      </w:pPr>
      <w:r>
        <w:rPr>
          <w:rFonts w:ascii="Arial" w:cs="Arial" w:eastAsia="Arial" w:hAnsi="Arial"/>
          <w:sz w:val="11"/>
          <w:szCs w:val="11"/>
          <w:color w:val="auto"/>
        </w:rPr>
        <w:t>the offering, assuming a fully-subscribed offering (1)</w:t>
      </w:r>
    </w:p>
    <w:p>
      <w:pPr>
        <w:spacing w:after="0" w:line="179" w:lineRule="exact"/>
        <w:rPr>
          <w:sz w:val="20"/>
          <w:szCs w:val="20"/>
          <w:color w:val="auto"/>
        </w:rPr>
      </w:pPr>
    </w:p>
    <w:p>
      <w:pPr>
        <w:ind w:right="880"/>
        <w:spacing w:after="0" w:line="274" w:lineRule="auto"/>
        <w:rPr>
          <w:sz w:val="20"/>
          <w:szCs w:val="20"/>
          <w:color w:val="auto"/>
        </w:rPr>
      </w:pPr>
      <w:r>
        <w:rPr>
          <w:rFonts w:ascii="Arial" w:cs="Arial" w:eastAsia="Arial" w:hAnsi="Arial"/>
          <w:sz w:val="13"/>
          <w:szCs w:val="13"/>
          <w:color w:val="auto"/>
        </w:rPr>
        <w:t>Class B Common Stock outstanding before the offering (1)</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color w:val="auto"/>
        </w:rPr>
        <w:t>Series A Preferred Stock outstanding</w:t>
      </w:r>
    </w:p>
    <w:p>
      <w:pPr>
        <w:spacing w:after="0" w:line="15" w:lineRule="exact"/>
        <w:rPr>
          <w:sz w:val="20"/>
          <w:szCs w:val="20"/>
          <w:color w:val="auto"/>
        </w:rPr>
      </w:pPr>
    </w:p>
    <w:p>
      <w:pPr>
        <w:spacing w:after="0"/>
        <w:rPr>
          <w:sz w:val="20"/>
          <w:szCs w:val="20"/>
          <w:color w:val="auto"/>
        </w:rPr>
      </w:pPr>
      <w:r>
        <w:rPr>
          <w:rFonts w:ascii="Arial" w:cs="Arial" w:eastAsia="Arial" w:hAnsi="Arial"/>
          <w:sz w:val="13"/>
          <w:szCs w:val="13"/>
          <w:color w:val="auto"/>
        </w:rPr>
        <w:t>before the offering</w:t>
      </w:r>
    </w:p>
    <w:p>
      <w:pPr>
        <w:spacing w:after="0" w:line="156" w:lineRule="exact"/>
        <w:rPr>
          <w:sz w:val="20"/>
          <w:szCs w:val="20"/>
          <w:color w:val="auto"/>
        </w:rPr>
      </w:pPr>
    </w:p>
    <w:p>
      <w:pPr>
        <w:spacing w:after="0"/>
        <w:rPr>
          <w:sz w:val="20"/>
          <w:szCs w:val="20"/>
          <w:color w:val="auto"/>
        </w:rPr>
      </w:pPr>
      <w:r>
        <w:rPr>
          <w:rFonts w:ascii="Arial" w:cs="Arial" w:eastAsia="Arial" w:hAnsi="Arial"/>
          <w:sz w:val="13"/>
          <w:szCs w:val="13"/>
          <w:color w:val="auto"/>
        </w:rPr>
        <w:t>Series B Preferred Stock outstanding</w:t>
      </w:r>
    </w:p>
    <w:p>
      <w:pPr>
        <w:spacing w:after="0" w:line="15" w:lineRule="exact"/>
        <w:rPr>
          <w:sz w:val="20"/>
          <w:szCs w:val="20"/>
          <w:color w:val="auto"/>
        </w:rPr>
      </w:pPr>
    </w:p>
    <w:p>
      <w:pPr>
        <w:spacing w:after="0"/>
        <w:rPr>
          <w:sz w:val="20"/>
          <w:szCs w:val="20"/>
          <w:color w:val="auto"/>
        </w:rPr>
      </w:pPr>
      <w:r>
        <w:rPr>
          <w:rFonts w:ascii="Arial" w:cs="Arial" w:eastAsia="Arial" w:hAnsi="Arial"/>
          <w:sz w:val="13"/>
          <w:szCs w:val="13"/>
          <w:color w:val="auto"/>
        </w:rPr>
        <w:t>before the offering</w:t>
      </w:r>
    </w:p>
    <w:p>
      <w:pPr>
        <w:spacing w:after="0" w:line="156" w:lineRule="exact"/>
        <w:rPr>
          <w:sz w:val="20"/>
          <w:szCs w:val="20"/>
          <w:color w:val="auto"/>
        </w:rPr>
      </w:pPr>
    </w:p>
    <w:p>
      <w:pPr>
        <w:ind w:right="1200"/>
        <w:spacing w:after="0" w:line="274" w:lineRule="auto"/>
        <w:rPr>
          <w:sz w:val="20"/>
          <w:szCs w:val="20"/>
          <w:color w:val="auto"/>
        </w:rPr>
      </w:pPr>
      <w:r>
        <w:rPr>
          <w:rFonts w:ascii="Arial" w:cs="Arial" w:eastAsia="Arial" w:hAnsi="Arial"/>
          <w:sz w:val="13"/>
          <w:szCs w:val="13"/>
          <w:color w:val="auto"/>
        </w:rPr>
        <w:t>Series m Preferred Stock outstanding before the offering</w:t>
      </w:r>
    </w:p>
    <w:p>
      <w:pPr>
        <w:spacing w:after="0" w:line="128" w:lineRule="exact"/>
        <w:rPr>
          <w:sz w:val="20"/>
          <w:szCs w:val="20"/>
          <w:color w:val="auto"/>
        </w:rPr>
      </w:pPr>
    </w:p>
    <w:p>
      <w:pPr>
        <w:ind w:right="1100"/>
        <w:spacing w:after="0" w:line="274" w:lineRule="auto"/>
        <w:rPr>
          <w:sz w:val="20"/>
          <w:szCs w:val="20"/>
          <w:color w:val="auto"/>
        </w:rPr>
      </w:pPr>
      <w:r>
        <w:rPr>
          <w:rFonts w:ascii="Arial" w:cs="Arial" w:eastAsia="Arial" w:hAnsi="Arial"/>
          <w:sz w:val="13"/>
          <w:szCs w:val="13"/>
          <w:color w:val="auto"/>
        </w:rPr>
        <w:t>Series m-2 Preferred Stock outstanding before the offering</w:t>
      </w:r>
    </w:p>
    <w:p>
      <w:pPr>
        <w:spacing w:after="0" w:line="128" w:lineRule="exact"/>
        <w:rPr>
          <w:sz w:val="20"/>
          <w:szCs w:val="20"/>
          <w:color w:val="auto"/>
        </w:rPr>
      </w:pPr>
    </w:p>
    <w:p>
      <w:pPr>
        <w:ind w:right="1100"/>
        <w:spacing w:after="0" w:line="274" w:lineRule="auto"/>
        <w:rPr>
          <w:sz w:val="20"/>
          <w:szCs w:val="20"/>
          <w:color w:val="auto"/>
        </w:rPr>
      </w:pPr>
      <w:r>
        <w:rPr>
          <w:rFonts w:ascii="Arial" w:cs="Arial" w:eastAsia="Arial" w:hAnsi="Arial"/>
          <w:sz w:val="13"/>
          <w:szCs w:val="13"/>
          <w:color w:val="auto"/>
        </w:rPr>
        <w:t>Series m-3 Preferred Stock outstanding before the offering</w:t>
      </w:r>
    </w:p>
    <w:p>
      <w:pPr>
        <w:spacing w:after="0" w:line="128" w:lineRule="exact"/>
        <w:rPr>
          <w:sz w:val="20"/>
          <w:szCs w:val="20"/>
          <w:color w:val="auto"/>
        </w:rPr>
      </w:pPr>
    </w:p>
    <w:p>
      <w:pPr>
        <w:ind w:right="1100"/>
        <w:spacing w:after="0" w:line="274" w:lineRule="auto"/>
        <w:rPr>
          <w:sz w:val="20"/>
          <w:szCs w:val="20"/>
          <w:color w:val="auto"/>
        </w:rPr>
      </w:pPr>
      <w:r>
        <w:rPr>
          <w:rFonts w:ascii="Arial" w:cs="Arial" w:eastAsia="Arial" w:hAnsi="Arial"/>
          <w:sz w:val="13"/>
          <w:szCs w:val="13"/>
          <w:color w:val="auto"/>
        </w:rPr>
        <w:t>Series m-4 Preferred Stock outstanding before the offering</w:t>
      </w:r>
    </w:p>
    <w:p>
      <w:pPr>
        <w:spacing w:after="0" w:line="128" w:lineRule="exact"/>
        <w:rPr>
          <w:sz w:val="20"/>
          <w:szCs w:val="20"/>
          <w:color w:val="auto"/>
        </w:rPr>
      </w:pPr>
    </w:p>
    <w:p>
      <w:pPr>
        <w:ind w:right="860"/>
        <w:spacing w:after="0" w:line="274" w:lineRule="auto"/>
        <w:rPr>
          <w:sz w:val="20"/>
          <w:szCs w:val="20"/>
          <w:color w:val="auto"/>
        </w:rPr>
      </w:pPr>
      <w:r>
        <w:rPr>
          <w:rFonts w:ascii="Arial" w:cs="Arial" w:eastAsia="Arial" w:hAnsi="Arial"/>
          <w:sz w:val="13"/>
          <w:szCs w:val="13"/>
          <w:color w:val="auto"/>
        </w:rPr>
        <w:t>Series S Preferred Stock outstanding before the offering</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color w:val="auto"/>
        </w:rPr>
        <w:t>Use of proceeds</w:t>
      </w:r>
    </w:p>
    <w:p>
      <w:pPr>
        <w:spacing w:after="0" w:line="320" w:lineRule="exact"/>
        <w:rPr>
          <w:sz w:val="20"/>
          <w:szCs w:val="20"/>
          <w:color w:val="auto"/>
        </w:rPr>
      </w:pPr>
    </w:p>
    <w:p>
      <w:pPr>
        <w:spacing w:after="0"/>
        <w:rPr>
          <w:sz w:val="20"/>
          <w:szCs w:val="20"/>
          <w:color w:val="auto"/>
        </w:rPr>
      </w:pPr>
      <w:r>
        <w:rPr>
          <w:rFonts w:ascii="Arial" w:cs="Arial" w:eastAsia="Arial" w:hAnsi="Arial"/>
          <w:sz w:val="13"/>
          <w:szCs w:val="13"/>
          <w:color w:val="auto"/>
        </w:rPr>
        <w:t>Proposed Nasdaq listing</w:t>
      </w:r>
    </w:p>
    <w:p>
      <w:pPr>
        <w:spacing w:after="0" w:line="20" w:lineRule="exact"/>
        <w:rPr>
          <w:sz w:val="20"/>
          <w:szCs w:val="20"/>
          <w:color w:val="auto"/>
        </w:rPr>
      </w:pPr>
      <w:r>
        <w:rPr>
          <w:sz w:val="20"/>
          <w:szCs w:val="20"/>
          <w:color w:val="auto"/>
        </w:rPr>
        <w:br w:type="column"/>
      </w:r>
    </w:p>
    <w:p>
      <w:pPr>
        <w:spacing w:after="0" w:line="297" w:lineRule="exact"/>
        <w:rPr>
          <w:sz w:val="20"/>
          <w:szCs w:val="20"/>
          <w:color w:val="auto"/>
        </w:rPr>
      </w:pPr>
    </w:p>
    <w:p>
      <w:pPr>
        <w:ind w:right="340"/>
        <w:spacing w:after="0" w:line="274" w:lineRule="auto"/>
        <w:rPr>
          <w:sz w:val="20"/>
          <w:szCs w:val="20"/>
          <w:color w:val="auto"/>
        </w:rPr>
      </w:pPr>
      <w:r>
        <w:rPr>
          <w:rFonts w:ascii="Arial" w:cs="Arial" w:eastAsia="Arial" w:hAnsi="Arial"/>
          <w:sz w:val="13"/>
          <w:szCs w:val="13"/>
          <w:color w:val="auto"/>
        </w:rPr>
        <w:t>Maximum of 4,000,000 shares of Class A Common Stock. There is no minimum number of shares that must be sold for a closing in the offering to occur.</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color w:val="auto"/>
        </w:rPr>
        <w:t>0</w:t>
      </w:r>
    </w:p>
    <w:p>
      <w:pPr>
        <w:spacing w:after="0" w:line="320" w:lineRule="exact"/>
        <w:rPr>
          <w:sz w:val="20"/>
          <w:szCs w:val="20"/>
          <w:color w:val="auto"/>
        </w:rPr>
      </w:pPr>
    </w:p>
    <w:p>
      <w:pPr>
        <w:spacing w:after="0"/>
        <w:rPr>
          <w:sz w:val="20"/>
          <w:szCs w:val="20"/>
          <w:color w:val="auto"/>
        </w:rPr>
      </w:pPr>
      <w:r>
        <w:rPr>
          <w:rFonts w:ascii="Arial" w:cs="Arial" w:eastAsia="Arial" w:hAnsi="Arial"/>
          <w:sz w:val="13"/>
          <w:szCs w:val="13"/>
          <w:color w:val="auto"/>
        </w:rPr>
        <w:t>4,000,000 shares</w:t>
      </w:r>
    </w:p>
    <w:p>
      <w:pPr>
        <w:spacing w:after="0" w:line="320" w:lineRule="exact"/>
        <w:rPr>
          <w:sz w:val="20"/>
          <w:szCs w:val="20"/>
          <w:color w:val="auto"/>
        </w:rPr>
      </w:pPr>
    </w:p>
    <w:p>
      <w:pPr>
        <w:spacing w:after="0"/>
        <w:rPr>
          <w:sz w:val="20"/>
          <w:szCs w:val="20"/>
          <w:color w:val="auto"/>
        </w:rPr>
      </w:pPr>
      <w:r>
        <w:rPr>
          <w:rFonts w:ascii="Arial" w:cs="Arial" w:eastAsia="Arial" w:hAnsi="Arial"/>
          <w:sz w:val="13"/>
          <w:szCs w:val="13"/>
          <w:color w:val="auto"/>
        </w:rPr>
        <w:t>10,189,000 shares</w:t>
      </w:r>
    </w:p>
    <w:p>
      <w:pPr>
        <w:spacing w:after="0" w:line="320" w:lineRule="exact"/>
        <w:rPr>
          <w:sz w:val="20"/>
          <w:szCs w:val="20"/>
          <w:color w:val="auto"/>
        </w:rPr>
      </w:pPr>
    </w:p>
    <w:p>
      <w:pPr>
        <w:spacing w:after="0"/>
        <w:rPr>
          <w:sz w:val="20"/>
          <w:szCs w:val="20"/>
          <w:color w:val="auto"/>
        </w:rPr>
      </w:pPr>
      <w:r>
        <w:rPr>
          <w:rFonts w:ascii="Arial" w:cs="Arial" w:eastAsia="Arial" w:hAnsi="Arial"/>
          <w:sz w:val="13"/>
          <w:szCs w:val="13"/>
          <w:color w:val="auto"/>
        </w:rPr>
        <w:t>8,936,015 shares</w:t>
      </w:r>
    </w:p>
    <w:p>
      <w:pPr>
        <w:spacing w:after="0" w:line="320" w:lineRule="exact"/>
        <w:rPr>
          <w:sz w:val="20"/>
          <w:szCs w:val="20"/>
          <w:color w:val="auto"/>
        </w:rPr>
      </w:pPr>
    </w:p>
    <w:p>
      <w:pPr>
        <w:spacing w:after="0"/>
        <w:rPr>
          <w:sz w:val="20"/>
          <w:szCs w:val="20"/>
          <w:color w:val="auto"/>
        </w:rPr>
      </w:pPr>
      <w:r>
        <w:rPr>
          <w:rFonts w:ascii="Arial" w:cs="Arial" w:eastAsia="Arial" w:hAnsi="Arial"/>
          <w:sz w:val="13"/>
          <w:szCs w:val="13"/>
          <w:color w:val="auto"/>
        </w:rPr>
        <w:t>4,653,583 shares</w:t>
      </w:r>
    </w:p>
    <w:p>
      <w:pPr>
        <w:spacing w:after="0" w:line="320" w:lineRule="exact"/>
        <w:rPr>
          <w:sz w:val="20"/>
          <w:szCs w:val="20"/>
          <w:color w:val="auto"/>
        </w:rPr>
      </w:pPr>
    </w:p>
    <w:p>
      <w:pPr>
        <w:spacing w:after="0"/>
        <w:rPr>
          <w:sz w:val="20"/>
          <w:szCs w:val="20"/>
          <w:color w:val="auto"/>
        </w:rPr>
      </w:pPr>
      <w:r>
        <w:rPr>
          <w:rFonts w:ascii="Arial" w:cs="Arial" w:eastAsia="Arial" w:hAnsi="Arial"/>
          <w:sz w:val="13"/>
          <w:szCs w:val="13"/>
          <w:color w:val="auto"/>
        </w:rPr>
        <w:t>5,339,215 shares</w:t>
      </w:r>
    </w:p>
    <w:p>
      <w:pPr>
        <w:spacing w:after="0" w:line="320" w:lineRule="exact"/>
        <w:rPr>
          <w:sz w:val="20"/>
          <w:szCs w:val="20"/>
          <w:color w:val="auto"/>
        </w:rPr>
      </w:pPr>
    </w:p>
    <w:p>
      <w:pPr>
        <w:spacing w:after="0"/>
        <w:rPr>
          <w:sz w:val="20"/>
          <w:szCs w:val="20"/>
          <w:color w:val="auto"/>
        </w:rPr>
      </w:pPr>
      <w:r>
        <w:rPr>
          <w:rFonts w:ascii="Arial" w:cs="Arial" w:eastAsia="Arial" w:hAnsi="Arial"/>
          <w:sz w:val="13"/>
          <w:szCs w:val="13"/>
          <w:color w:val="auto"/>
        </w:rPr>
        <w:t>1,660,756 shares</w:t>
      </w:r>
    </w:p>
    <w:p>
      <w:pPr>
        <w:spacing w:after="0" w:line="320" w:lineRule="exact"/>
        <w:rPr>
          <w:sz w:val="20"/>
          <w:szCs w:val="20"/>
          <w:color w:val="auto"/>
        </w:rPr>
      </w:pPr>
    </w:p>
    <w:p>
      <w:pPr>
        <w:spacing w:after="0"/>
        <w:rPr>
          <w:sz w:val="20"/>
          <w:szCs w:val="20"/>
          <w:color w:val="auto"/>
        </w:rPr>
      </w:pPr>
      <w:r>
        <w:rPr>
          <w:rFonts w:ascii="Arial" w:cs="Arial" w:eastAsia="Arial" w:hAnsi="Arial"/>
          <w:sz w:val="13"/>
          <w:szCs w:val="13"/>
          <w:color w:val="auto"/>
        </w:rPr>
        <w:t>16,757 shares</w:t>
      </w:r>
    </w:p>
    <w:p>
      <w:pPr>
        <w:spacing w:after="0" w:line="320" w:lineRule="exact"/>
        <w:rPr>
          <w:sz w:val="20"/>
          <w:szCs w:val="20"/>
          <w:color w:val="auto"/>
        </w:rPr>
      </w:pPr>
    </w:p>
    <w:p>
      <w:pPr>
        <w:spacing w:after="0"/>
        <w:rPr>
          <w:sz w:val="20"/>
          <w:szCs w:val="20"/>
          <w:color w:val="auto"/>
        </w:rPr>
      </w:pPr>
      <w:r>
        <w:rPr>
          <w:rFonts w:ascii="Arial" w:cs="Arial" w:eastAsia="Arial" w:hAnsi="Arial"/>
          <w:sz w:val="13"/>
          <w:szCs w:val="13"/>
          <w:color w:val="auto"/>
        </w:rPr>
        <w:t>1,891,520 shares</w:t>
      </w:r>
    </w:p>
    <w:p>
      <w:pPr>
        <w:spacing w:after="0" w:line="320" w:lineRule="exact"/>
        <w:rPr>
          <w:sz w:val="20"/>
          <w:szCs w:val="20"/>
          <w:color w:val="auto"/>
        </w:rPr>
      </w:pPr>
    </w:p>
    <w:p>
      <w:pPr>
        <w:spacing w:after="0"/>
        <w:rPr>
          <w:sz w:val="20"/>
          <w:szCs w:val="20"/>
          <w:color w:val="auto"/>
        </w:rPr>
      </w:pPr>
      <w:r>
        <w:rPr>
          <w:rFonts w:ascii="Arial" w:cs="Arial" w:eastAsia="Arial" w:hAnsi="Arial"/>
          <w:sz w:val="13"/>
          <w:szCs w:val="13"/>
          <w:color w:val="auto"/>
        </w:rPr>
        <w:t>5,587,152 shares</w:t>
      </w:r>
    </w:p>
    <w:p>
      <w:pPr>
        <w:spacing w:after="0" w:line="320" w:lineRule="exact"/>
        <w:rPr>
          <w:sz w:val="20"/>
          <w:szCs w:val="20"/>
          <w:color w:val="auto"/>
        </w:rPr>
      </w:pPr>
    </w:p>
    <w:p>
      <w:pPr>
        <w:ind w:right="300"/>
        <w:spacing w:after="0" w:line="274" w:lineRule="auto"/>
        <w:rPr>
          <w:sz w:val="20"/>
          <w:szCs w:val="20"/>
          <w:color w:val="auto"/>
        </w:rPr>
      </w:pPr>
      <w:r>
        <w:rPr>
          <w:rFonts w:ascii="Arial" w:cs="Arial" w:eastAsia="Arial" w:hAnsi="Arial"/>
          <w:sz w:val="13"/>
          <w:szCs w:val="13"/>
          <w:color w:val="auto"/>
        </w:rPr>
        <w:t>The net proceeds of this offering will be used to for working capital and growth capital purposes, including optimizing production of our ASRs in an effort to increase sales. The details of our plans are set forth in “Use of Proceeds.”</w:t>
      </w:r>
    </w:p>
    <w:p>
      <w:pPr>
        <w:spacing w:after="0" w:line="128" w:lineRule="exact"/>
        <w:rPr>
          <w:sz w:val="20"/>
          <w:szCs w:val="20"/>
          <w:color w:val="auto"/>
        </w:rPr>
      </w:pPr>
    </w:p>
    <w:p>
      <w:pPr>
        <w:ind w:right="60"/>
        <w:spacing w:after="0" w:line="277" w:lineRule="auto"/>
        <w:rPr>
          <w:sz w:val="20"/>
          <w:szCs w:val="20"/>
          <w:color w:val="auto"/>
        </w:rPr>
      </w:pPr>
      <w:r>
        <w:rPr>
          <w:rFonts w:ascii="Arial" w:cs="Arial" w:eastAsia="Arial" w:hAnsi="Arial"/>
          <w:sz w:val="12"/>
          <w:szCs w:val="12"/>
          <w:color w:val="auto"/>
        </w:rPr>
        <w:t>We have applied to list our Class A Common Stock on the Nasdaq Global Market (“Nasdaq”) under the symbol “KSCP.” Our Class A Common Stock will not commence trading on Nasdaq until all of the following conditions are met: (i) the offering is completed and (ii) we have filed a post-qualification amendment to the Offering Statement and a registration statement on Form 8-A (“Form 8-A”) under the Securities Exchange Act of 1934, as amended (the “Exchange Act”), and such post-qualification amendment is qualified by the Commission and the Form 8-A has become effective. Pursuant to applicable rules under Regulation A, the Form 8-A will not become effective until the Commission qualifies the post-qualification amendment. We intend to file the post-qualification amendment and request its qualification immediately prior to the closing of the offering in order that the Form 8-A may become effective as soon as practicable. Even if we meet the minimum requirements for listing on Nasdaq, we may wait before closing the offering and commencing the trading of our common stock on Nasdaq in order to raise additional proceeds. As a result, you may experience a delay between the subscription for your purchase of shares of Class A Common Stock and the commencement of trading of the Class A Common Stock on Nasdaq.</w:t>
      </w:r>
    </w:p>
    <w:p>
      <w:pPr>
        <w:spacing w:after="0" w:line="128" w:lineRule="exact"/>
        <w:rPr>
          <w:sz w:val="20"/>
          <w:szCs w:val="20"/>
          <w:color w:val="auto"/>
        </w:rPr>
      </w:pPr>
    </w:p>
    <w:p>
      <w:pPr>
        <w:sectPr>
          <w:pgSz w:w="11900" w:h="16838" w:orient="portrait"/>
          <w:cols w:equalWidth="0" w:num="2">
            <w:col w:w="3140" w:space="720"/>
            <w:col w:w="7420"/>
          </w:cols>
          <w:pgMar w:left="300" w:top="694" w:right="319" w:bottom="1440" w:gutter="0" w:footer="0" w:header="0"/>
        </w:sectPr>
      </w:pPr>
    </w:p>
    <w:p>
      <w:pPr>
        <w:ind w:left="460" w:hanging="227"/>
        <w:spacing w:after="0" w:line="255" w:lineRule="auto"/>
        <w:tabs>
          <w:tab w:leader="none" w:pos="460" w:val="left"/>
        </w:tabs>
        <w:numPr>
          <w:ilvl w:val="0"/>
          <w:numId w:val="3"/>
        </w:numPr>
        <w:rPr>
          <w:rFonts w:ascii="Arial" w:cs="Arial" w:eastAsia="Arial" w:hAnsi="Arial"/>
          <w:sz w:val="13"/>
          <w:szCs w:val="13"/>
          <w:color w:val="auto"/>
        </w:rPr>
      </w:pPr>
      <w:r>
        <w:rPr>
          <w:rFonts w:ascii="Arial" w:cs="Arial" w:eastAsia="Arial" w:hAnsi="Arial"/>
          <w:sz w:val="13"/>
          <w:szCs w:val="13"/>
          <w:color w:val="auto"/>
        </w:rPr>
        <w:t>Does not include (a) shares of Class A Common Stock issuable upon the conversion of convertible notes and the exercise of options issued under the 2014 Equity Incentive Plan, and shares of Class A Common Stock allocated for issuance pursuant to the 2014 Equity Incentive Plan and the 2016 Equity Incentive Plan and outstanding warrants; (b) shares of Class A Common Stock issuable upon conversion of shares of Series m Preferred Stock, Series m-2 Preferred Stock and Series S Preferred Stock; (c) shares of Class B Common Stock issuable upon the exercise of options issued under the 2014 Equity Incentive Plan, shares of Class B Common Stock allocated for issuance pursuant to the 2014 Equity Incentive Plan and the 2016 Equity Incentive Plan and outstanding warrants; and (d) shares of Class B Common Stock issuable upon conversion of shares of Series A Preferred Stock, Series B Preferred Stock, Series m-3 Preferred Stock and Series m-4 Preferred Stock. In addition, shares of Class A Common Stock excludes shares that are issuable upon the conversion of shares of Class B Common Stock that are outstanding or may be issued upon conversion or exercise of Preferred Stock or options discussed in clauses (c) and (d) of the preceding sentence. See “Dilution.”</w:t>
      </w:r>
    </w:p>
    <w:p>
      <w:pPr>
        <w:spacing w:after="0" w:line="296"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type w:val="continuous"/>
        </w:sectPr>
      </w:pPr>
    </w:p>
    <w:bookmarkStart w:id="5" w:name="page6"/>
    <w:bookmarkEnd w:id="5"/>
    <w:p>
      <w:pPr>
        <w:spacing w:after="0"/>
        <w:rPr>
          <w:sz w:val="20"/>
          <w:szCs w:val="20"/>
          <w:color w:val="auto"/>
        </w:rPr>
      </w:pPr>
      <w:r>
        <w:rPr>
          <w:rFonts w:ascii="Arial" w:cs="Arial" w:eastAsia="Arial" w:hAnsi="Arial"/>
          <w:sz w:val="13"/>
          <w:szCs w:val="13"/>
          <w:b w:val="1"/>
          <w:bCs w:val="1"/>
          <w:color w:val="auto"/>
        </w:rPr>
        <w:t>Implications of Being an Emerging Growth Company</w:t>
      </w:r>
    </w:p>
    <w:p>
      <w:pPr>
        <w:spacing w:after="0" w:line="167" w:lineRule="exact"/>
        <w:rPr>
          <w:sz w:val="20"/>
          <w:szCs w:val="20"/>
          <w:color w:val="auto"/>
        </w:rPr>
      </w:pPr>
    </w:p>
    <w:p>
      <w:pPr>
        <w:spacing w:after="0"/>
        <w:rPr>
          <w:sz w:val="20"/>
          <w:szCs w:val="20"/>
          <w:color w:val="auto"/>
        </w:rPr>
      </w:pPr>
      <w:r>
        <w:rPr>
          <w:rFonts w:ascii="Arial" w:cs="Arial" w:eastAsia="Arial" w:hAnsi="Arial"/>
          <w:sz w:val="12"/>
          <w:szCs w:val="12"/>
          <w:color w:val="auto"/>
        </w:rPr>
        <w:t>As an issuer with less than $1.07 billion in total annual gross revenues during our last fiscal year, we qualify as an “emerging growth company” under the Jumpstart Our Business Startups Act of 2012 (the “JOBS</w:t>
      </w:r>
    </w:p>
    <w:p>
      <w:pPr>
        <w:spacing w:after="0" w:line="26" w:lineRule="exact"/>
        <w:rPr>
          <w:sz w:val="20"/>
          <w:szCs w:val="20"/>
          <w:color w:val="auto"/>
        </w:rPr>
      </w:pPr>
    </w:p>
    <w:p>
      <w:pPr>
        <w:spacing w:after="0"/>
        <w:rPr>
          <w:sz w:val="20"/>
          <w:szCs w:val="20"/>
          <w:color w:val="auto"/>
        </w:rPr>
      </w:pPr>
      <w:r>
        <w:rPr>
          <w:rFonts w:ascii="Arial" w:cs="Arial" w:eastAsia="Arial" w:hAnsi="Arial"/>
          <w:sz w:val="11"/>
          <w:szCs w:val="11"/>
          <w:color w:val="auto"/>
        </w:rPr>
        <w:t>Act”). An emerging growth company may take advantage of certain reduced reporting requirements and is relieved of certain other significant requirements that are otherwise generally applicable to public companies.</w:t>
      </w:r>
    </w:p>
    <w:p>
      <w:pPr>
        <w:spacing w:after="0" w:line="30" w:lineRule="exact"/>
        <w:rPr>
          <w:sz w:val="20"/>
          <w:szCs w:val="20"/>
          <w:color w:val="auto"/>
        </w:rPr>
      </w:pPr>
    </w:p>
    <w:p>
      <w:pPr>
        <w:spacing w:after="0"/>
        <w:rPr>
          <w:sz w:val="20"/>
          <w:szCs w:val="20"/>
          <w:color w:val="auto"/>
        </w:rPr>
      </w:pPr>
      <w:r>
        <w:rPr>
          <w:rFonts w:ascii="Arial" w:cs="Arial" w:eastAsia="Arial" w:hAnsi="Arial"/>
          <w:sz w:val="13"/>
          <w:szCs w:val="13"/>
          <w:color w:val="auto"/>
        </w:rPr>
        <w:t>In particular, as an emerging growth company we:</w:t>
      </w:r>
    </w:p>
    <w:p>
      <w:pPr>
        <w:spacing w:after="0" w:line="156" w:lineRule="exact"/>
        <w:rPr>
          <w:sz w:val="20"/>
          <w:szCs w:val="20"/>
          <w:color w:val="auto"/>
        </w:rPr>
      </w:pPr>
    </w:p>
    <w:p>
      <w:pPr>
        <w:ind w:left="460" w:hanging="227"/>
        <w:spacing w:after="0"/>
        <w:tabs>
          <w:tab w:leader="none" w:pos="460" w:val="left"/>
        </w:tabs>
        <w:numPr>
          <w:ilvl w:val="0"/>
          <w:numId w:val="4"/>
        </w:numPr>
        <w:rPr>
          <w:rFonts w:ascii="Arial" w:cs="Arial" w:eastAsia="Arial" w:hAnsi="Arial"/>
          <w:sz w:val="13"/>
          <w:szCs w:val="13"/>
          <w:color w:val="auto"/>
        </w:rPr>
      </w:pPr>
      <w:r>
        <w:rPr>
          <w:rFonts w:ascii="Arial" w:cs="Arial" w:eastAsia="Arial" w:hAnsi="Arial"/>
          <w:sz w:val="13"/>
          <w:szCs w:val="13"/>
          <w:color w:val="auto"/>
        </w:rPr>
        <w:t>are not required to obtain an auditor attestation on our internal control over financial reporting pursuant to the Sarbanes-Oxley Act of 2002;</w:t>
      </w:r>
    </w:p>
    <w:p>
      <w:pPr>
        <w:spacing w:after="0" w:line="14" w:lineRule="exact"/>
        <w:rPr>
          <w:rFonts w:ascii="Arial" w:cs="Arial" w:eastAsia="Arial" w:hAnsi="Arial"/>
          <w:sz w:val="13"/>
          <w:szCs w:val="13"/>
          <w:color w:val="auto"/>
        </w:rPr>
      </w:pPr>
    </w:p>
    <w:p>
      <w:pPr>
        <w:ind w:left="460" w:right="40" w:hanging="227"/>
        <w:spacing w:after="0" w:line="251" w:lineRule="auto"/>
        <w:tabs>
          <w:tab w:leader="none" w:pos="460" w:val="left"/>
        </w:tabs>
        <w:numPr>
          <w:ilvl w:val="0"/>
          <w:numId w:val="4"/>
        </w:numPr>
        <w:rPr>
          <w:rFonts w:ascii="Arial" w:cs="Arial" w:eastAsia="Arial" w:hAnsi="Arial"/>
          <w:sz w:val="13"/>
          <w:szCs w:val="13"/>
          <w:color w:val="auto"/>
        </w:rPr>
      </w:pPr>
      <w:r>
        <w:rPr>
          <w:rFonts w:ascii="Arial" w:cs="Arial" w:eastAsia="Arial" w:hAnsi="Arial"/>
          <w:sz w:val="13"/>
          <w:szCs w:val="13"/>
          <w:color w:val="auto"/>
        </w:rPr>
        <w:t>are not required to provide a detailed narrative disclosure discussing our compensation principles, objectives and elements and analyzing how those elements fit with our principles and objectives (commonly referred to as “compensation discussion and analysis”);</w:t>
      </w:r>
    </w:p>
    <w:p>
      <w:pPr>
        <w:ind w:left="460" w:right="200" w:hanging="227"/>
        <w:spacing w:after="0" w:line="251" w:lineRule="auto"/>
        <w:tabs>
          <w:tab w:leader="none" w:pos="460" w:val="left"/>
        </w:tabs>
        <w:numPr>
          <w:ilvl w:val="0"/>
          <w:numId w:val="4"/>
        </w:numPr>
        <w:rPr>
          <w:rFonts w:ascii="Arial" w:cs="Arial" w:eastAsia="Arial" w:hAnsi="Arial"/>
          <w:sz w:val="13"/>
          <w:szCs w:val="13"/>
          <w:color w:val="auto"/>
        </w:rPr>
      </w:pPr>
      <w:r>
        <w:rPr>
          <w:rFonts w:ascii="Arial" w:cs="Arial" w:eastAsia="Arial" w:hAnsi="Arial"/>
          <w:sz w:val="13"/>
          <w:szCs w:val="13"/>
          <w:color w:val="auto"/>
        </w:rPr>
        <w:t>are not required to obtain a non-binding advisory vote from our stockholders on executive compensation or golden parachute arrangements (commonly referred to as the “say-on-pay,” “say-on-frequency” and “say-on-golden-parachute” votes);</w:t>
      </w:r>
    </w:p>
    <w:p>
      <w:pPr>
        <w:ind w:left="460" w:hanging="227"/>
        <w:spacing w:after="0"/>
        <w:tabs>
          <w:tab w:leader="none" w:pos="460" w:val="left"/>
        </w:tabs>
        <w:numPr>
          <w:ilvl w:val="0"/>
          <w:numId w:val="4"/>
        </w:numPr>
        <w:rPr>
          <w:rFonts w:ascii="Arial" w:cs="Arial" w:eastAsia="Arial" w:hAnsi="Arial"/>
          <w:sz w:val="13"/>
          <w:szCs w:val="13"/>
          <w:color w:val="auto"/>
        </w:rPr>
      </w:pPr>
      <w:r>
        <w:rPr>
          <w:rFonts w:ascii="Arial" w:cs="Arial" w:eastAsia="Arial" w:hAnsi="Arial"/>
          <w:sz w:val="13"/>
          <w:szCs w:val="13"/>
          <w:color w:val="auto"/>
        </w:rPr>
        <w:t>are exempt from certain executive compensation disclosure provisions requiring a pay-for-performance graph and CEO pay ratio disclosure;</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4"/>
        </w:numPr>
        <w:rPr>
          <w:rFonts w:ascii="Arial" w:cs="Arial" w:eastAsia="Arial" w:hAnsi="Arial"/>
          <w:sz w:val="12"/>
          <w:szCs w:val="12"/>
          <w:color w:val="auto"/>
        </w:rPr>
      </w:pPr>
      <w:r>
        <w:rPr>
          <w:rFonts w:ascii="Arial" w:cs="Arial" w:eastAsia="Arial" w:hAnsi="Arial"/>
          <w:sz w:val="12"/>
          <w:szCs w:val="12"/>
          <w:color w:val="auto"/>
        </w:rPr>
        <w:t>may present only two years of audited financial statements and only two years of related Management’s Discussion and Analysis of Financial Condition and Results of Operations, or MD&amp;A; and</w:t>
      </w:r>
    </w:p>
    <w:p>
      <w:pPr>
        <w:spacing w:after="0" w:line="18" w:lineRule="exact"/>
        <w:rPr>
          <w:rFonts w:ascii="Arial" w:cs="Arial" w:eastAsia="Arial" w:hAnsi="Arial"/>
          <w:sz w:val="12"/>
          <w:szCs w:val="12"/>
          <w:color w:val="auto"/>
        </w:rPr>
      </w:pPr>
    </w:p>
    <w:p>
      <w:pPr>
        <w:ind w:left="460" w:hanging="227"/>
        <w:spacing w:after="0"/>
        <w:tabs>
          <w:tab w:leader="none" w:pos="460" w:val="left"/>
        </w:tabs>
        <w:numPr>
          <w:ilvl w:val="0"/>
          <w:numId w:val="4"/>
        </w:numPr>
        <w:rPr>
          <w:rFonts w:ascii="Arial" w:cs="Arial" w:eastAsia="Arial" w:hAnsi="Arial"/>
          <w:sz w:val="13"/>
          <w:szCs w:val="13"/>
          <w:color w:val="auto"/>
        </w:rPr>
      </w:pPr>
      <w:r>
        <w:rPr>
          <w:rFonts w:ascii="Arial" w:cs="Arial" w:eastAsia="Arial" w:hAnsi="Arial"/>
          <w:sz w:val="13"/>
          <w:szCs w:val="13"/>
          <w:color w:val="auto"/>
        </w:rPr>
        <w:t>are eligible to claim longer phase-in periods for the adoption of new or revised financial accounting standards under §107 of the JOBS Act.</w:t>
      </w:r>
    </w:p>
    <w:p>
      <w:pPr>
        <w:spacing w:after="0" w:line="156" w:lineRule="exact"/>
        <w:rPr>
          <w:sz w:val="20"/>
          <w:szCs w:val="20"/>
          <w:color w:val="auto"/>
        </w:rPr>
      </w:pPr>
    </w:p>
    <w:p>
      <w:pPr>
        <w:ind w:right="60"/>
        <w:spacing w:after="0" w:line="262" w:lineRule="auto"/>
        <w:rPr>
          <w:sz w:val="20"/>
          <w:szCs w:val="20"/>
          <w:color w:val="auto"/>
        </w:rPr>
      </w:pPr>
      <w:r>
        <w:rPr>
          <w:rFonts w:ascii="Arial" w:cs="Arial" w:eastAsia="Arial" w:hAnsi="Arial"/>
          <w:sz w:val="13"/>
          <w:szCs w:val="13"/>
          <w:color w:val="auto"/>
        </w:rPr>
        <w:t>We intend to take advantage of all of these reduced reporting requirements and exemptions, including the longer phase-in periods for the adoption of new or revised financial accounting standards under §107 of the JOBS Act. Our election to use the phase-in periods may make it difficult to compare our financial statements to those of non-emerging growth companies and other emerging growth companies that have opted out of the phase-in periods under §107 of the JOBS Act.</w:t>
      </w:r>
    </w:p>
    <w:p>
      <w:pPr>
        <w:spacing w:after="0" w:line="136" w:lineRule="exact"/>
        <w:rPr>
          <w:sz w:val="20"/>
          <w:szCs w:val="20"/>
          <w:color w:val="auto"/>
        </w:rPr>
      </w:pPr>
    </w:p>
    <w:p>
      <w:pPr>
        <w:ind w:right="40"/>
        <w:spacing w:after="0" w:line="256" w:lineRule="auto"/>
        <w:rPr>
          <w:sz w:val="20"/>
          <w:szCs w:val="20"/>
          <w:color w:val="auto"/>
        </w:rPr>
      </w:pPr>
      <w:r>
        <w:rPr>
          <w:rFonts w:ascii="Arial" w:cs="Arial" w:eastAsia="Arial" w:hAnsi="Arial"/>
          <w:sz w:val="13"/>
          <w:szCs w:val="13"/>
          <w:color w:val="auto"/>
        </w:rPr>
        <w:t>Under the JOBS Act, we may take advantage of the above-described reduced reporting requirements and exemptions for up to five years after our initial sale of common equity pursuant to a registration statement declared effective under the Securities Act of 1933, as amended, or the Securities Act, or such earlier time that we no longer meet the definition of an emerging growth company. Note that this offering, while a public offering, is not a sale of common equity pursuant to a registration statement, since the offering is conducted pursuant to an exemption from the registration requirements. In this regard, the JOBS Act provides that we would cease to be an “emerging growth company” if we have more than $1.07 billion in annual revenues, have more than $700 million in market value of our common stock held by non-affiliates, or issue more than $1 billion in principal amount of non-convertible debt over a three-year period.</w:t>
      </w:r>
    </w:p>
    <w:p>
      <w:pPr>
        <w:spacing w:after="0" w:line="141" w:lineRule="exact"/>
        <w:rPr>
          <w:sz w:val="20"/>
          <w:szCs w:val="20"/>
          <w:color w:val="auto"/>
        </w:rPr>
      </w:pPr>
    </w:p>
    <w:p>
      <w:pPr>
        <w:ind w:right="20"/>
        <w:spacing w:after="0" w:line="294" w:lineRule="auto"/>
        <w:rPr>
          <w:sz w:val="20"/>
          <w:szCs w:val="20"/>
          <w:color w:val="auto"/>
        </w:rPr>
      </w:pPr>
      <w:r>
        <w:rPr>
          <w:rFonts w:ascii="Arial" w:cs="Arial" w:eastAsia="Arial" w:hAnsi="Arial"/>
          <w:sz w:val="12"/>
          <w:szCs w:val="12"/>
          <w:color w:val="auto"/>
        </w:rPr>
        <w:t>Certain of these reduced reporting requirements and exemptions are also available to us due to the fact that we may also qualify as a “smaller reporting company” under the Commission’s rules. For instance, smaller reporting companies are not required to obtain an auditor attestation on their assessment of internal control over financial reporting; are not required to provide a compensation discussion and analysis; are not required to provide a pay-for-performance graph or CEO pay ratio disclosure; and may present only two years of audited financial statements and related MD&amp;A disclosure.</w:t>
      </w:r>
    </w:p>
    <w:p>
      <w:pPr>
        <w:spacing w:after="0" w:line="11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Selected Risks Associated with Our Business</w:t>
      </w:r>
    </w:p>
    <w:p>
      <w:pPr>
        <w:spacing w:after="0" w:line="167" w:lineRule="exact"/>
        <w:rPr>
          <w:sz w:val="20"/>
          <w:szCs w:val="20"/>
          <w:color w:val="auto"/>
        </w:rPr>
      </w:pPr>
    </w:p>
    <w:p>
      <w:pPr>
        <w:ind w:right="360"/>
        <w:spacing w:after="0" w:line="274" w:lineRule="auto"/>
        <w:rPr>
          <w:sz w:val="20"/>
          <w:szCs w:val="20"/>
          <w:color w:val="auto"/>
        </w:rPr>
      </w:pPr>
      <w:r>
        <w:rPr>
          <w:rFonts w:ascii="Arial" w:cs="Arial" w:eastAsia="Arial" w:hAnsi="Arial"/>
          <w:sz w:val="13"/>
          <w:szCs w:val="13"/>
          <w:color w:val="auto"/>
        </w:rPr>
        <w:t>Our business is subject to a number of risks and uncertainties, including those highlighted in the section titled “Risk Factors” immediately following this summary. These risks include, but are not limited to, the following:</w:t>
      </w:r>
    </w:p>
    <w:p>
      <w:pPr>
        <w:spacing w:after="0" w:line="128" w:lineRule="exact"/>
        <w:rPr>
          <w:sz w:val="20"/>
          <w:szCs w:val="20"/>
          <w:color w:val="auto"/>
        </w:rPr>
      </w:pPr>
    </w:p>
    <w:p>
      <w:pPr>
        <w:ind w:left="460" w:hanging="227"/>
        <w:spacing w:after="0"/>
        <w:tabs>
          <w:tab w:leader="none" w:pos="460" w:val="left"/>
        </w:tabs>
        <w:numPr>
          <w:ilvl w:val="0"/>
          <w:numId w:val="5"/>
        </w:numPr>
        <w:rPr>
          <w:rFonts w:ascii="Arial" w:cs="Arial" w:eastAsia="Arial" w:hAnsi="Arial"/>
          <w:sz w:val="13"/>
          <w:szCs w:val="13"/>
          <w:color w:val="auto"/>
        </w:rPr>
      </w:pPr>
      <w:r>
        <w:rPr>
          <w:rFonts w:ascii="Arial" w:cs="Arial" w:eastAsia="Arial" w:hAnsi="Arial"/>
          <w:sz w:val="13"/>
          <w:szCs w:val="13"/>
          <w:color w:val="auto"/>
        </w:rPr>
        <w:t>We are an early-stage company and have not yet generated any profits or significant revenues.</w:t>
      </w:r>
    </w:p>
    <w:p>
      <w:pPr>
        <w:spacing w:after="0" w:line="14" w:lineRule="exact"/>
        <w:rPr>
          <w:rFonts w:ascii="Arial" w:cs="Arial" w:eastAsia="Arial" w:hAnsi="Arial"/>
          <w:sz w:val="13"/>
          <w:szCs w:val="13"/>
          <w:color w:val="auto"/>
        </w:rPr>
      </w:pPr>
    </w:p>
    <w:p>
      <w:pPr>
        <w:ind w:left="460" w:hanging="227"/>
        <w:spacing w:after="0"/>
        <w:tabs>
          <w:tab w:leader="none" w:pos="460" w:val="left"/>
        </w:tabs>
        <w:numPr>
          <w:ilvl w:val="0"/>
          <w:numId w:val="5"/>
        </w:numPr>
        <w:rPr>
          <w:rFonts w:ascii="Arial" w:cs="Arial" w:eastAsia="Arial" w:hAnsi="Arial"/>
          <w:sz w:val="13"/>
          <w:szCs w:val="13"/>
          <w:color w:val="auto"/>
        </w:rPr>
      </w:pPr>
      <w:r>
        <w:rPr>
          <w:rFonts w:ascii="Arial" w:cs="Arial" w:eastAsia="Arial" w:hAnsi="Arial"/>
          <w:sz w:val="13"/>
          <w:szCs w:val="13"/>
          <w:color w:val="auto"/>
        </w:rPr>
        <w:t>We may not be able to continue to operate the business if we are not successful in securing additional fundraising and, as a result, we may not be able to continue as a going concern.</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5"/>
        </w:numPr>
        <w:rPr>
          <w:rFonts w:ascii="Arial" w:cs="Arial" w:eastAsia="Arial" w:hAnsi="Arial"/>
          <w:sz w:val="13"/>
          <w:szCs w:val="13"/>
          <w:color w:val="auto"/>
        </w:rPr>
      </w:pPr>
      <w:r>
        <w:rPr>
          <w:rFonts w:ascii="Arial" w:cs="Arial" w:eastAsia="Arial" w:hAnsi="Arial"/>
          <w:sz w:val="13"/>
          <w:szCs w:val="13"/>
          <w:color w:val="auto"/>
        </w:rPr>
        <w:t>The Company expects to experience future losses as it implements its business strategy and will need to generate significant revenues to achieve profitability, which may not occur.</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5"/>
        </w:numPr>
        <w:rPr>
          <w:rFonts w:ascii="Arial" w:cs="Arial" w:eastAsia="Arial" w:hAnsi="Arial"/>
          <w:sz w:val="13"/>
          <w:szCs w:val="13"/>
          <w:color w:val="auto"/>
        </w:rPr>
      </w:pPr>
      <w:r>
        <w:rPr>
          <w:rFonts w:ascii="Arial" w:cs="Arial" w:eastAsia="Arial" w:hAnsi="Arial"/>
          <w:sz w:val="13"/>
          <w:szCs w:val="13"/>
          <w:color w:val="auto"/>
        </w:rPr>
        <w:t>The Company has a limited operating history by which performance can be gauged.</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5"/>
        </w:numPr>
        <w:rPr>
          <w:rFonts w:ascii="Arial" w:cs="Arial" w:eastAsia="Arial" w:hAnsi="Arial"/>
          <w:sz w:val="13"/>
          <w:szCs w:val="13"/>
          <w:color w:val="auto"/>
        </w:rPr>
      </w:pPr>
      <w:r>
        <w:rPr>
          <w:rFonts w:ascii="Arial" w:cs="Arial" w:eastAsia="Arial" w:hAnsi="Arial"/>
          <w:sz w:val="13"/>
          <w:szCs w:val="13"/>
          <w:color w:val="auto"/>
        </w:rPr>
        <w:t>The Company is subject to potential fluctuations in operating results.</w:t>
      </w:r>
    </w:p>
    <w:p>
      <w:pPr>
        <w:spacing w:after="0" w:line="312"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6" w:name="page7"/>
    <w:bookmarkEnd w:id="6"/>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The Company’s future operating results are difficult to predict and may be affected by a number of factors, many of which are outside of the Company’s control.</w:t>
      </w:r>
    </w:p>
    <w:p>
      <w:pPr>
        <w:spacing w:after="0" w:line="14"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Unanticipated obstacles may hinder the execution of the Company’s business plan.</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We have a limited number of deployments, and limited market acceptance of our products could harm our business.</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We cannot assure you that we will effectively manage our growth.</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Our costs may grow more quickly than our revenues, harming our business and profitability.</w:t>
      </w:r>
    </w:p>
    <w:p>
      <w:pPr>
        <w:spacing w:after="0" w:line="6" w:lineRule="exact"/>
        <w:rPr>
          <w:rFonts w:ascii="Arial" w:cs="Arial" w:eastAsia="Arial" w:hAnsi="Arial"/>
          <w:sz w:val="13"/>
          <w:szCs w:val="13"/>
          <w:color w:val="auto"/>
        </w:rPr>
      </w:pPr>
    </w:p>
    <w:p>
      <w:pPr>
        <w:ind w:left="227" w:right="120" w:hanging="227"/>
        <w:spacing w:after="0" w:line="251" w:lineRule="auto"/>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We expect to raise additional capital through equity and/or debt offerings and to provide our employees with equity incentives. Therefore, your ownership interest in the Company is likely to continue to be diluted and subordinated.</w:t>
      </w: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All of our assets, possibly including our intellectual property, may be pledged as collateral to a lender.</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The loss of one or more of our key personnel, or our failure to attract and retain other highly qualified personnel in the future, could harm our business.</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If we are unable to protect our intellectual property, the value of our brand and other intangible assets may be diminished and our business may be adversely affected.</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Our financial results will fluctuate in the future, which makes them difficult to predict.</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We may face additional competition.</w:t>
      </w:r>
    </w:p>
    <w:p>
      <w:pPr>
        <w:spacing w:after="0" w:line="6" w:lineRule="exact"/>
        <w:rPr>
          <w:rFonts w:ascii="Arial" w:cs="Arial" w:eastAsia="Arial" w:hAnsi="Arial"/>
          <w:sz w:val="13"/>
          <w:szCs w:val="13"/>
          <w:color w:val="auto"/>
        </w:rPr>
      </w:pPr>
    </w:p>
    <w:p>
      <w:pPr>
        <w:ind w:left="227" w:hanging="227"/>
        <w:spacing w:after="0" w:line="251" w:lineRule="auto"/>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Our ability to operate and collect digital information on behalf of our clients is dependent on the privacy laws of jurisdictions in which our ASRs operate, as well as the corporate policies of our clients, which may limit our ability to fully deploy our technologies in various markets.</w:t>
      </w: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We have limited experience in operating our ASRs in a variety of environments and increased interactions may lead to collisions, possible liability and negative publicity.</w:t>
      </w:r>
    </w:p>
    <w:p>
      <w:pPr>
        <w:spacing w:after="0" w:line="6" w:lineRule="exact"/>
        <w:rPr>
          <w:rFonts w:ascii="Arial" w:cs="Arial" w:eastAsia="Arial" w:hAnsi="Arial"/>
          <w:sz w:val="13"/>
          <w:szCs w:val="13"/>
          <w:color w:val="auto"/>
        </w:rPr>
      </w:pPr>
    </w:p>
    <w:p>
      <w:pPr>
        <w:ind w:left="227" w:hanging="227"/>
        <w:spacing w:after="0" w:line="251" w:lineRule="auto"/>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Our failure to implement and maintain effective internal control over financial reporting may result in material misstatements in our financial statements, which has and could in the future require us to restate financial statements, cause investors to lose confidence in our reported financial information and could have an adverse effect on our ability to fundraise.</w:t>
      </w: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The private security industry is undergoing structural changes in technology and services.</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The Company is controlled by its officers and early-stage investors.</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Our results of operations may be negatively impacted by the coronavirus outbreak.</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Actual or threatened epidemics, pandemics, outbreaks, or other public health crises may adversely affect our business, including the novel COVID-19 outbreak.</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The Company has experienced supply chain constraints, as well as increased costs on components and shipping resulting from the COVID-19 outbreak.</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The Company is dependent on the proceeds of this offering, and may need to seek additional funds if the full offering amount is not raised.</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A limited public trading market may cause volatility in the price of our Class A Common Stock.</w:t>
      </w:r>
    </w:p>
    <w:p>
      <w:pPr>
        <w:spacing w:after="0" w:line="6" w:lineRule="exact"/>
        <w:rPr>
          <w:rFonts w:ascii="Arial" w:cs="Arial" w:eastAsia="Arial" w:hAnsi="Arial"/>
          <w:sz w:val="13"/>
          <w:szCs w:val="13"/>
          <w:color w:val="auto"/>
        </w:rPr>
      </w:pPr>
    </w:p>
    <w:p>
      <w:pPr>
        <w:ind w:left="227" w:right="260" w:hanging="227"/>
        <w:spacing w:after="0" w:line="251" w:lineRule="auto"/>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We have applied to list our Class A Common Stock on Nasdaq Global Market (Nasdaq) but may not succeed or be able to satisfy continued listing requirements of the Nasdaq to maintain a listing of our Class A Common Stock.</w:t>
      </w: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Our stock price may be volatile.</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You will experience future dilution as a result of future equity offerings.</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Substantial future sales of our Class A Common Stock, or the perception in the public markets that these sales may occur, may depress our stock price.</w:t>
      </w:r>
    </w:p>
    <w:p>
      <w:pPr>
        <w:spacing w:after="0" w:line="6" w:lineRule="exact"/>
        <w:rPr>
          <w:rFonts w:ascii="Arial" w:cs="Arial" w:eastAsia="Arial" w:hAnsi="Arial"/>
          <w:sz w:val="13"/>
          <w:szCs w:val="13"/>
          <w:color w:val="auto"/>
        </w:rPr>
      </w:pPr>
    </w:p>
    <w:p>
      <w:pPr>
        <w:ind w:left="227" w:hanging="227"/>
        <w:spacing w:after="0"/>
        <w:tabs>
          <w:tab w:leader="none" w:pos="227" w:val="left"/>
        </w:tabs>
        <w:numPr>
          <w:ilvl w:val="0"/>
          <w:numId w:val="6"/>
        </w:numPr>
        <w:rPr>
          <w:rFonts w:ascii="Arial" w:cs="Arial" w:eastAsia="Arial" w:hAnsi="Arial"/>
          <w:sz w:val="13"/>
          <w:szCs w:val="13"/>
          <w:color w:val="auto"/>
        </w:rPr>
      </w:pPr>
      <w:r>
        <w:rPr>
          <w:rFonts w:ascii="Arial" w:cs="Arial" w:eastAsia="Arial" w:hAnsi="Arial"/>
          <w:sz w:val="13"/>
          <w:szCs w:val="13"/>
          <w:color w:val="auto"/>
        </w:rPr>
        <w:t>The Company may apply the proceeds of this offering to uses that differ from what is currently contemplated and with which you may disagree.</w:t>
      </w:r>
    </w:p>
    <w:p>
      <w:pPr>
        <w:spacing w:after="0" w:line="312" w:lineRule="exact"/>
        <w:rPr>
          <w:sz w:val="20"/>
          <w:szCs w:val="20"/>
          <w:color w:val="auto"/>
        </w:rPr>
      </w:pPr>
    </w:p>
    <w:p>
      <w:pPr>
        <w:jc w:val="center"/>
        <w:ind w:right="153"/>
        <w:spacing w:after="0"/>
        <w:rPr>
          <w:sz w:val="20"/>
          <w:szCs w:val="20"/>
          <w:color w:val="auto"/>
        </w:rPr>
      </w:pPr>
      <w:r>
        <w:rPr>
          <w:rFonts w:ascii="Arial" w:cs="Arial" w:eastAsia="Arial" w:hAnsi="Arial"/>
          <w:sz w:val="13"/>
          <w:szCs w:val="13"/>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-148590</wp:posOffset>
            </wp:positionH>
            <wp:positionV relativeFrom="paragraph">
              <wp:posOffset>10160</wp:posOffset>
            </wp:positionV>
            <wp:extent cx="7170420" cy="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027"/>
          </w:cols>
          <w:pgMar w:left="533" w:top="698" w:right="339" w:bottom="1440" w:gutter="0" w:footer="0" w:header="0"/>
        </w:sectPr>
      </w:pPr>
    </w:p>
    <w:bookmarkStart w:id="7" w:name="page8"/>
    <w:bookmarkEnd w:id="7"/>
    <w:p>
      <w:pPr>
        <w:spacing w:after="0"/>
        <w:rPr>
          <w:sz w:val="20"/>
          <w:szCs w:val="20"/>
          <w:color w:val="auto"/>
        </w:rPr>
      </w:pPr>
      <w:r>
        <w:rPr>
          <w:rFonts w:ascii="Arial" w:cs="Arial" w:eastAsia="Arial" w:hAnsi="Arial"/>
          <w:sz w:val="13"/>
          <w:szCs w:val="13"/>
          <w:b w:val="1"/>
          <w:bCs w:val="1"/>
          <w:color w:val="auto"/>
        </w:rPr>
        <w:t>RISK FACTORS</w:t>
      </w:r>
    </w:p>
    <w:p>
      <w:pPr>
        <w:spacing w:after="0" w:line="167" w:lineRule="exact"/>
        <w:rPr>
          <w:sz w:val="20"/>
          <w:szCs w:val="20"/>
          <w:color w:val="auto"/>
        </w:rPr>
      </w:pPr>
    </w:p>
    <w:p>
      <w:pPr>
        <w:ind w:right="240"/>
        <w:spacing w:after="0" w:line="294" w:lineRule="auto"/>
        <w:rPr>
          <w:sz w:val="20"/>
          <w:szCs w:val="20"/>
          <w:color w:val="auto"/>
        </w:rPr>
      </w:pPr>
      <w:r>
        <w:rPr>
          <w:rFonts w:ascii="Arial" w:cs="Arial" w:eastAsia="Arial" w:hAnsi="Arial"/>
          <w:sz w:val="12"/>
          <w:szCs w:val="12"/>
          <w:color w:val="auto"/>
        </w:rPr>
        <w:t>The Commission requires the Company to identify risks that are specific to its business and its financial condition. The Company is still subject to all the same risks that all companies in its business, and all companies in the economy, are exposed to. These include risks relating to economic downturns, political and economic events and technological developments (such as hacking and the ability to prevent hacking). Additionally, early-stage companies are inherently riskier than more developed companies. You should consider general risks as well as specific risks when deciding whether to invest.</w:t>
      </w:r>
    </w:p>
    <w:p>
      <w:pPr>
        <w:spacing w:after="0" w:line="119"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Selected Risks Related to the Business</w:t>
      </w:r>
    </w:p>
    <w:p>
      <w:pPr>
        <w:spacing w:after="0" w:line="159"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We are an early-stage company and have not yet generated any profits or significant revenues.</w:t>
      </w:r>
    </w:p>
    <w:p>
      <w:pPr>
        <w:spacing w:after="0" w:line="167" w:lineRule="exact"/>
        <w:rPr>
          <w:sz w:val="20"/>
          <w:szCs w:val="20"/>
          <w:color w:val="auto"/>
        </w:rPr>
      </w:pPr>
    </w:p>
    <w:p>
      <w:pPr>
        <w:spacing w:after="0" w:line="279" w:lineRule="auto"/>
        <w:rPr>
          <w:sz w:val="20"/>
          <w:szCs w:val="20"/>
          <w:color w:val="auto"/>
        </w:rPr>
      </w:pPr>
      <w:r>
        <w:rPr>
          <w:rFonts w:ascii="Arial" w:cs="Arial" w:eastAsia="Arial" w:hAnsi="Arial"/>
          <w:sz w:val="12"/>
          <w:szCs w:val="12"/>
          <w:color w:val="auto"/>
        </w:rPr>
        <w:t>The Company was formed in 2013 and made its first pilot sales in 2015. Accordingly, the Company has a limited history upon which to evaluate its performance and future prospects. Our current and proposed operations are subject to all the business risks associated with new enterprises. These include likely fluctuations in operating results as the Company makes significant investments in research, development and product opportunities, and reacts to developments in its market, including purchasing patterns of clients, and the entry of competitors into the market. We will only be able to pay dividends on any shares once our board of directors determines that we are financially able to do so. The Company has incurred a net loss and generated limited revenues since inception. In 2020, the Company's revenues were concentrated with a small number of key Clients. Changes in our relationships with these parties or changes in the economic environments in which they operate could have a material adverse effect on our business, financial condition, results of operations and cash flows</w:t>
      </w:r>
      <w:r>
        <w:rPr>
          <w:rFonts w:ascii="Arial" w:cs="Arial" w:eastAsia="Arial" w:hAnsi="Arial"/>
          <w:sz w:val="12"/>
          <w:szCs w:val="12"/>
          <w:b w:val="1"/>
          <w:bCs w:val="1"/>
          <w:i w:val="1"/>
          <w:iCs w:val="1"/>
          <w:color w:val="auto"/>
        </w:rPr>
        <w:t>.</w:t>
      </w:r>
      <w:r>
        <w:rPr>
          <w:rFonts w:ascii="Arial" w:cs="Arial" w:eastAsia="Arial" w:hAnsi="Arial"/>
          <w:sz w:val="12"/>
          <w:szCs w:val="12"/>
          <w:color w:val="auto"/>
        </w:rPr>
        <w:t xml:space="preserve"> See Note 1 to the Company's audited financial statements. We cannot assure you that we will be profitable in the next several years or generate sufficient revenues to pay dividends to the holders of the shares or meet our debt servicing and payment obligations.</w:t>
      </w:r>
    </w:p>
    <w:p>
      <w:pPr>
        <w:spacing w:after="0" w:line="124" w:lineRule="exact"/>
        <w:rPr>
          <w:sz w:val="20"/>
          <w:szCs w:val="20"/>
          <w:color w:val="auto"/>
        </w:rPr>
      </w:pPr>
    </w:p>
    <w:p>
      <w:pPr>
        <w:spacing w:after="0"/>
        <w:rPr>
          <w:sz w:val="20"/>
          <w:szCs w:val="20"/>
          <w:color w:val="auto"/>
        </w:rPr>
      </w:pPr>
      <w:r>
        <w:rPr>
          <w:rFonts w:ascii="Arial" w:cs="Arial" w:eastAsia="Arial" w:hAnsi="Arial"/>
          <w:sz w:val="12"/>
          <w:szCs w:val="12"/>
          <w:b w:val="1"/>
          <w:bCs w:val="1"/>
          <w:color w:val="auto"/>
        </w:rPr>
        <w:t>We may not be able to continue to operate the business if we are not successful in securing additional fundraising and, as a result, we may not be able to continue as a going concern.</w:t>
      </w:r>
    </w:p>
    <w:p>
      <w:pPr>
        <w:spacing w:after="0" w:line="179" w:lineRule="exact"/>
        <w:rPr>
          <w:sz w:val="20"/>
          <w:szCs w:val="20"/>
          <w:color w:val="auto"/>
        </w:rPr>
      </w:pPr>
    </w:p>
    <w:p>
      <w:pPr>
        <w:ind w:right="60"/>
        <w:spacing w:after="0" w:line="278" w:lineRule="auto"/>
        <w:rPr>
          <w:sz w:val="20"/>
          <w:szCs w:val="20"/>
          <w:color w:val="auto"/>
        </w:rPr>
      </w:pPr>
      <w:r>
        <w:rPr>
          <w:rFonts w:ascii="Arial" w:cs="Arial" w:eastAsia="Arial" w:hAnsi="Arial"/>
          <w:sz w:val="12"/>
          <w:szCs w:val="12"/>
          <w:color w:val="auto"/>
        </w:rPr>
        <w:t>We are dependent on additional fundraising in order to sustain our ongoing operations. The Company has a history of losses and has projected operating losses and negative cash flows for the next several months. As a result of our recurring losses from operations, negative cash flows from operating activities and the need to raise additional capital there is substantial doubt of our ability to continue as a going concern. Therefore, our independent registered public accounting firm included an emphasis of a matter paragraph expressing substantial doubt about the Company’s ability to continue as a going concern in its report on our audited financial statements for the year ended December 31, 2020. Our financial statements have been prepared in accordance with accounting principles generally accepted in the United States (“U.S. GAAP”), which contemplate that we will continue to operate as a going concern. Our financial statements do not contain any adjustments that might result if we are unable to continue as a going concern. We cannot assure you that the Company will be successful in raising funds in this offering or acquiring additional funding at levels sufficient to fund its future operations beyond its current cash runway. If the Company is unable to raise additional capital in sufficient amounts or on terms acceptable to it, the Company may have to significantly reduce its operations or delay, scale back or discontinue the development of one or more of its platforms, seek alternative financing arrangements, declare bankruptcy or terminate its operations entirely.</w:t>
      </w:r>
    </w:p>
    <w:p>
      <w:pPr>
        <w:spacing w:after="0" w:line="12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The Company expects to experience future losses as it implements its business strategy and will need to generate significant revenues to achieve profitability, which may not occur.</w:t>
      </w:r>
    </w:p>
    <w:p>
      <w:pPr>
        <w:spacing w:after="0" w:line="167" w:lineRule="exact"/>
        <w:rPr>
          <w:sz w:val="20"/>
          <w:szCs w:val="20"/>
          <w:color w:val="auto"/>
        </w:rPr>
      </w:pPr>
    </w:p>
    <w:p>
      <w:pPr>
        <w:ind w:right="20"/>
        <w:spacing w:after="0" w:line="281" w:lineRule="auto"/>
        <w:rPr>
          <w:sz w:val="20"/>
          <w:szCs w:val="20"/>
          <w:color w:val="auto"/>
        </w:rPr>
      </w:pPr>
      <w:r>
        <w:rPr>
          <w:rFonts w:ascii="Arial" w:cs="Arial" w:eastAsia="Arial" w:hAnsi="Arial"/>
          <w:sz w:val="12"/>
          <w:szCs w:val="12"/>
          <w:color w:val="auto"/>
        </w:rPr>
        <w:t>We have incurred net losses since our inception, and we expect to continue to incur net losses in the future. To date, we have funded our operations from the sale of equity and debt securities and by means of credit facilities and other financing arrangements. We expect to continue to increase operating expenses as we implement our business strategy, which include development, sales and marketing, and general and administrative expenses and, as a result, we expect to incur additional losses and continued negative cash flow from operations for the foreseeable future. We will need to generate significant revenues to achieve profitability. We cannot assure you that we will ever generate sufficient revenues to achieve profitability. If we do achieve profitability in some future period, we cannot assure you that we can sustain profitability on a quarterly or annual basis in the future. In addition, we may not achieve profitability before we have expended the proceeds to be raised in this offering. If our revenues grow more slowly than we anticipate or if our operating expenses exceed our expectations or cannot be adjusted accordingly, our business, operating results and financial condition will be materially and adversely affected.</w:t>
      </w:r>
    </w:p>
    <w:p>
      <w:pPr>
        <w:spacing w:after="0" w:line="12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The Company has a limited operating history by which performance can be gauged.</w:t>
      </w:r>
    </w:p>
    <w:p>
      <w:pPr>
        <w:spacing w:after="0" w:line="167" w:lineRule="exact"/>
        <w:rPr>
          <w:sz w:val="20"/>
          <w:szCs w:val="20"/>
          <w:color w:val="auto"/>
        </w:rPr>
      </w:pPr>
    </w:p>
    <w:p>
      <w:pPr>
        <w:spacing w:after="0" w:line="294" w:lineRule="auto"/>
        <w:rPr>
          <w:sz w:val="20"/>
          <w:szCs w:val="20"/>
          <w:color w:val="auto"/>
        </w:rPr>
      </w:pPr>
      <w:r>
        <w:rPr>
          <w:rFonts w:ascii="Arial" w:cs="Arial" w:eastAsia="Arial" w:hAnsi="Arial"/>
          <w:sz w:val="12"/>
          <w:szCs w:val="12"/>
          <w:color w:val="auto"/>
        </w:rPr>
        <w:t>Any evaluation of our business and our prospects must be considered in light of our limited operating history and the risks and uncertainties encountered by companies in our stage of development. Further, our industry is characterized by rapid technological change, changing client needs, evolving industry standards and frequent introduction of new products and services. We have encountered and will continue to encounter risks and difficulties frequently experienced by growing companies in rapidly changing industries. If we do not address these risks successfully, our operating results will be harmed.</w:t>
      </w:r>
    </w:p>
    <w:p>
      <w:pPr>
        <w:spacing w:after="0" w:line="275"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8" w:name="page9"/>
    <w:bookmarkEnd w:id="8"/>
    <w:p>
      <w:pPr>
        <w:spacing w:after="0"/>
        <w:rPr>
          <w:sz w:val="20"/>
          <w:szCs w:val="20"/>
          <w:color w:val="auto"/>
        </w:rPr>
      </w:pPr>
      <w:r>
        <w:rPr>
          <w:rFonts w:ascii="Arial" w:cs="Arial" w:eastAsia="Arial" w:hAnsi="Arial"/>
          <w:sz w:val="13"/>
          <w:szCs w:val="13"/>
          <w:b w:val="1"/>
          <w:bCs w:val="1"/>
          <w:color w:val="auto"/>
        </w:rPr>
        <w:t>The Company is subject to potential fluctuations in operating results.</w:t>
      </w:r>
    </w:p>
    <w:p>
      <w:pPr>
        <w:spacing w:after="0" w:line="167" w:lineRule="exact"/>
        <w:rPr>
          <w:sz w:val="20"/>
          <w:szCs w:val="20"/>
          <w:color w:val="auto"/>
        </w:rPr>
      </w:pPr>
    </w:p>
    <w:p>
      <w:pPr>
        <w:spacing w:after="0" w:line="255" w:lineRule="auto"/>
        <w:rPr>
          <w:sz w:val="20"/>
          <w:szCs w:val="20"/>
          <w:color w:val="auto"/>
        </w:rPr>
      </w:pPr>
      <w:r>
        <w:rPr>
          <w:rFonts w:ascii="Arial" w:cs="Arial" w:eastAsia="Arial" w:hAnsi="Arial"/>
          <w:sz w:val="13"/>
          <w:szCs w:val="13"/>
          <w:color w:val="auto"/>
        </w:rPr>
        <w:t>Our sales cycles can be long and unpredictable, and our sales efforts require considerable time and expense. As a result, our sales are difficult to predict and may vary substantially from quarter to quarter, which may cause our operating results to fluctuate significantly. We spend a substantial amount of time, effort and money in our sales efforts without any assurance that our efforts will produce any revenue and the timing of our revenue is difficult to predict. Our sales efforts involve educating our clients about the use and benefit of our new products and technology, including their technical capabilities and potential cost savings to the clients. Clients typically undertake a significant evaluation process that has in the past resulted in a lengthy sales cycle. In addition, product purchases are frequently subject to budget constraints, regulatory and administrative approvals, and other delays. If sales expected from a specific client for a particular quarter are not realized in that quarter or at all, our business, operating results and financial condition could be materially and adversely affected.</w:t>
      </w:r>
    </w:p>
    <w:p>
      <w:pPr>
        <w:spacing w:after="0" w:line="138"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The Company’s future operating results are difficult to predict and may be affected by a number of factors, many of which are outside of the Company’s control.</w:t>
      </w:r>
    </w:p>
    <w:p>
      <w:pPr>
        <w:spacing w:after="0" w:line="167" w:lineRule="exact"/>
        <w:rPr>
          <w:sz w:val="20"/>
          <w:szCs w:val="20"/>
          <w:color w:val="auto"/>
        </w:rPr>
      </w:pPr>
    </w:p>
    <w:p>
      <w:pPr>
        <w:ind w:right="40"/>
        <w:spacing w:after="0" w:line="256" w:lineRule="auto"/>
        <w:rPr>
          <w:sz w:val="20"/>
          <w:szCs w:val="20"/>
          <w:color w:val="auto"/>
        </w:rPr>
      </w:pPr>
      <w:r>
        <w:rPr>
          <w:rFonts w:ascii="Arial" w:cs="Arial" w:eastAsia="Arial" w:hAnsi="Arial"/>
          <w:sz w:val="13"/>
          <w:szCs w:val="13"/>
          <w:color w:val="auto"/>
        </w:rPr>
        <w:t>The market for advanced physical security technology is relatively new and unproven and is subject to a number of risks and uncertainties. The industry is characterized by rapid change, new and complex technology and intense competition. Our ability to gain market share depends upon our ability to satisfy client demands, enhance existing products and services and develop and introduce new products and services. Our ability to gain market share also depends on a number of factors beyond our control, including the perceived value associated with our products and services, the public’s perception of the use of robots to perform tasks traditionally reserved for humans, and our clients’ acceptance that security services can be performed more efficiently and cost-effectively through the use of our products and ancillary services. If any of these factors turns against us, our future operating results could be materially and adversely affected.</w:t>
      </w:r>
    </w:p>
    <w:p>
      <w:pPr>
        <w:spacing w:after="0" w:line="137"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Unanticipated obstacles may hinder the execution of the Company’s business plan.</w:t>
      </w:r>
    </w:p>
    <w:p>
      <w:pPr>
        <w:spacing w:after="0" w:line="167" w:lineRule="exact"/>
        <w:rPr>
          <w:sz w:val="20"/>
          <w:szCs w:val="20"/>
          <w:color w:val="auto"/>
        </w:rPr>
      </w:pPr>
    </w:p>
    <w:p>
      <w:pPr>
        <w:ind w:right="560"/>
        <w:spacing w:after="0" w:line="274" w:lineRule="auto"/>
        <w:rPr>
          <w:sz w:val="20"/>
          <w:szCs w:val="20"/>
          <w:color w:val="auto"/>
        </w:rPr>
      </w:pPr>
      <w:r>
        <w:rPr>
          <w:rFonts w:ascii="Arial" w:cs="Arial" w:eastAsia="Arial" w:hAnsi="Arial"/>
          <w:sz w:val="13"/>
          <w:szCs w:val="13"/>
          <w:color w:val="auto"/>
        </w:rPr>
        <w:t>Because of the number and range of the assumptions underlying our projections and forward-looking statements, many of which are subject to significant uncertainties and contingencies that are beyond our reasonable control, some of the assumptions inevitably will not materialize and unanticipated obstacles may occur subsequent to the date of this offering, including:</w:t>
      </w:r>
    </w:p>
    <w:p>
      <w:pPr>
        <w:spacing w:after="0" w:line="128" w:lineRule="exact"/>
        <w:rPr>
          <w:sz w:val="20"/>
          <w:szCs w:val="20"/>
          <w:color w:val="auto"/>
        </w:rPr>
      </w:pPr>
    </w:p>
    <w:p>
      <w:pPr>
        <w:ind w:left="460" w:hanging="227"/>
        <w:spacing w:after="0"/>
        <w:tabs>
          <w:tab w:leader="none" w:pos="460" w:val="left"/>
        </w:tabs>
        <w:numPr>
          <w:ilvl w:val="0"/>
          <w:numId w:val="7"/>
        </w:numPr>
        <w:rPr>
          <w:rFonts w:ascii="Arial" w:cs="Arial" w:eastAsia="Arial" w:hAnsi="Arial"/>
          <w:sz w:val="13"/>
          <w:szCs w:val="13"/>
          <w:color w:val="auto"/>
        </w:rPr>
      </w:pPr>
      <w:r>
        <w:rPr>
          <w:rFonts w:ascii="Arial" w:cs="Arial" w:eastAsia="Arial" w:hAnsi="Arial"/>
          <w:sz w:val="13"/>
          <w:szCs w:val="13"/>
          <w:color w:val="auto"/>
        </w:rPr>
        <w:t>Our failure to maintain and grow the client base;</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7"/>
        </w:numPr>
        <w:rPr>
          <w:rFonts w:ascii="Arial" w:cs="Arial" w:eastAsia="Arial" w:hAnsi="Arial"/>
          <w:sz w:val="13"/>
          <w:szCs w:val="13"/>
          <w:color w:val="auto"/>
        </w:rPr>
      </w:pPr>
      <w:r>
        <w:rPr>
          <w:rFonts w:ascii="Arial" w:cs="Arial" w:eastAsia="Arial" w:hAnsi="Arial"/>
          <w:sz w:val="13"/>
          <w:szCs w:val="13"/>
          <w:color w:val="auto"/>
        </w:rPr>
        <w:t>Our clients may suffer downturns, financial instability or be subject to mergers or acquisitions;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7"/>
        </w:numPr>
        <w:rPr>
          <w:rFonts w:ascii="Arial" w:cs="Arial" w:eastAsia="Arial" w:hAnsi="Arial"/>
          <w:sz w:val="13"/>
          <w:szCs w:val="13"/>
          <w:color w:val="auto"/>
        </w:rPr>
      </w:pPr>
      <w:r>
        <w:rPr>
          <w:rFonts w:ascii="Arial" w:cs="Arial" w:eastAsia="Arial" w:hAnsi="Arial"/>
          <w:sz w:val="13"/>
          <w:szCs w:val="13"/>
          <w:color w:val="auto"/>
        </w:rPr>
        <w:t>Our failure to develop and introduce new products;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7"/>
        </w:numPr>
        <w:rPr>
          <w:rFonts w:ascii="Arial" w:cs="Arial" w:eastAsia="Arial" w:hAnsi="Arial"/>
          <w:sz w:val="13"/>
          <w:szCs w:val="13"/>
          <w:color w:val="auto"/>
        </w:rPr>
      </w:pPr>
      <w:r>
        <w:rPr>
          <w:rFonts w:ascii="Arial" w:cs="Arial" w:eastAsia="Arial" w:hAnsi="Arial"/>
          <w:sz w:val="13"/>
          <w:szCs w:val="13"/>
          <w:color w:val="auto"/>
        </w:rPr>
        <w:t>Adverse changes affecting our suppliers and other third-party service providers;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7"/>
        </w:numPr>
        <w:rPr>
          <w:rFonts w:ascii="Arial" w:cs="Arial" w:eastAsia="Arial" w:hAnsi="Arial"/>
          <w:sz w:val="13"/>
          <w:szCs w:val="13"/>
          <w:color w:val="auto"/>
        </w:rPr>
      </w:pPr>
      <w:r>
        <w:rPr>
          <w:rFonts w:ascii="Arial" w:cs="Arial" w:eastAsia="Arial" w:hAnsi="Arial"/>
          <w:sz w:val="13"/>
          <w:szCs w:val="13"/>
          <w:color w:val="auto"/>
        </w:rPr>
        <w:t>Adverse litigation judgments, settlements, or other litigation-related costs; and</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7"/>
        </w:numPr>
        <w:rPr>
          <w:rFonts w:ascii="Arial" w:cs="Arial" w:eastAsia="Arial" w:hAnsi="Arial"/>
          <w:sz w:val="13"/>
          <w:szCs w:val="13"/>
          <w:color w:val="auto"/>
        </w:rPr>
      </w:pPr>
      <w:r>
        <w:rPr>
          <w:rFonts w:ascii="Arial" w:cs="Arial" w:eastAsia="Arial" w:hAnsi="Arial"/>
          <w:sz w:val="13"/>
          <w:szCs w:val="13"/>
          <w:color w:val="auto"/>
        </w:rPr>
        <w:t>Adverse changes in business or macroeconomic conditions including regulatory changes.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The occurrence of any of these unanticipated obstacles will hinder the execution of our business plan and adversely affect our operating results.</w:t>
      </w:r>
    </w:p>
    <w:p>
      <w:pPr>
        <w:spacing w:after="0" w:line="159"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We have a limited number of deployments, and limited market acceptance of our products could harm our business.</w:t>
      </w:r>
    </w:p>
    <w:p>
      <w:pPr>
        <w:spacing w:after="0" w:line="167" w:lineRule="exact"/>
        <w:rPr>
          <w:sz w:val="20"/>
          <w:szCs w:val="20"/>
          <w:color w:val="auto"/>
        </w:rPr>
      </w:pPr>
    </w:p>
    <w:p>
      <w:pPr>
        <w:ind w:right="40"/>
        <w:spacing w:after="0" w:line="281" w:lineRule="auto"/>
        <w:rPr>
          <w:sz w:val="20"/>
          <w:szCs w:val="20"/>
          <w:color w:val="auto"/>
        </w:rPr>
      </w:pPr>
      <w:r>
        <w:rPr>
          <w:rFonts w:ascii="Arial" w:cs="Arial" w:eastAsia="Arial" w:hAnsi="Arial"/>
          <w:sz w:val="12"/>
          <w:szCs w:val="12"/>
          <w:color w:val="auto"/>
        </w:rPr>
        <w:t>The market for advanced physical security technology is relatively new and unproven and is subject to a number of risks and uncertainties. The numbers, types and locations of ASRs in service vary depending on the duration of each client contract, client demand and similar factors. As a result, the numbers, types and locations of ASRs in service that are currently deployed may not be representative of client contracts and client demand in the future. In order to grow our business and extend our market position, we will need to place into service more ASRs, expand our service offerings, including by developing a new generation of our K5 ASR and the K7 ASR, and expand our presence nationwide. Our ability to expand the market for our products depends on a number of factors, including the cost, performance and perceived value associated with our products and services. Furthermore, the public’s perception of the use of robots to perform certain tasks traditionally reserved for humans may negatively affect demand for our products and services. Ultimately, our success will depend largely on our clients’ acceptance that security services can be performed more efficiently and cost effectively through the use of our ASRs and ancillary services.</w:t>
      </w:r>
    </w:p>
    <w:p>
      <w:pPr>
        <w:spacing w:after="0" w:line="282"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9" w:name="page10"/>
    <w:bookmarkEnd w:id="9"/>
    <w:p>
      <w:pPr>
        <w:spacing w:after="0"/>
        <w:rPr>
          <w:sz w:val="20"/>
          <w:szCs w:val="20"/>
          <w:color w:val="auto"/>
        </w:rPr>
      </w:pPr>
      <w:r>
        <w:rPr>
          <w:rFonts w:ascii="Arial" w:cs="Arial" w:eastAsia="Arial" w:hAnsi="Arial"/>
          <w:sz w:val="13"/>
          <w:szCs w:val="13"/>
          <w:b w:val="1"/>
          <w:bCs w:val="1"/>
          <w:color w:val="auto"/>
        </w:rPr>
        <w:t>We cannot assure you that we will effectively manage our growth.</w:t>
      </w:r>
    </w:p>
    <w:p>
      <w:pPr>
        <w:spacing w:after="0" w:line="167" w:lineRule="exact"/>
        <w:rPr>
          <w:sz w:val="20"/>
          <w:szCs w:val="20"/>
          <w:color w:val="auto"/>
        </w:rPr>
      </w:pPr>
    </w:p>
    <w:p>
      <w:pPr>
        <w:ind w:right="120"/>
        <w:spacing w:after="0" w:line="281" w:lineRule="auto"/>
        <w:rPr>
          <w:sz w:val="20"/>
          <w:szCs w:val="20"/>
          <w:color w:val="auto"/>
        </w:rPr>
      </w:pPr>
      <w:r>
        <w:rPr>
          <w:rFonts w:ascii="Arial" w:cs="Arial" w:eastAsia="Arial" w:hAnsi="Arial"/>
          <w:sz w:val="12"/>
          <w:szCs w:val="12"/>
          <w:color w:val="auto"/>
        </w:rPr>
        <w:t>Knightscope’s employee headcount and the scope and complexity of our business have increased significantly since we were first formed, and Knightscope expects to continue hiring additional employees. The growth and expansion of our business and products create significant challenges for our management, operational, and financial resources, including managing multiple relationships and interactions with users, distributors, vendors, and other third parties. As the Company continues to grow, our information technology systems, internal management processes, internal controls and procedures and production processes may not be adequate to support our operations. To ensure success, we must continue to improve our operational, financial, and management processes and systems and to effectively expand, train, and manage our employee base. As we continue to grow, and implement more complex organizational and management structures, we may find it increasingly difficult to maintain the benefits of our corporate culture, including our current team’s efficiency and expertise, which could negatively affect our business performance.</w:t>
      </w:r>
    </w:p>
    <w:p>
      <w:pPr>
        <w:spacing w:after="0" w:line="12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Our costs may grow more quickly than our revenues, harming our business and profitability.</w:t>
      </w:r>
    </w:p>
    <w:p>
      <w:pPr>
        <w:spacing w:after="0" w:line="167" w:lineRule="exact"/>
        <w:rPr>
          <w:sz w:val="20"/>
          <w:szCs w:val="20"/>
          <w:color w:val="auto"/>
        </w:rPr>
      </w:pPr>
    </w:p>
    <w:p>
      <w:pPr>
        <w:ind w:right="60"/>
        <w:spacing w:after="0" w:line="255" w:lineRule="auto"/>
        <w:rPr>
          <w:sz w:val="20"/>
          <w:szCs w:val="20"/>
          <w:color w:val="auto"/>
        </w:rPr>
      </w:pPr>
      <w:r>
        <w:rPr>
          <w:rFonts w:ascii="Arial" w:cs="Arial" w:eastAsia="Arial" w:hAnsi="Arial"/>
          <w:sz w:val="13"/>
          <w:szCs w:val="13"/>
          <w:color w:val="auto"/>
        </w:rPr>
        <w:t>Providing Knightscope’s products is costly because of our research and development expenses, production costs, operating costs and need for employees with specialized skills. We expect our expenses to continue to increase in the future as we expand our product offerings beyond the K1, K3 and K5, expand production capabilities and hire additional employees. Historically, Knightscope’s costs have increased each year due to these factors and the Company expects to continue to incur increasing costs, in particular for working capital to purchase inventory, marketing and product deployments as well as costs of client support in the field. Our expenses may be greater than we anticipate, which would have a negative impact on our financial position, assets and ability to invest further in the growth and expansion of the business. In addition, expansion across the country will require increased marketing, sales, promotion and other operating expenses. Further, as additional competitors enter our market, we expect an increased pressure on production costs and margins.</w:t>
      </w:r>
    </w:p>
    <w:p>
      <w:pPr>
        <w:spacing w:after="0" w:line="138" w:lineRule="exact"/>
        <w:rPr>
          <w:sz w:val="20"/>
          <w:szCs w:val="20"/>
          <w:color w:val="auto"/>
        </w:rPr>
      </w:pPr>
    </w:p>
    <w:p>
      <w:pPr>
        <w:ind w:right="100"/>
        <w:spacing w:after="0" w:line="281" w:lineRule="auto"/>
        <w:rPr>
          <w:sz w:val="20"/>
          <w:szCs w:val="20"/>
          <w:color w:val="auto"/>
        </w:rPr>
      </w:pPr>
      <w:r>
        <w:rPr>
          <w:rFonts w:ascii="Arial" w:cs="Arial" w:eastAsia="Arial" w:hAnsi="Arial"/>
          <w:sz w:val="13"/>
          <w:szCs w:val="13"/>
          <w:b w:val="1"/>
          <w:bCs w:val="1"/>
          <w:color w:val="auto"/>
        </w:rPr>
        <w:t>We expect to raise additional capital through equity and/or debt offerings and to provide our employees with equity incentives. Therefore, your ownership interest in the Company is likely to continue to be diluted and subordinated.</w:t>
      </w:r>
    </w:p>
    <w:p>
      <w:pPr>
        <w:spacing w:after="0" w:line="123" w:lineRule="exact"/>
        <w:rPr>
          <w:sz w:val="20"/>
          <w:szCs w:val="20"/>
          <w:color w:val="auto"/>
        </w:rPr>
      </w:pPr>
    </w:p>
    <w:p>
      <w:pPr>
        <w:ind w:right="40"/>
        <w:spacing w:after="0" w:line="258" w:lineRule="auto"/>
        <w:rPr>
          <w:sz w:val="20"/>
          <w:szCs w:val="20"/>
          <w:color w:val="auto"/>
        </w:rPr>
      </w:pPr>
      <w:r>
        <w:rPr>
          <w:rFonts w:ascii="Arial" w:cs="Arial" w:eastAsia="Arial" w:hAnsi="Arial"/>
          <w:sz w:val="13"/>
          <w:szCs w:val="13"/>
          <w:color w:val="auto"/>
        </w:rPr>
        <w:t>In order to fund future growth and development, the Company will likely need to raise additional funds in the future by offering shares of its preferred stock and/or other classes of equity or debt that convert into shares of preferred or common stock, any of which offerings would dilute the ownership percentage of investors in this offering. Furthermore, if and when the Company raises debt or issues preferred stock, the holders of the debt will have priority over holders of common and preferred stock, and holders of preferred stock will have priority over holders of common stock including the Shares issuable in this offering, and the Company may accept terms that restrict its ability to incur more debt.</w:t>
      </w:r>
    </w:p>
    <w:p>
      <w:pPr>
        <w:spacing w:after="0" w:line="13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All of our assets, possibly including our intellectual property, may be pledged as collateral to a lender.</w:t>
      </w:r>
    </w:p>
    <w:p>
      <w:pPr>
        <w:spacing w:after="0" w:line="167" w:lineRule="exact"/>
        <w:rPr>
          <w:sz w:val="20"/>
          <w:szCs w:val="20"/>
          <w:color w:val="auto"/>
        </w:rPr>
      </w:pPr>
    </w:p>
    <w:p>
      <w:pPr>
        <w:jc w:val="both"/>
        <w:ind w:right="160"/>
        <w:spacing w:after="0" w:line="262" w:lineRule="auto"/>
        <w:rPr>
          <w:sz w:val="20"/>
          <w:szCs w:val="20"/>
          <w:color w:val="auto"/>
        </w:rPr>
      </w:pPr>
      <w:r>
        <w:rPr>
          <w:rFonts w:ascii="Arial" w:cs="Arial" w:eastAsia="Arial" w:hAnsi="Arial"/>
          <w:sz w:val="13"/>
          <w:szCs w:val="13"/>
          <w:color w:val="auto"/>
        </w:rPr>
        <w:t>From time to time, the Company may utilize a variety of forms of debt or other financing arrangements, for example the financing arrangement that we entered into in February 2019 under which we collateralized fifty (50) ASRs (which has since been terminated), and credit facilities that may contain covenants that limit our ability to engage in specified types of transactions. These covenants would likely limit our ability to, among other things:</w:t>
      </w:r>
    </w:p>
    <w:p>
      <w:pPr>
        <w:spacing w:after="0" w:line="136" w:lineRule="exact"/>
        <w:rPr>
          <w:sz w:val="20"/>
          <w:szCs w:val="20"/>
          <w:color w:val="auto"/>
        </w:rPr>
      </w:pPr>
    </w:p>
    <w:p>
      <w:pPr>
        <w:ind w:left="460" w:hanging="227"/>
        <w:spacing w:after="0"/>
        <w:tabs>
          <w:tab w:leader="none" w:pos="460" w:val="left"/>
        </w:tabs>
        <w:numPr>
          <w:ilvl w:val="0"/>
          <w:numId w:val="8"/>
        </w:numPr>
        <w:rPr>
          <w:rFonts w:ascii="Arial" w:cs="Arial" w:eastAsia="Arial" w:hAnsi="Arial"/>
          <w:sz w:val="13"/>
          <w:szCs w:val="13"/>
          <w:color w:val="auto"/>
        </w:rPr>
      </w:pPr>
      <w:r>
        <w:rPr>
          <w:rFonts w:ascii="Arial" w:cs="Arial" w:eastAsia="Arial" w:hAnsi="Arial"/>
          <w:sz w:val="13"/>
          <w:szCs w:val="13"/>
          <w:color w:val="auto"/>
        </w:rPr>
        <w:t>incur certain additional indebtedness;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8"/>
        </w:numPr>
        <w:rPr>
          <w:rFonts w:ascii="Arial" w:cs="Arial" w:eastAsia="Arial" w:hAnsi="Arial"/>
          <w:sz w:val="13"/>
          <w:szCs w:val="13"/>
          <w:color w:val="auto"/>
        </w:rPr>
      </w:pPr>
      <w:r>
        <w:rPr>
          <w:rFonts w:ascii="Arial" w:cs="Arial" w:eastAsia="Arial" w:hAnsi="Arial"/>
          <w:sz w:val="13"/>
          <w:szCs w:val="13"/>
          <w:color w:val="auto"/>
        </w:rPr>
        <w:t>pay dividends on, repurchase or make distributions in respect our capital stock;</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8"/>
        </w:numPr>
        <w:rPr>
          <w:rFonts w:ascii="Arial" w:cs="Arial" w:eastAsia="Arial" w:hAnsi="Arial"/>
          <w:sz w:val="13"/>
          <w:szCs w:val="13"/>
          <w:color w:val="auto"/>
        </w:rPr>
      </w:pPr>
      <w:r>
        <w:rPr>
          <w:rFonts w:ascii="Arial" w:cs="Arial" w:eastAsia="Arial" w:hAnsi="Arial"/>
          <w:sz w:val="13"/>
          <w:szCs w:val="13"/>
          <w:color w:val="auto"/>
        </w:rPr>
        <w:t>make certain investments;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8"/>
        </w:numPr>
        <w:rPr>
          <w:rFonts w:ascii="Arial" w:cs="Arial" w:eastAsia="Arial" w:hAnsi="Arial"/>
          <w:sz w:val="13"/>
          <w:szCs w:val="13"/>
          <w:color w:val="auto"/>
        </w:rPr>
      </w:pPr>
      <w:r>
        <w:rPr>
          <w:rFonts w:ascii="Arial" w:cs="Arial" w:eastAsia="Arial" w:hAnsi="Arial"/>
          <w:sz w:val="13"/>
          <w:szCs w:val="13"/>
          <w:color w:val="auto"/>
        </w:rPr>
        <w:t>sell or dispose of certain assets;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8"/>
        </w:numPr>
        <w:rPr>
          <w:rFonts w:ascii="Arial" w:cs="Arial" w:eastAsia="Arial" w:hAnsi="Arial"/>
          <w:sz w:val="13"/>
          <w:szCs w:val="13"/>
          <w:color w:val="auto"/>
        </w:rPr>
      </w:pPr>
      <w:r>
        <w:rPr>
          <w:rFonts w:ascii="Arial" w:cs="Arial" w:eastAsia="Arial" w:hAnsi="Arial"/>
          <w:sz w:val="13"/>
          <w:szCs w:val="13"/>
          <w:color w:val="auto"/>
        </w:rPr>
        <w:t>grant liens; and</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8"/>
        </w:numPr>
        <w:rPr>
          <w:rFonts w:ascii="Arial" w:cs="Arial" w:eastAsia="Arial" w:hAnsi="Arial"/>
          <w:sz w:val="13"/>
          <w:szCs w:val="13"/>
          <w:color w:val="auto"/>
        </w:rPr>
      </w:pPr>
      <w:r>
        <w:rPr>
          <w:rFonts w:ascii="Arial" w:cs="Arial" w:eastAsia="Arial" w:hAnsi="Arial"/>
          <w:sz w:val="13"/>
          <w:szCs w:val="13"/>
          <w:color w:val="auto"/>
        </w:rPr>
        <w:t>consolidate, merge, sell or otherwise dispose of all or substantially all of our assets.</w:t>
      </w:r>
    </w:p>
    <w:p>
      <w:pPr>
        <w:spacing w:after="0" w:line="163" w:lineRule="exact"/>
        <w:rPr>
          <w:sz w:val="20"/>
          <w:szCs w:val="20"/>
          <w:color w:val="auto"/>
        </w:rPr>
      </w:pPr>
    </w:p>
    <w:p>
      <w:pPr>
        <w:spacing w:after="0" w:line="287" w:lineRule="auto"/>
        <w:rPr>
          <w:sz w:val="20"/>
          <w:szCs w:val="20"/>
          <w:color w:val="auto"/>
        </w:rPr>
      </w:pPr>
      <w:r>
        <w:rPr>
          <w:rFonts w:ascii="Arial" w:cs="Arial" w:eastAsia="Arial" w:hAnsi="Arial"/>
          <w:sz w:val="12"/>
          <w:szCs w:val="12"/>
          <w:color w:val="auto"/>
        </w:rPr>
        <w:t>A breach of any of these covenants could result in a default under a credit facility and permit the lender to cease making loans to us. Upon the occurrence of an event of default under a loan agreement, the lender could elect to declare all amounts outstanding thereunder to be immediately due and payable. We may pledge a significant portion of our assets, inclusive of our intellectual property, as collateral to support a new loan agreement. If the lender accelerates the repayment of borrowings, we may not have sufficient assets to repay them and we could experience a material adverse effect on our financial condition and results of operations, including bankruptcy. In the event of a bankruptcy or other reorganization of our debt, our creditors would have priority over investors in this offering, and the value of your shares could be eliminated.</w:t>
      </w:r>
    </w:p>
    <w:p>
      <w:pPr>
        <w:spacing w:after="0" w:line="278"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10" w:name="page11"/>
    <w:bookmarkEnd w:id="10"/>
    <w:p>
      <w:pPr>
        <w:spacing w:after="0"/>
        <w:rPr>
          <w:sz w:val="20"/>
          <w:szCs w:val="20"/>
          <w:color w:val="auto"/>
        </w:rPr>
      </w:pPr>
      <w:r>
        <w:rPr>
          <w:rFonts w:ascii="Arial" w:cs="Arial" w:eastAsia="Arial" w:hAnsi="Arial"/>
          <w:sz w:val="13"/>
          <w:szCs w:val="13"/>
          <w:b w:val="1"/>
          <w:bCs w:val="1"/>
          <w:color w:val="auto"/>
        </w:rPr>
        <w:t>The loss of one or more of our key personnel, or our failure to attract and retain other highly qualified personnel in the future, could harm our business.</w:t>
      </w:r>
    </w:p>
    <w:p>
      <w:pPr>
        <w:spacing w:after="0" w:line="167" w:lineRule="exact"/>
        <w:rPr>
          <w:sz w:val="20"/>
          <w:szCs w:val="20"/>
          <w:color w:val="auto"/>
        </w:rPr>
      </w:pPr>
    </w:p>
    <w:p>
      <w:pPr>
        <w:ind w:right="40"/>
        <w:spacing w:after="0" w:line="287" w:lineRule="auto"/>
        <w:rPr>
          <w:sz w:val="20"/>
          <w:szCs w:val="20"/>
          <w:color w:val="auto"/>
        </w:rPr>
      </w:pPr>
      <w:r>
        <w:rPr>
          <w:rFonts w:ascii="Arial" w:cs="Arial" w:eastAsia="Arial" w:hAnsi="Arial"/>
          <w:sz w:val="12"/>
          <w:szCs w:val="12"/>
          <w:color w:val="auto"/>
        </w:rPr>
        <w:t>Knightscope currently depends on the continued services and performance of key members of its management team, in particular, its founders, William Santana Li and Stacy Dean Stephens. If we cannot call upon them or other key management personnel for any reason, our operations and development could be harmed. The Company has not yet developed a succession plan nor does it carry any key man life insurance on any members of its management team. Furthermore, as the Company grows, it will be required to hire and attract additional qualified professionals such as accounting, legal, finance, production, service and engineering experts. The Company may not be able to locate or attract qualified individuals for such positions, which will affect the Company’s ability to grow and expand its business.</w:t>
      </w:r>
    </w:p>
    <w:p>
      <w:pPr>
        <w:spacing w:after="0" w:line="118"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If we are unable to protect our intellectual property, the value of our brand and other intangible assets may be diminished and our business may be adversely affected.</w:t>
      </w:r>
    </w:p>
    <w:p>
      <w:pPr>
        <w:spacing w:after="0" w:line="167" w:lineRule="exact"/>
        <w:rPr>
          <w:sz w:val="20"/>
          <w:szCs w:val="20"/>
          <w:color w:val="auto"/>
        </w:rPr>
      </w:pPr>
    </w:p>
    <w:p>
      <w:pPr>
        <w:ind w:right="40"/>
        <w:spacing w:after="0" w:line="254" w:lineRule="auto"/>
        <w:rPr>
          <w:sz w:val="20"/>
          <w:szCs w:val="20"/>
          <w:color w:val="auto"/>
        </w:rPr>
      </w:pPr>
      <w:r>
        <w:rPr>
          <w:rFonts w:ascii="Arial" w:cs="Arial" w:eastAsia="Arial" w:hAnsi="Arial"/>
          <w:sz w:val="13"/>
          <w:szCs w:val="13"/>
          <w:color w:val="auto"/>
        </w:rPr>
        <w:t>Knightscope relies and expects to continue to rely on a combination of confidentiality agreements with its employees, consultants, and third parties with whom it has relationships, as well as trademark, copyright, patent, trade secret, and domain name protection laws, to protect its proprietary rights. The Company has filed in the United States various applications for protection of certain aspects of its intellectual property, and currently holds nine patents. However, third parties may knowingly or unknowingly infringe our proprietary rights, third parties may challenge proprietary rights held by Knightscope, and pending and future trademark and patent applications may not be approved. In addition, effective intellectual property protection may not be available in every country in which we intend to operate in the future. In any or all of these cases, we may be required to expend significant time and expense in order to prevent infringement or to enforce our rights. Although we have taken measures to protect our proprietary rights, we cannot assure you that others will not offer products or concepts that are substantially similar to those of Knightscope and compete with our business. In addition, as a company we may not have the financial or human resources to devote to adequately defending our intellectual property rights. If the protection of our proprietary rights is inadequate to prevent unauthorized use or appropriation by third parties, the value of our brand and other intangible assets may be diminished and competitors may be able to more effectively mimic our service and methods of operations. Any of these events could have an adverse effect on our business and financial results.</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Our financial results will fluctuate in the future, which makes them difficult to predict.</w:t>
      </w:r>
    </w:p>
    <w:p>
      <w:pPr>
        <w:spacing w:after="0" w:line="167" w:lineRule="exact"/>
        <w:rPr>
          <w:sz w:val="20"/>
          <w:szCs w:val="20"/>
          <w:color w:val="auto"/>
        </w:rPr>
      </w:pPr>
    </w:p>
    <w:p>
      <w:pPr>
        <w:spacing w:after="0" w:line="294" w:lineRule="auto"/>
        <w:rPr>
          <w:sz w:val="20"/>
          <w:szCs w:val="20"/>
          <w:color w:val="auto"/>
        </w:rPr>
      </w:pPr>
      <w:r>
        <w:rPr>
          <w:rFonts w:ascii="Arial" w:cs="Arial" w:eastAsia="Arial" w:hAnsi="Arial"/>
          <w:sz w:val="12"/>
          <w:szCs w:val="12"/>
          <w:color w:val="auto"/>
        </w:rPr>
        <w:t>Knightscope’s financial results have fluctuated in the past and will fluctuate in the future. Additionally, we have a limited operating history with the current scale of our business, which makes it difficult to forecast future results. As a result, you should not rely upon the Company’s past financial results as indicators of future performance. You should take into account the risks and uncertainties frequently encountered by rapidly growing companies in evolving markets. Our financial results in any given quarter can be influenced by numerous factors, many of which we are unable to predict or are outside of our control, including:</w:t>
      </w:r>
    </w:p>
    <w:p>
      <w:pPr>
        <w:spacing w:after="0" w:line="119" w:lineRule="exact"/>
        <w:rPr>
          <w:sz w:val="20"/>
          <w:szCs w:val="20"/>
          <w:color w:val="auto"/>
        </w:rPr>
      </w:pPr>
    </w:p>
    <w:p>
      <w:pPr>
        <w:ind w:left="460" w:hanging="227"/>
        <w:spacing w:after="0"/>
        <w:tabs>
          <w:tab w:leader="none" w:pos="460" w:val="left"/>
        </w:tabs>
        <w:numPr>
          <w:ilvl w:val="0"/>
          <w:numId w:val="9"/>
        </w:numPr>
        <w:rPr>
          <w:rFonts w:ascii="Arial" w:cs="Arial" w:eastAsia="Arial" w:hAnsi="Arial"/>
          <w:sz w:val="13"/>
          <w:szCs w:val="13"/>
          <w:color w:val="auto"/>
        </w:rPr>
      </w:pPr>
      <w:r>
        <w:rPr>
          <w:rFonts w:ascii="Arial" w:cs="Arial" w:eastAsia="Arial" w:hAnsi="Arial"/>
          <w:sz w:val="13"/>
          <w:szCs w:val="13"/>
          <w:color w:val="auto"/>
        </w:rPr>
        <w:t>Knightscope’s ability to maintain and grow its client base;</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9"/>
        </w:numPr>
        <w:rPr>
          <w:rFonts w:ascii="Arial" w:cs="Arial" w:eastAsia="Arial" w:hAnsi="Arial"/>
          <w:sz w:val="13"/>
          <w:szCs w:val="13"/>
          <w:color w:val="auto"/>
        </w:rPr>
      </w:pPr>
      <w:r>
        <w:rPr>
          <w:rFonts w:ascii="Arial" w:cs="Arial" w:eastAsia="Arial" w:hAnsi="Arial"/>
          <w:sz w:val="13"/>
          <w:szCs w:val="13"/>
          <w:color w:val="auto"/>
        </w:rPr>
        <w:t>Our clients may suffer downturns, financial instability or be subject to mergers or acquisitions;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9"/>
        </w:numPr>
        <w:rPr>
          <w:rFonts w:ascii="Arial" w:cs="Arial" w:eastAsia="Arial" w:hAnsi="Arial"/>
          <w:sz w:val="13"/>
          <w:szCs w:val="13"/>
          <w:color w:val="auto"/>
        </w:rPr>
      </w:pPr>
      <w:r>
        <w:rPr>
          <w:rFonts w:ascii="Arial" w:cs="Arial" w:eastAsia="Arial" w:hAnsi="Arial"/>
          <w:sz w:val="13"/>
          <w:szCs w:val="13"/>
          <w:color w:val="auto"/>
        </w:rPr>
        <w:t>The development and introduction of new products by Knightscope or its competitors;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9"/>
        </w:numPr>
        <w:rPr>
          <w:rFonts w:ascii="Arial" w:cs="Arial" w:eastAsia="Arial" w:hAnsi="Arial"/>
          <w:sz w:val="13"/>
          <w:szCs w:val="13"/>
          <w:color w:val="auto"/>
        </w:rPr>
      </w:pPr>
      <w:r>
        <w:rPr>
          <w:rFonts w:ascii="Arial" w:cs="Arial" w:eastAsia="Arial" w:hAnsi="Arial"/>
          <w:sz w:val="13"/>
          <w:szCs w:val="13"/>
          <w:color w:val="auto"/>
        </w:rPr>
        <w:t>Increases in marketing, sales, service and other operating expenses that we may incur to grow and expand our operations and to remain competitive;</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9"/>
        </w:numPr>
        <w:rPr>
          <w:rFonts w:ascii="Arial" w:cs="Arial" w:eastAsia="Arial" w:hAnsi="Arial"/>
          <w:sz w:val="13"/>
          <w:szCs w:val="13"/>
          <w:color w:val="auto"/>
        </w:rPr>
      </w:pPr>
      <w:r>
        <w:rPr>
          <w:rFonts w:ascii="Arial" w:cs="Arial" w:eastAsia="Arial" w:hAnsi="Arial"/>
          <w:sz w:val="13"/>
          <w:szCs w:val="13"/>
          <w:color w:val="auto"/>
        </w:rPr>
        <w:t>Knightscope’s ability to achieve gross margins and operating margins;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9"/>
        </w:numPr>
        <w:rPr>
          <w:rFonts w:ascii="Arial" w:cs="Arial" w:eastAsia="Arial" w:hAnsi="Arial"/>
          <w:sz w:val="13"/>
          <w:szCs w:val="13"/>
          <w:color w:val="auto"/>
        </w:rPr>
      </w:pPr>
      <w:r>
        <w:rPr>
          <w:rFonts w:ascii="Arial" w:cs="Arial" w:eastAsia="Arial" w:hAnsi="Arial"/>
          <w:sz w:val="13"/>
          <w:szCs w:val="13"/>
          <w:color w:val="auto"/>
        </w:rPr>
        <w:t>Changes affecting our suppliers and other third-party service providers;</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9"/>
        </w:numPr>
        <w:rPr>
          <w:rFonts w:ascii="Arial" w:cs="Arial" w:eastAsia="Arial" w:hAnsi="Arial"/>
          <w:sz w:val="13"/>
          <w:szCs w:val="13"/>
          <w:color w:val="auto"/>
        </w:rPr>
      </w:pPr>
      <w:r>
        <w:rPr>
          <w:rFonts w:ascii="Arial" w:cs="Arial" w:eastAsia="Arial" w:hAnsi="Arial"/>
          <w:sz w:val="13"/>
          <w:szCs w:val="13"/>
          <w:color w:val="auto"/>
        </w:rPr>
        <w:t>Adverse litigation judgments, settlements, or other litigation-related costs; and</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9"/>
        </w:numPr>
        <w:rPr>
          <w:rFonts w:ascii="Arial" w:cs="Arial" w:eastAsia="Arial" w:hAnsi="Arial"/>
          <w:sz w:val="13"/>
          <w:szCs w:val="13"/>
          <w:color w:val="auto"/>
        </w:rPr>
      </w:pPr>
      <w:r>
        <w:rPr>
          <w:rFonts w:ascii="Arial" w:cs="Arial" w:eastAsia="Arial" w:hAnsi="Arial"/>
          <w:sz w:val="13"/>
          <w:szCs w:val="13"/>
          <w:color w:val="auto"/>
        </w:rPr>
        <w:t>Changes in business or macroeconomic conditions including regulatory changes.</w:t>
      </w:r>
    </w:p>
    <w:p>
      <w:pPr>
        <w:spacing w:after="0" w:line="159"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We may face additional competition.</w:t>
      </w:r>
    </w:p>
    <w:p>
      <w:pPr>
        <w:spacing w:after="0" w:line="167" w:lineRule="exact"/>
        <w:rPr>
          <w:sz w:val="20"/>
          <w:szCs w:val="20"/>
          <w:color w:val="auto"/>
        </w:rPr>
      </w:pPr>
    </w:p>
    <w:p>
      <w:pPr>
        <w:spacing w:after="0" w:line="258" w:lineRule="auto"/>
        <w:rPr>
          <w:sz w:val="20"/>
          <w:szCs w:val="20"/>
          <w:color w:val="auto"/>
        </w:rPr>
      </w:pPr>
      <w:r>
        <w:rPr>
          <w:rFonts w:ascii="Arial" w:cs="Arial" w:eastAsia="Arial" w:hAnsi="Arial"/>
          <w:sz w:val="13"/>
          <w:szCs w:val="13"/>
          <w:color w:val="auto"/>
        </w:rPr>
        <w:t>We are aware of a number of other companies that are developing physical security technology in the United States and abroad that may potentially compete with our technology and services. These or new competitors may have more resources than us or may be better capitalized, which may give them a significant advantage, for example, in offering better pricing than the Company, surviving an economic downturn or in reaching profitability. We cannot assure you that we will be able to compete successfully against existing or emerging competitors. Additionally, existing private security firms may also compete on price by lowering their operating costs, developing new business models or providing other incentives.</w:t>
      </w:r>
    </w:p>
    <w:p>
      <w:pPr>
        <w:spacing w:after="0" w:line="296" w:lineRule="exact"/>
        <w:rPr>
          <w:sz w:val="20"/>
          <w:szCs w:val="20"/>
          <w:color w:val="auto"/>
        </w:rPr>
      </w:pPr>
    </w:p>
    <w:p>
      <w:pPr>
        <w:jc w:val="center"/>
        <w:ind w:right="-99"/>
        <w:spacing w:after="0"/>
        <w:rPr>
          <w:sz w:val="20"/>
          <w:szCs w:val="20"/>
          <w:color w:val="auto"/>
        </w:rPr>
      </w:pPr>
      <w:r>
        <w:rPr>
          <w:rFonts w:ascii="Arial" w:cs="Arial" w:eastAsia="Arial" w:hAnsi="Arial"/>
          <w:sz w:val="13"/>
          <w:szCs w:val="13"/>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20"/>
          </w:cols>
          <w:pgMar w:left="300" w:top="694" w:right="379" w:bottom="1440" w:gutter="0" w:footer="0" w:header="0"/>
        </w:sectPr>
      </w:pPr>
    </w:p>
    <w:bookmarkStart w:id="11" w:name="page12"/>
    <w:bookmarkEnd w:id="11"/>
    <w:p>
      <w:pPr>
        <w:ind w:right="200"/>
        <w:spacing w:after="0" w:line="281" w:lineRule="auto"/>
        <w:rPr>
          <w:sz w:val="20"/>
          <w:szCs w:val="20"/>
          <w:color w:val="auto"/>
        </w:rPr>
      </w:pPr>
      <w:r>
        <w:rPr>
          <w:rFonts w:ascii="Arial" w:cs="Arial" w:eastAsia="Arial" w:hAnsi="Arial"/>
          <w:sz w:val="13"/>
          <w:szCs w:val="13"/>
          <w:b w:val="1"/>
          <w:bCs w:val="1"/>
          <w:color w:val="auto"/>
        </w:rPr>
        <w:t>Our ability to operate and collect digital information on behalf of our clients is dependent on the privacy laws of jurisdictions in which our ASRs operate, as well as the corporate policies of our clients, which may limit our ability to fully deploy our technologies in various markets.</w:t>
      </w:r>
    </w:p>
    <w:p>
      <w:pPr>
        <w:spacing w:after="0" w:line="123" w:lineRule="exact"/>
        <w:rPr>
          <w:sz w:val="20"/>
          <w:szCs w:val="20"/>
          <w:color w:val="auto"/>
        </w:rPr>
      </w:pPr>
    </w:p>
    <w:p>
      <w:pPr>
        <w:ind w:right="40"/>
        <w:spacing w:after="0" w:line="304" w:lineRule="auto"/>
        <w:rPr>
          <w:sz w:val="20"/>
          <w:szCs w:val="20"/>
          <w:color w:val="auto"/>
        </w:rPr>
      </w:pPr>
      <w:r>
        <w:rPr>
          <w:rFonts w:ascii="Arial" w:cs="Arial" w:eastAsia="Arial" w:hAnsi="Arial"/>
          <w:sz w:val="11"/>
          <w:szCs w:val="11"/>
          <w:color w:val="auto"/>
        </w:rPr>
        <w:t>Our ASRs collect, store and may analyze certain types of personal or identifying information regarding individuals that interact with the ASRs. While we maintain stringent data security procedures, the regulatory framework for privacy and security issues is rapidly evolving worldwide and is likely to remain uncertain for the foreseeable future. Federal and state government bodies and agencies have in the past adopted, and may in the future adopt, laws and regulations affecting data privacy, which in turn affect the breadth and type of features that we can offer to our clients. In addition, our clients have separate internal policies, procedures and controls regarding privacy and data security with which we may be required to comply. Because the interpretation and application of many privacy and data protection laws are uncertain, it is possible that these laws may be interpreted or applied in a manner that is inconsistent with our current data management practices or the features of our products. If so, in addition to the possibility of fines, lawsuits and other claims and penalties, we could be required to fundamentally change our business activities and practices or modify our products, which could have an adverse effect on our business. Additionally, we may become a target of information-focused or data collection attacks and any inability to adequately address privacy and security concerns, even if unfounded, or comply with applicable privacy and data security laws, regulations, and policies, could result in additional cost and liability to us, damage our reputation, inhibit sales, and adversely affect our business. Furthermore, the costs of compliance with, and other burdens imposed by, the laws, regulations, and policies that are applicable to the businesses of our clients may limit the use and adoption of, and reduce the overall demand for, our products. Privacy and data security concerns, whether valid or not valid, may inhibit market adoption of our products, particularly in certain industries and foreign countries. If we are not able to adjust to changing laws, regulations, our business may be harmed.</w:t>
      </w:r>
    </w:p>
    <w:p>
      <w:pPr>
        <w:spacing w:after="0" w:line="11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We have limited experience in operating our ASRs in a variety of environments and increased interactions may lead to collisions, possible liability and negative publicity.</w:t>
      </w:r>
    </w:p>
    <w:p>
      <w:pPr>
        <w:spacing w:after="0" w:line="167" w:lineRule="exact"/>
        <w:rPr>
          <w:sz w:val="20"/>
          <w:szCs w:val="20"/>
          <w:color w:val="auto"/>
        </w:rPr>
      </w:pPr>
    </w:p>
    <w:p>
      <w:pPr>
        <w:spacing w:after="0" w:line="254" w:lineRule="auto"/>
        <w:rPr>
          <w:sz w:val="20"/>
          <w:szCs w:val="20"/>
          <w:color w:val="auto"/>
        </w:rPr>
      </w:pPr>
      <w:r>
        <w:rPr>
          <w:rFonts w:ascii="Arial" w:cs="Arial" w:eastAsia="Arial" w:hAnsi="Arial"/>
          <w:sz w:val="13"/>
          <w:szCs w:val="13"/>
          <w:color w:val="auto"/>
        </w:rPr>
        <w:t>Our ASRs operate autonomously in environments, such as shopping malls, parking lots and stadiums, that are surrounded by various moving and stationary physical obstacles and by humans and vehicles. Such environments are prone to collisions, unintended interactions and various other incidents, regardless of our technology. Therefore, there is a possibility that our ASRs may be involved in a collision with any number of such obstacles. Our ASRs contain a number of advanced sensors that are designed to effectively prevent any such incidents and are intended to stop any motion at the detection of intervening objects. Nonetheless, real-life environments, especially those in crowded areas, are unpredictable and situations may arise in which the ASRs may not perform as intended. Infrequent, but highly publicized incidents of autonomous vehicle and human interactions have focused consumer attention on the safety of such systems. We continuously test the ASRs in a number of unpredictable environments and continue to improve each model’s obstacle-sensing and crash-prevention technology. Furthermore, the maximum speed of the ASRs typically does not exceed 3 mph, which is not different from normal human walking pace and is unlikely to lead to any significant damage. However, we cannot assure you that a collision, with property or with humans, will not occur, which could damage the ASR, or lead to personal injury or property damage and may subject us to lawsuits. Moreover, any such incident, even without damage, may lead to adverse publicity for us. Such lawsuits or adverse publicity would negatively affect our brand and harm our business, prospects, financial condition and operating results.</w:t>
      </w:r>
    </w:p>
    <w:p>
      <w:pPr>
        <w:spacing w:after="0" w:line="136" w:lineRule="exact"/>
        <w:rPr>
          <w:sz w:val="20"/>
          <w:szCs w:val="20"/>
          <w:color w:val="auto"/>
        </w:rPr>
      </w:pPr>
    </w:p>
    <w:p>
      <w:pPr>
        <w:ind w:right="100"/>
        <w:spacing w:after="0" w:line="324" w:lineRule="auto"/>
        <w:rPr>
          <w:sz w:val="20"/>
          <w:szCs w:val="20"/>
          <w:color w:val="auto"/>
        </w:rPr>
      </w:pPr>
      <w:r>
        <w:rPr>
          <w:rFonts w:ascii="Arial" w:cs="Arial" w:eastAsia="Arial" w:hAnsi="Arial"/>
          <w:sz w:val="12"/>
          <w:szCs w:val="12"/>
          <w:b w:val="1"/>
          <w:bCs w:val="1"/>
          <w:color w:val="auto"/>
        </w:rPr>
        <w:t>Our failure to implement and maintain effective internal control over financial reporting may result in material misstatements in our financial statements, which has and could in the future require us to restate financial statements, cause investors to lose confidence in our reported financial information and could have an adverse effect on our ability to fundraise.</w:t>
      </w:r>
    </w:p>
    <w:p>
      <w:pPr>
        <w:spacing w:after="0" w:line="101" w:lineRule="exact"/>
        <w:rPr>
          <w:sz w:val="20"/>
          <w:szCs w:val="20"/>
          <w:color w:val="auto"/>
        </w:rPr>
      </w:pPr>
    </w:p>
    <w:p>
      <w:pPr>
        <w:ind w:right="100"/>
        <w:spacing w:after="0" w:line="276" w:lineRule="auto"/>
        <w:rPr>
          <w:sz w:val="20"/>
          <w:szCs w:val="20"/>
          <w:color w:val="auto"/>
        </w:rPr>
      </w:pPr>
      <w:r>
        <w:rPr>
          <w:rFonts w:ascii="Arial" w:cs="Arial" w:eastAsia="Arial" w:hAnsi="Arial"/>
          <w:sz w:val="12"/>
          <w:szCs w:val="12"/>
          <w:color w:val="auto"/>
        </w:rPr>
        <w:t>In connection with the audit of our financial statements for the year ended December 31, 2020, we and our independent registered public accounting firm identified a material weakness in our internal control over financial reporting. A “material weakness” is a deficiency, or a combination of deficiencies, in internal control over financial reporting such that there is a reasonable possibility that a material misstatement of our annual or interim financial statements will not be prevented or detected and corrected on a timely basis. The material weakness related to certain corporate finance and accounting oversight functions within certain account areas and supporting records and the timely completion of the accounting records and review of the Company’s Annual Report on Form 1-K for the year ended December 31, 2020, which was primarily the result of the lack of sufficient and competent accounting and finance resources. Commencing in the quarter ended December 31, 2020, we hired a full-time, in-house accounting team, including a chief financial officer (“CFO”) who has the requisite U.S. GAAP and Commission reporting expertise, to address this material weakness and to implement new controls and procedures to address this material weakness in 2021. Additional material weaknesses in our internal control over financial reporting may be identified in the future. Any failure to maintain existing or implement required new or improved controls, or any difficulties we encounter in their implementation, could result in additional material weaknesses, cause us to fail to meet our periodic reporting obligations or result in material misstatements in our financial statements. The existence of a material weakness could result in errors in our financial statements that could result in a restatement of financial statements and cause us to fail to meet our reporting obligations. If we are unable to effectively remediate material weaknesses in a timely manner, investors could lose confidence in the accuracy and completeness of our financial reports, which could have an adverse effect on our ability to sell our securities and to conduct future fundraising.</w:t>
      </w:r>
    </w:p>
    <w:p>
      <w:pPr>
        <w:spacing w:after="0" w:line="288"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12" w:name="page13"/>
    <w:bookmarkEnd w:id="12"/>
    <w:p>
      <w:pPr>
        <w:spacing w:after="0"/>
        <w:rPr>
          <w:sz w:val="20"/>
          <w:szCs w:val="20"/>
          <w:color w:val="auto"/>
        </w:rPr>
      </w:pPr>
      <w:r>
        <w:rPr>
          <w:rFonts w:ascii="Arial" w:cs="Arial" w:eastAsia="Arial" w:hAnsi="Arial"/>
          <w:sz w:val="13"/>
          <w:szCs w:val="13"/>
          <w:b w:val="1"/>
          <w:bCs w:val="1"/>
          <w:color w:val="auto"/>
        </w:rPr>
        <w:t>The private security industry is undergoing structural changes in technology and services.</w:t>
      </w:r>
    </w:p>
    <w:p>
      <w:pPr>
        <w:spacing w:after="0" w:line="167" w:lineRule="exact"/>
        <w:rPr>
          <w:sz w:val="20"/>
          <w:szCs w:val="20"/>
          <w:color w:val="auto"/>
        </w:rPr>
      </w:pPr>
    </w:p>
    <w:p>
      <w:pPr>
        <w:ind w:right="40"/>
        <w:spacing w:after="0" w:line="287" w:lineRule="auto"/>
        <w:rPr>
          <w:sz w:val="20"/>
          <w:szCs w:val="20"/>
          <w:color w:val="auto"/>
        </w:rPr>
      </w:pPr>
      <w:r>
        <w:rPr>
          <w:rFonts w:ascii="Arial" w:cs="Arial" w:eastAsia="Arial" w:hAnsi="Arial"/>
          <w:sz w:val="12"/>
          <w:szCs w:val="12"/>
          <w:color w:val="auto"/>
        </w:rPr>
        <w:t>The private security industry is undergoing structural changes, consolidation, changing client needs, evolving industry standards and introduction of new products and services. We have encountered and will continue to encounter risks and difficulties frequently experienced by growing companies in such industries. If we do not address these risks successfully, our business will be harmed. Our ability to gain market share depends upon our ability to satisfy client requirements, enhance existing products and develop and introduce new products. Further, we expect the intensity of competition to increase in the future. Increased competitiveness may result in reductions in the prices of our products and services, lower-than-expected gross margins or loss of market share, any of which would harm our business.</w:t>
      </w:r>
    </w:p>
    <w:p>
      <w:pPr>
        <w:spacing w:after="0" w:line="118"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The Company may fail in its efforts to secure a material amount of business from the U.S. federal government</w:t>
      </w:r>
      <w:r>
        <w:rPr>
          <w:rFonts w:ascii="Arial" w:cs="Arial" w:eastAsia="Arial" w:hAnsi="Arial"/>
          <w:sz w:val="13"/>
          <w:szCs w:val="13"/>
          <w:color w:val="auto"/>
        </w:rPr>
        <w:t>.</w:t>
      </w:r>
    </w:p>
    <w:p>
      <w:pPr>
        <w:spacing w:after="0" w:line="167" w:lineRule="exact"/>
        <w:rPr>
          <w:sz w:val="20"/>
          <w:szCs w:val="20"/>
          <w:color w:val="auto"/>
        </w:rPr>
      </w:pPr>
    </w:p>
    <w:p>
      <w:pPr>
        <w:ind w:right="80"/>
        <w:spacing w:after="0" w:line="294" w:lineRule="auto"/>
        <w:rPr>
          <w:sz w:val="20"/>
          <w:szCs w:val="20"/>
          <w:color w:val="auto"/>
        </w:rPr>
      </w:pPr>
      <w:r>
        <w:rPr>
          <w:rFonts w:ascii="Arial" w:cs="Arial" w:eastAsia="Arial" w:hAnsi="Arial"/>
          <w:sz w:val="12"/>
          <w:szCs w:val="12"/>
          <w:color w:val="auto"/>
        </w:rPr>
        <w:t>The Company has significantly increased resources dedicated to achieving Authority-to-Operate ("ATO") from the Federal Risk and Authorization Management Program ("FedRamp"), targeted for the end 2022. The federal government adopted the Cloud First Policy, which requires all cloud service providers that hold federal data to be FedRamp certified. FedRamp compliance will enable federal agencies to do business with Knightscope. The Company may not achieve ATO during 2022, may never achieve ATO, or, if achieved, may never garner new business contracts from the effort.</w:t>
      </w:r>
    </w:p>
    <w:p>
      <w:pPr>
        <w:spacing w:after="0" w:line="11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The Company is controlled by its officers and early-stage investors.</w:t>
      </w:r>
    </w:p>
    <w:p>
      <w:pPr>
        <w:spacing w:after="0" w:line="167" w:lineRule="exact"/>
        <w:rPr>
          <w:sz w:val="20"/>
          <w:szCs w:val="20"/>
          <w:color w:val="auto"/>
        </w:rPr>
      </w:pPr>
    </w:p>
    <w:p>
      <w:pPr>
        <w:spacing w:after="0" w:line="277" w:lineRule="auto"/>
        <w:rPr>
          <w:sz w:val="20"/>
          <w:szCs w:val="20"/>
          <w:color w:val="auto"/>
        </w:rPr>
      </w:pPr>
      <w:r>
        <w:rPr>
          <w:rFonts w:ascii="Arial" w:cs="Arial" w:eastAsia="Arial" w:hAnsi="Arial"/>
          <w:sz w:val="12"/>
          <w:szCs w:val="12"/>
          <w:color w:val="auto"/>
        </w:rPr>
        <w:t>The Company’s officers and sole director, in particular, William Santana Li and Stacy Dean Stephens, currently hold approximately 26.24% and 11.25%, respectively, of the Company’s voting rights. Current stockholders of Class B Common Stock or holders of stock convertible into Class B Common Stock of the Company, including holders of Series A Preferred Stock, Series B Preferred Stock and Series m-2 Preferred Stock, are entitled to ten votes for each such share held at a regular meeting of stockholders, subject to the provisions of the Delaware General Corporate Law and the relevant provisions of the Company’s amended and restated certificate of incorporation and hold approximately 93% of the Company’s voting rights after this offering, assuming the offering is fully-subscribed. Holders of Class A Common Stock or holders of stock convertible into Class A Common Stock of the Company are entitled to one vote for each such share held at a regular meeting of stockholders, subject to the provisions of the Delaware General Corporate Law and the relevant provisions of the Company’s amended and restated certificate of incorporation. Holders of Class B Common Stock may convert their shares of Class B Common Stock into shares of Class A Common Stock on a 1:1 basis. If the holders of Class B Common Stock other than Mr. Li and Mr. Stephens and holders of shares of super-voting Preferred Stock were to convert their shares of Class B Common Stock to Class A Common Stock, Mr. Li and Mr. Stephens together would represent approximately 75.86% of the voting rights after this offering, assuming a fully subscribed offering. Therefore, investors in this offering will not have the ability to control the board of directors and will not have significant ability to control any specific vote of stockholders.</w:t>
      </w:r>
    </w:p>
    <w:p>
      <w:pPr>
        <w:spacing w:after="0" w:line="127"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Our results of operations may be negatively impacted by the coronavirus outbreak.</w:t>
      </w:r>
    </w:p>
    <w:p>
      <w:pPr>
        <w:spacing w:after="0" w:line="167" w:lineRule="exact"/>
        <w:rPr>
          <w:sz w:val="20"/>
          <w:szCs w:val="20"/>
          <w:color w:val="auto"/>
        </w:rPr>
      </w:pPr>
    </w:p>
    <w:p>
      <w:pPr>
        <w:ind w:right="80"/>
        <w:spacing w:after="0" w:line="258" w:lineRule="auto"/>
        <w:rPr>
          <w:sz w:val="20"/>
          <w:szCs w:val="20"/>
          <w:color w:val="auto"/>
        </w:rPr>
      </w:pPr>
      <w:r>
        <w:rPr>
          <w:rFonts w:ascii="Arial" w:cs="Arial" w:eastAsia="Arial" w:hAnsi="Arial"/>
          <w:sz w:val="13"/>
          <w:szCs w:val="13"/>
          <w:color w:val="auto"/>
        </w:rPr>
        <w:t>In December 2019, a novel strain of coronavirus, or COVID-19, was reported to have surfaced in Wuhan, China. COVID-19 has spread to many countries, including the United States, and was declared to be a pandemic by the World Health Organization. Efforts to contain the spread of COVID-19 have intensified and the U.S., Europe and Asia have implemented severe travel restrictions and social distancing. The impacts of the outbreak are unknown and rapidly evolving. A widespread health crisis has adversely affected and could continue to affect the global economy, resulting in an economic downturn that could negatively impact the value of the Shares and investor demand for the Shares generally.</w:t>
      </w:r>
    </w:p>
    <w:p>
      <w:pPr>
        <w:spacing w:after="0" w:line="139"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The continued spread of COVID-19 has also led to severe disruption and volatility in the global capital markets, which could increase our cost of capital and adversely affect our ability to access the capital markets in the future. It is possible that the continued spread of COVID-19 could cause a further economic slowdown or recession or cause other unpredictable events, each of which could adversely affect our business, results of operations or financial condition.</w:t>
      </w:r>
    </w:p>
    <w:p>
      <w:pPr>
        <w:spacing w:after="0" w:line="136" w:lineRule="exact"/>
        <w:rPr>
          <w:sz w:val="20"/>
          <w:szCs w:val="20"/>
          <w:color w:val="auto"/>
        </w:rPr>
      </w:pPr>
    </w:p>
    <w:p>
      <w:pPr>
        <w:ind w:right="180"/>
        <w:spacing w:after="0" w:line="332" w:lineRule="auto"/>
        <w:rPr>
          <w:sz w:val="20"/>
          <w:szCs w:val="20"/>
          <w:color w:val="auto"/>
        </w:rPr>
      </w:pPr>
      <w:r>
        <w:rPr>
          <w:rFonts w:ascii="Arial" w:cs="Arial" w:eastAsia="Arial" w:hAnsi="Arial"/>
          <w:sz w:val="11"/>
          <w:szCs w:val="11"/>
          <w:color w:val="auto"/>
        </w:rPr>
        <w:t>The extent to which COVID-19 affects our financial results will depend on future developments, which are highly uncertain and cannot be predicted, including new information which may emerge concerning the severity of the COVID-19 outbreak and the actions to contain the outbreak or treat its impact, among others. Moreover, the COVID-19 outbreak has had and may continue to have indeterminable adverse effects on general commercial activity and the world economy, and our business and results of operations could be adversely affected to the extent that COVID-19 or any other pandemic harms the global economy generally.</w:t>
      </w:r>
    </w:p>
    <w:p>
      <w:pPr>
        <w:spacing w:after="0" w:line="101" w:lineRule="exact"/>
        <w:rPr>
          <w:sz w:val="20"/>
          <w:szCs w:val="20"/>
          <w:color w:val="auto"/>
        </w:rPr>
      </w:pPr>
    </w:p>
    <w:p>
      <w:pPr>
        <w:ind w:right="200"/>
        <w:spacing w:after="0" w:line="262" w:lineRule="auto"/>
        <w:rPr>
          <w:sz w:val="20"/>
          <w:szCs w:val="20"/>
          <w:color w:val="auto"/>
        </w:rPr>
      </w:pPr>
      <w:r>
        <w:rPr>
          <w:rFonts w:ascii="Arial" w:cs="Arial" w:eastAsia="Arial" w:hAnsi="Arial"/>
          <w:sz w:val="13"/>
          <w:szCs w:val="13"/>
          <w:color w:val="auto"/>
        </w:rPr>
        <w:t>On March 8, 2020, the Company issued a shelter-in-place order to its employees. During 2021, approximately 20% of the Company’s employees, on strict pre-approvals, have been authorized to work from the Company's headquarters in staggered time slots, while the remainder continue to work from home. As of the date of this Offering Circular, these procedures remain in place. A significant portion of the Company’s clients are classified as essential service providers, including law enforcement agencies, hospitals, and security teams.</w:t>
      </w:r>
    </w:p>
    <w:p>
      <w:pPr>
        <w:spacing w:after="0" w:line="293"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13" w:name="page14"/>
    <w:bookmarkEnd w:id="13"/>
    <w:p>
      <w:pPr>
        <w:ind w:right="120"/>
        <w:spacing w:after="0" w:line="274" w:lineRule="auto"/>
        <w:rPr>
          <w:sz w:val="20"/>
          <w:szCs w:val="20"/>
          <w:color w:val="auto"/>
        </w:rPr>
      </w:pPr>
      <w:r>
        <w:rPr>
          <w:rFonts w:ascii="Arial" w:cs="Arial" w:eastAsia="Arial" w:hAnsi="Arial"/>
          <w:sz w:val="13"/>
          <w:szCs w:val="13"/>
          <w:color w:val="auto"/>
        </w:rPr>
        <w:t>While canceled client contracts due to pandemic-related financial hardship has had an effect on the Company’s revenue, some deployments for executed contracts have been delayed simply due to inability to access the facilities during the pandemic and shelter-in-place orders.</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Actual or threatened epidemics, pandemics, outbreaks, or other public health crises may adversely affect our business, including the novel COVID-19 outbreak.</w:t>
      </w:r>
    </w:p>
    <w:p>
      <w:pPr>
        <w:spacing w:after="0" w:line="167" w:lineRule="exact"/>
        <w:rPr>
          <w:sz w:val="20"/>
          <w:szCs w:val="20"/>
          <w:color w:val="auto"/>
        </w:rPr>
      </w:pPr>
    </w:p>
    <w:p>
      <w:pPr>
        <w:ind w:right="60"/>
        <w:spacing w:after="0" w:line="256" w:lineRule="auto"/>
        <w:rPr>
          <w:sz w:val="20"/>
          <w:szCs w:val="20"/>
          <w:color w:val="auto"/>
        </w:rPr>
      </w:pPr>
      <w:r>
        <w:rPr>
          <w:rFonts w:ascii="Arial" w:cs="Arial" w:eastAsia="Arial" w:hAnsi="Arial"/>
          <w:sz w:val="13"/>
          <w:szCs w:val="13"/>
          <w:color w:val="auto"/>
        </w:rPr>
        <w:t>Our business could be materially and adversely affected by the risks, or the public perception of the risks, related to an epidemic, pandemic, outbreak, or other public health crisis, such as the recent outbreak of novel coronavirus, or COVID-19. The risk, or public perception of the risk, of a pandemic or media coverage of infectious diseases could adversely affect the value of the Shares and our Investors or prospective Investors financial condition, resulting in reduced demand for the Shares generally. Further, such risks could cause a limited attendance at membership experience events that we might sponsor or in which we might participate or result in persons avoiding holding or appearing at in-person events. “Shelter-in-place” or other such orders by governmental entities could also disrupt our operations, if employees who cannot perform their responsibilities from home, are not able to report to work.</w:t>
      </w:r>
    </w:p>
    <w:p>
      <w:pPr>
        <w:spacing w:after="0" w:line="137"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The Company has experienced supply chain constraints, as well as increased costs on components and shipping resulting from the COVID-19 outbreak.</w:t>
      </w:r>
    </w:p>
    <w:p>
      <w:pPr>
        <w:spacing w:after="0" w:line="167" w:lineRule="exact"/>
        <w:rPr>
          <w:sz w:val="20"/>
          <w:szCs w:val="20"/>
          <w:color w:val="auto"/>
        </w:rPr>
      </w:pPr>
    </w:p>
    <w:p>
      <w:pPr>
        <w:ind w:right="120"/>
        <w:spacing w:after="0" w:line="287" w:lineRule="auto"/>
        <w:rPr>
          <w:sz w:val="20"/>
          <w:szCs w:val="20"/>
          <w:color w:val="auto"/>
        </w:rPr>
      </w:pPr>
      <w:r>
        <w:rPr>
          <w:rFonts w:ascii="Arial" w:cs="Arial" w:eastAsia="Arial" w:hAnsi="Arial"/>
          <w:sz w:val="12"/>
          <w:szCs w:val="12"/>
          <w:color w:val="auto"/>
        </w:rPr>
        <w:t>The Company has experienced supply chain constraints resulting from the COVID-19 outbreak, which has slowed down production and will negatively impact the timing of deploying ASRs to our clients. These supply constraints include, but are not limited to, semiconductor shortages as well as shortages of certain commodities. Extended lead times on certain parts as well as a lack of immediate availability may delay our ability to deploy ASRs, and consequently, may delay our ability to recognize revenue. In addition, the Company has also faced increased costs of components and freight resulting from COVID-19. The increased cost of components and freight as well as ongoing delays in production are likely to have an impact on sales and profitability throughout 2021 as well as 2022 and 2023.</w:t>
      </w:r>
    </w:p>
    <w:p>
      <w:pPr>
        <w:spacing w:after="0" w:line="122"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Risks related to the Offering</w:t>
      </w:r>
    </w:p>
    <w:p>
      <w:pPr>
        <w:spacing w:after="0" w:line="159"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The Company is dependent on the proceeds of this offering, and may need to seek additional funds if the full offering amount is not raised.</w:t>
      </w:r>
    </w:p>
    <w:p>
      <w:pPr>
        <w:spacing w:after="0" w:line="167" w:lineRule="exact"/>
        <w:rPr>
          <w:sz w:val="20"/>
          <w:szCs w:val="20"/>
          <w:color w:val="auto"/>
        </w:rPr>
      </w:pPr>
    </w:p>
    <w:p>
      <w:pPr>
        <w:spacing w:after="0" w:line="276" w:lineRule="auto"/>
        <w:rPr>
          <w:sz w:val="20"/>
          <w:szCs w:val="20"/>
          <w:color w:val="auto"/>
        </w:rPr>
      </w:pPr>
      <w:r>
        <w:rPr>
          <w:rFonts w:ascii="Arial" w:cs="Arial" w:eastAsia="Arial" w:hAnsi="Arial"/>
          <w:sz w:val="12"/>
          <w:szCs w:val="12"/>
          <w:color w:val="auto"/>
        </w:rPr>
        <w:t>We are dependent on the proceeds of this offering to maintain our operations and support our business growth. The Company has projected operating losses and negative cash flows for the next several months. We believe that the proceeds of a fully-subscribed offering, together with our cash and cash equivalent balances, cash generated through our agreement with Dimension Funding (as defined below), and borrowings will be adequate to meet our liquidity needs and capital expenditure requirements for at least the next 12 months. If the maximum offering amount is not raised, we may require additional funds to maintain our operations and respond to business challenges and opportunities, including the need to develop new products or enhance our existing products, enhance our operating infrastructure or acquire complementary businesses and technologies. Accordingly, we may need to engage in subsequent equity or debt financings to secure additional funds. If we raise additional funds through further issuances of equity or convertible debt securities, our existing stockholders could suffer significant dilution, and any new equity securities we issue could have rights, preferences and privileges superior to those of holders of our existing capital stock, including the Shares being sold in this offering. Any debt financing secured by us in the future could involve restrictive covenants relating to our capital raising activities and other financial and operational matters, which may make it more difficult for us to obtain additional capital and to pursue business opportunities. Such financing could also require us to pledge assets as security for borrowings. If we were to leverage our business by incurring significant debt, we may be required to devote a substantial portion of our cash flow to service that indebtedness. This could require us to modify our business plan, for example, by delaying the expansion of our business. If we are unable to obtain adequate financing or financing on terms satisfactory to us, the Company may have to significantly reduce its operations or delay, scale back or discontinue the development of one or more of its platforms, seek alternative financing arrangements, declare bankruptcy or terminate its operations entirely.</w:t>
      </w:r>
    </w:p>
    <w:p>
      <w:pPr>
        <w:spacing w:after="0" w:line="127"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A limited public trading market may cause volatility in the price of our Class A Common Stock.</w:t>
      </w:r>
    </w:p>
    <w:p>
      <w:pPr>
        <w:spacing w:after="0" w:line="167" w:lineRule="exact"/>
        <w:rPr>
          <w:sz w:val="20"/>
          <w:szCs w:val="20"/>
          <w:color w:val="auto"/>
        </w:rPr>
      </w:pPr>
    </w:p>
    <w:p>
      <w:pPr>
        <w:spacing w:after="0" w:line="258" w:lineRule="auto"/>
        <w:rPr>
          <w:sz w:val="20"/>
          <w:szCs w:val="20"/>
          <w:color w:val="auto"/>
        </w:rPr>
      </w:pPr>
      <w:r>
        <w:rPr>
          <w:rFonts w:ascii="Arial" w:cs="Arial" w:eastAsia="Arial" w:hAnsi="Arial"/>
          <w:sz w:val="13"/>
          <w:szCs w:val="13"/>
          <w:color w:val="auto"/>
        </w:rPr>
        <w:t>While we have applied for the listing of our Class A Common Stock on the Nasdaq Global Market, there can be no assurance that our Class A Common Stock will continue to be listed on Nasdaq or that a meaningful, consistent and liquid trading market will develop. As a result, our stockholders may not be able to sell or liquidate their holdings in a timely manner or at the then-prevailing trading price of our Class A Common Stock. In addition, sales of substantial amounts of our Class A Common Stock, or the perception that such sales might occur, could adversely affect prevailing market prices of our common stock and our stock price may decline substantially in a short time and our stockholders could suffer losses or be unable to liquidate their holdings</w:t>
      </w:r>
      <w:r>
        <w:rPr>
          <w:rFonts w:ascii="Arial" w:cs="Arial" w:eastAsia="Arial" w:hAnsi="Arial"/>
          <w:sz w:val="13"/>
          <w:szCs w:val="13"/>
          <w:b w:val="1"/>
          <w:bCs w:val="1"/>
          <w:color w:val="auto"/>
        </w:rPr>
        <w:t>.</w:t>
      </w:r>
    </w:p>
    <w:p>
      <w:pPr>
        <w:spacing w:after="0" w:line="296"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14" w:name="page15"/>
    <w:bookmarkEnd w:id="14"/>
    <w:p>
      <w:pPr>
        <w:ind w:right="80"/>
        <w:spacing w:after="0" w:line="281" w:lineRule="auto"/>
        <w:rPr>
          <w:sz w:val="20"/>
          <w:szCs w:val="20"/>
          <w:color w:val="auto"/>
        </w:rPr>
      </w:pPr>
      <w:r>
        <w:rPr>
          <w:rFonts w:ascii="Arial" w:cs="Arial" w:eastAsia="Arial" w:hAnsi="Arial"/>
          <w:sz w:val="13"/>
          <w:szCs w:val="13"/>
          <w:b w:val="1"/>
          <w:bCs w:val="1"/>
          <w:color w:val="auto"/>
        </w:rPr>
        <w:t>We have applied to list our Class A Common Stock on Nasdaq Global Market (Nasdaq) but may not succeed or be able to satisfy continued listing requirements of the Nasdaq to maintain a listing of our Class A Common Stock.</w:t>
      </w:r>
    </w:p>
    <w:p>
      <w:pPr>
        <w:spacing w:after="0" w:line="123" w:lineRule="exact"/>
        <w:rPr>
          <w:sz w:val="20"/>
          <w:szCs w:val="20"/>
          <w:color w:val="auto"/>
        </w:rPr>
      </w:pPr>
    </w:p>
    <w:p>
      <w:pPr>
        <w:ind w:right="120"/>
        <w:spacing w:after="0" w:line="258" w:lineRule="auto"/>
        <w:rPr>
          <w:sz w:val="20"/>
          <w:szCs w:val="20"/>
          <w:color w:val="auto"/>
        </w:rPr>
      </w:pPr>
      <w:r>
        <w:rPr>
          <w:rFonts w:ascii="Arial" w:cs="Arial" w:eastAsia="Arial" w:hAnsi="Arial"/>
          <w:sz w:val="13"/>
          <w:szCs w:val="13"/>
          <w:color w:val="auto"/>
        </w:rPr>
        <w:t>If our Class A Common Stock is listed on the Nasdaq, we must meet certain financial and liquidity criteria to maintain such a listing. If we fail to meet any of the Nasdaq’s listing standards, our Class A Common Stock may be delisted. In addition, our board of directors may determine that the cost of maintaining our listing on a national securities exchange outweighs the benefits of such a listing. A delisting of our Class A Common Stock from the Nasdaq may materially impair our stockholders’ ability to buy and sell our Class A Common Stock and could have an adverse effect on the market price of, and the efficiency of the trading market for, our common stock. In addition, the delisting of our common stock could significantly impair our ability to raise capital.</w:t>
      </w:r>
    </w:p>
    <w:p>
      <w:pPr>
        <w:spacing w:after="0" w:line="13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Our stock price may be volatile.</w:t>
      </w:r>
    </w:p>
    <w:p>
      <w:pPr>
        <w:spacing w:after="0" w:line="167"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In the event that we are accepted for listing on the Nasdaq, the market price of our Class A Common Stock is likely to be thinly traded, highly volatile and could fluctuate widely in price in response to various factors, many of which are beyond our control, including the following:</w:t>
      </w:r>
    </w:p>
    <w:p>
      <w:pPr>
        <w:spacing w:after="0" w:line="128" w:lineRule="exact"/>
        <w:rPr>
          <w:sz w:val="20"/>
          <w:szCs w:val="20"/>
          <w:color w:val="auto"/>
        </w:rPr>
      </w:pPr>
    </w:p>
    <w:p>
      <w:pPr>
        <w:ind w:left="460" w:hanging="227"/>
        <w:spacing w:after="0"/>
        <w:tabs>
          <w:tab w:leader="none" w:pos="460" w:val="left"/>
        </w:tabs>
        <w:numPr>
          <w:ilvl w:val="0"/>
          <w:numId w:val="10"/>
        </w:numPr>
        <w:rPr>
          <w:rFonts w:ascii="Arial" w:cs="Arial" w:eastAsia="Arial" w:hAnsi="Arial"/>
          <w:sz w:val="13"/>
          <w:szCs w:val="13"/>
          <w:color w:val="auto"/>
        </w:rPr>
      </w:pPr>
      <w:r>
        <w:rPr>
          <w:rFonts w:ascii="Arial" w:cs="Arial" w:eastAsia="Arial" w:hAnsi="Arial"/>
          <w:sz w:val="13"/>
          <w:szCs w:val="13"/>
          <w:color w:val="auto"/>
        </w:rPr>
        <w:t>Changes to the physical security and technology industries;</w:t>
      </w:r>
    </w:p>
    <w:p>
      <w:pPr>
        <w:spacing w:after="0" w:line="14" w:lineRule="exact"/>
        <w:rPr>
          <w:rFonts w:ascii="Arial" w:cs="Arial" w:eastAsia="Arial" w:hAnsi="Arial"/>
          <w:sz w:val="13"/>
          <w:szCs w:val="13"/>
          <w:color w:val="auto"/>
        </w:rPr>
      </w:pPr>
    </w:p>
    <w:p>
      <w:pPr>
        <w:ind w:left="460" w:hanging="227"/>
        <w:spacing w:after="0"/>
        <w:tabs>
          <w:tab w:leader="none" w:pos="460" w:val="left"/>
        </w:tabs>
        <w:numPr>
          <w:ilvl w:val="0"/>
          <w:numId w:val="10"/>
        </w:numPr>
        <w:rPr>
          <w:rFonts w:ascii="Arial" w:cs="Arial" w:eastAsia="Arial" w:hAnsi="Arial"/>
          <w:sz w:val="13"/>
          <w:szCs w:val="13"/>
          <w:color w:val="auto"/>
        </w:rPr>
      </w:pPr>
      <w:r>
        <w:rPr>
          <w:rFonts w:ascii="Arial" w:cs="Arial" w:eastAsia="Arial" w:hAnsi="Arial"/>
          <w:sz w:val="13"/>
          <w:szCs w:val="13"/>
          <w:color w:val="auto"/>
        </w:rPr>
        <w:t>We may not be able to compete successfully against current and future competitors;</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10"/>
        </w:numPr>
        <w:rPr>
          <w:rFonts w:ascii="Arial" w:cs="Arial" w:eastAsia="Arial" w:hAnsi="Arial"/>
          <w:sz w:val="13"/>
          <w:szCs w:val="13"/>
          <w:color w:val="auto"/>
        </w:rPr>
      </w:pPr>
      <w:r>
        <w:rPr>
          <w:rFonts w:ascii="Arial" w:cs="Arial" w:eastAsia="Arial" w:hAnsi="Arial"/>
          <w:sz w:val="13"/>
          <w:szCs w:val="13"/>
          <w:color w:val="auto"/>
        </w:rPr>
        <w:t>Competitive pricing pressures;</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10"/>
        </w:numPr>
        <w:rPr>
          <w:rFonts w:ascii="Arial" w:cs="Arial" w:eastAsia="Arial" w:hAnsi="Arial"/>
          <w:sz w:val="13"/>
          <w:szCs w:val="13"/>
          <w:color w:val="auto"/>
        </w:rPr>
      </w:pPr>
      <w:r>
        <w:rPr>
          <w:rFonts w:ascii="Arial" w:cs="Arial" w:eastAsia="Arial" w:hAnsi="Arial"/>
          <w:sz w:val="13"/>
          <w:szCs w:val="13"/>
          <w:color w:val="auto"/>
        </w:rPr>
        <w:t>Additions or departures of key personnel;</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10"/>
        </w:numPr>
        <w:rPr>
          <w:rFonts w:ascii="Arial" w:cs="Arial" w:eastAsia="Arial" w:hAnsi="Arial"/>
          <w:sz w:val="13"/>
          <w:szCs w:val="13"/>
          <w:color w:val="auto"/>
        </w:rPr>
      </w:pPr>
      <w:r>
        <w:rPr>
          <w:rFonts w:ascii="Arial" w:cs="Arial" w:eastAsia="Arial" w:hAnsi="Arial"/>
          <w:sz w:val="13"/>
          <w:szCs w:val="13"/>
          <w:color w:val="auto"/>
        </w:rPr>
        <w:t>Additional sales of our Class A Common Stock and other securities;</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10"/>
        </w:numPr>
        <w:rPr>
          <w:rFonts w:ascii="Arial" w:cs="Arial" w:eastAsia="Arial" w:hAnsi="Arial"/>
          <w:sz w:val="13"/>
          <w:szCs w:val="13"/>
          <w:color w:val="auto"/>
        </w:rPr>
      </w:pPr>
      <w:r>
        <w:rPr>
          <w:rFonts w:ascii="Arial" w:cs="Arial" w:eastAsia="Arial" w:hAnsi="Arial"/>
          <w:sz w:val="13"/>
          <w:szCs w:val="13"/>
          <w:color w:val="auto"/>
        </w:rPr>
        <w:t>Our ability to execute our business plan;</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10"/>
        </w:numPr>
        <w:rPr>
          <w:rFonts w:ascii="Arial" w:cs="Arial" w:eastAsia="Arial" w:hAnsi="Arial"/>
          <w:sz w:val="13"/>
          <w:szCs w:val="13"/>
          <w:color w:val="auto"/>
        </w:rPr>
      </w:pPr>
      <w:r>
        <w:rPr>
          <w:rFonts w:ascii="Arial" w:cs="Arial" w:eastAsia="Arial" w:hAnsi="Arial"/>
          <w:sz w:val="13"/>
          <w:szCs w:val="13"/>
          <w:color w:val="auto"/>
        </w:rPr>
        <w:t>Operating results that fall below expectations;</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10"/>
        </w:numPr>
        <w:rPr>
          <w:rFonts w:ascii="Arial" w:cs="Arial" w:eastAsia="Arial" w:hAnsi="Arial"/>
          <w:sz w:val="13"/>
          <w:szCs w:val="13"/>
          <w:color w:val="auto"/>
        </w:rPr>
      </w:pPr>
      <w:r>
        <w:rPr>
          <w:rFonts w:ascii="Arial" w:cs="Arial" w:eastAsia="Arial" w:hAnsi="Arial"/>
          <w:sz w:val="13"/>
          <w:szCs w:val="13"/>
          <w:color w:val="auto"/>
        </w:rPr>
        <w:t>Loss of any strategic relationship;</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10"/>
        </w:numPr>
        <w:rPr>
          <w:rFonts w:ascii="Arial" w:cs="Arial" w:eastAsia="Arial" w:hAnsi="Arial"/>
          <w:sz w:val="13"/>
          <w:szCs w:val="13"/>
          <w:color w:val="auto"/>
        </w:rPr>
      </w:pPr>
      <w:r>
        <w:rPr>
          <w:rFonts w:ascii="Arial" w:cs="Arial" w:eastAsia="Arial" w:hAnsi="Arial"/>
          <w:sz w:val="13"/>
          <w:szCs w:val="13"/>
          <w:color w:val="auto"/>
        </w:rPr>
        <w:t>Continued access to working capital funds; and</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10"/>
        </w:numPr>
        <w:rPr>
          <w:rFonts w:ascii="Arial" w:cs="Arial" w:eastAsia="Arial" w:hAnsi="Arial"/>
          <w:sz w:val="13"/>
          <w:szCs w:val="13"/>
          <w:color w:val="auto"/>
        </w:rPr>
      </w:pPr>
      <w:r>
        <w:rPr>
          <w:rFonts w:ascii="Arial" w:cs="Arial" w:eastAsia="Arial" w:hAnsi="Arial"/>
          <w:sz w:val="13"/>
          <w:szCs w:val="13"/>
          <w:color w:val="auto"/>
        </w:rPr>
        <w:t>Economic and other external factors.</w:t>
      </w:r>
    </w:p>
    <w:p>
      <w:pPr>
        <w:spacing w:after="0" w:line="156" w:lineRule="exact"/>
        <w:rPr>
          <w:sz w:val="20"/>
          <w:szCs w:val="20"/>
          <w:color w:val="auto"/>
        </w:rPr>
      </w:pPr>
    </w:p>
    <w:p>
      <w:pPr>
        <w:ind w:right="20"/>
        <w:spacing w:after="0" w:line="274" w:lineRule="auto"/>
        <w:rPr>
          <w:sz w:val="20"/>
          <w:szCs w:val="20"/>
          <w:color w:val="auto"/>
        </w:rPr>
      </w:pPr>
      <w:r>
        <w:rPr>
          <w:rFonts w:ascii="Arial" w:cs="Arial" w:eastAsia="Arial" w:hAnsi="Arial"/>
          <w:sz w:val="13"/>
          <w:szCs w:val="13"/>
          <w:color w:val="auto"/>
        </w:rPr>
        <w:t>In addition, the securities markets have from time to time experienced significant price and volume fluctuations that are unrelated to the operating performance of particular companies. These market fluctuations may also materially and adversely affect the market price of our Class A Common Stock. As a result, you may be unable to resell your shares at a desired price.</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We have not paid cash dividends in the past and do not expect to pay dividends in the future. Any return on investment may be limited to the value of our Class A Common Stock.</w:t>
      </w:r>
    </w:p>
    <w:p>
      <w:pPr>
        <w:spacing w:after="0" w:line="167" w:lineRule="exact"/>
        <w:rPr>
          <w:sz w:val="20"/>
          <w:szCs w:val="20"/>
          <w:color w:val="auto"/>
        </w:rPr>
      </w:pPr>
    </w:p>
    <w:p>
      <w:pPr>
        <w:jc w:val="both"/>
        <w:ind w:right="180"/>
        <w:spacing w:after="0" w:line="262" w:lineRule="auto"/>
        <w:rPr>
          <w:sz w:val="20"/>
          <w:szCs w:val="20"/>
          <w:color w:val="auto"/>
        </w:rPr>
      </w:pPr>
      <w:r>
        <w:rPr>
          <w:rFonts w:ascii="Arial" w:cs="Arial" w:eastAsia="Arial" w:hAnsi="Arial"/>
          <w:sz w:val="13"/>
          <w:szCs w:val="13"/>
          <w:color w:val="auto"/>
        </w:rPr>
        <w:t>We have never paid cash dividends on our equity securities and do not anticipate doing so in the foreseeable future. The payment of any dividends on our Class A Common Stock will depend on earnings, financial condition and other business and economic factors affecting us at such time as our board of directors may consider relevant. If we do not pay dividends, our Class A Common Stock may be less valuable because a return on your investment will only occur if our stock price appreciates.</w:t>
      </w:r>
    </w:p>
    <w:p>
      <w:pPr>
        <w:spacing w:after="0" w:line="132" w:lineRule="exact"/>
        <w:rPr>
          <w:sz w:val="20"/>
          <w:szCs w:val="20"/>
          <w:color w:val="auto"/>
        </w:rPr>
      </w:pPr>
    </w:p>
    <w:p>
      <w:pPr>
        <w:ind w:right="380"/>
        <w:spacing w:after="0" w:line="281" w:lineRule="auto"/>
        <w:rPr>
          <w:sz w:val="20"/>
          <w:szCs w:val="20"/>
          <w:color w:val="auto"/>
        </w:rPr>
      </w:pPr>
      <w:r>
        <w:rPr>
          <w:rFonts w:ascii="Arial" w:cs="Arial" w:eastAsia="Arial" w:hAnsi="Arial"/>
          <w:sz w:val="13"/>
          <w:szCs w:val="13"/>
          <w:b w:val="1"/>
          <w:bCs w:val="1"/>
          <w:color w:val="auto"/>
        </w:rPr>
        <w:t>If financial securities industry analysts do not publish research reports on us, or publish unfavorable reports on us, then the market price and market trading volume of our common stock could be negatively affected.</w:t>
      </w:r>
    </w:p>
    <w:p>
      <w:pPr>
        <w:spacing w:after="0" w:line="123" w:lineRule="exact"/>
        <w:rPr>
          <w:sz w:val="20"/>
          <w:szCs w:val="20"/>
          <w:color w:val="auto"/>
        </w:rPr>
      </w:pPr>
    </w:p>
    <w:p>
      <w:pPr>
        <w:ind w:right="60"/>
        <w:spacing w:after="0" w:line="262" w:lineRule="auto"/>
        <w:rPr>
          <w:sz w:val="20"/>
          <w:szCs w:val="20"/>
          <w:color w:val="auto"/>
        </w:rPr>
      </w:pPr>
      <w:r>
        <w:rPr>
          <w:rFonts w:ascii="Arial" w:cs="Arial" w:eastAsia="Arial" w:hAnsi="Arial"/>
          <w:sz w:val="13"/>
          <w:szCs w:val="13"/>
          <w:color w:val="auto"/>
        </w:rPr>
        <w:t>Any trading market for our Class A Common Stock will be influenced in part by any research reports that financial securities industry analysts publish about us or our business. We do not currently have and may not obtain any future research coverage by securities industry analysts. In the event we are covered by analysts, and one or more of such analysts downgrade our securities, or otherwise reports on us unfavorably, or discontinues coverage on us, the market price and market trading volume of our common stock could be negatively affected.</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You will experience future dilution as a result of future equity offerings.</w:t>
      </w:r>
    </w:p>
    <w:p>
      <w:pPr>
        <w:spacing w:after="0" w:line="167" w:lineRule="exact"/>
        <w:rPr>
          <w:sz w:val="20"/>
          <w:szCs w:val="20"/>
          <w:color w:val="auto"/>
        </w:rPr>
      </w:pPr>
    </w:p>
    <w:p>
      <w:pPr>
        <w:ind w:right="200"/>
        <w:spacing w:after="0" w:line="258" w:lineRule="auto"/>
        <w:rPr>
          <w:sz w:val="20"/>
          <w:szCs w:val="20"/>
          <w:color w:val="auto"/>
        </w:rPr>
      </w:pPr>
      <w:r>
        <w:rPr>
          <w:rFonts w:ascii="Arial" w:cs="Arial" w:eastAsia="Arial" w:hAnsi="Arial"/>
          <w:sz w:val="13"/>
          <w:szCs w:val="13"/>
          <w:color w:val="auto"/>
        </w:rPr>
        <w:t>We may in the future offer additional shares of our common stock or other securities convertible into or exchangeable for our common stock. Although no assurances can be given that we will consummate a financing, in the event we do, or in the event we sell shares of common stock or other securities convertible into shares of our common stock in the future, additional and substantial dilution will occur. In addition, investors purchasing shares or other securities in the future could have rights superior to investors in this offering. Subsequent offerings at a lower price (a “down round”) could result in additional dilution. See “Dilution.”</w:t>
      </w:r>
    </w:p>
    <w:p>
      <w:pPr>
        <w:spacing w:after="0" w:line="296"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60"/>
          </w:cols>
          <w:pgMar w:left="300" w:top="694" w:right="339" w:bottom="1440" w:gutter="0" w:footer="0" w:header="0"/>
        </w:sectPr>
      </w:pPr>
    </w:p>
    <w:bookmarkStart w:id="15" w:name="page16"/>
    <w:bookmarkEnd w:id="15"/>
    <w:p>
      <w:pPr>
        <w:ind w:right="160"/>
        <w:spacing w:after="0" w:line="324" w:lineRule="auto"/>
        <w:rPr>
          <w:sz w:val="20"/>
          <w:szCs w:val="20"/>
          <w:color w:val="auto"/>
        </w:rPr>
      </w:pPr>
      <w:r>
        <w:rPr>
          <w:rFonts w:ascii="Arial" w:cs="Arial" w:eastAsia="Arial" w:hAnsi="Arial"/>
          <w:sz w:val="12"/>
          <w:szCs w:val="12"/>
          <w:b w:val="1"/>
          <w:bCs w:val="1"/>
          <w:color w:val="auto"/>
        </w:rPr>
        <w:t>Future issuances of debt securities, which would rank senior to our common stock upon our bankruptcy or liquidation, and future issuances of preferred stock, which would rank senior to our common stock for the purposes of dividends and liquidating distributions, may adversely affect the level of return you may be able to achieve from an investment in our common stock</w:t>
      </w:r>
      <w:r>
        <w:rPr>
          <w:rFonts w:ascii="Arial" w:cs="Arial" w:eastAsia="Arial" w:hAnsi="Arial"/>
          <w:sz w:val="12"/>
          <w:szCs w:val="12"/>
          <w:b w:val="1"/>
          <w:bCs w:val="1"/>
          <w:i w:val="1"/>
          <w:iCs w:val="1"/>
          <w:color w:val="auto"/>
        </w:rPr>
        <w:t>.</w:t>
      </w:r>
    </w:p>
    <w:p>
      <w:pPr>
        <w:spacing w:after="0" w:line="101" w:lineRule="exact"/>
        <w:rPr>
          <w:sz w:val="20"/>
          <w:szCs w:val="20"/>
          <w:color w:val="auto"/>
        </w:rPr>
      </w:pPr>
    </w:p>
    <w:p>
      <w:pPr>
        <w:ind w:right="40"/>
        <w:spacing w:after="0" w:line="281" w:lineRule="auto"/>
        <w:rPr>
          <w:sz w:val="20"/>
          <w:szCs w:val="20"/>
          <w:color w:val="auto"/>
        </w:rPr>
      </w:pPr>
      <w:r>
        <w:rPr>
          <w:rFonts w:ascii="Arial" w:cs="Arial" w:eastAsia="Arial" w:hAnsi="Arial"/>
          <w:sz w:val="12"/>
          <w:szCs w:val="12"/>
          <w:color w:val="auto"/>
        </w:rPr>
        <w:t>In the future, we may attempt to increase our capital resources by offering debt securities. Upon bankruptcy or liquidation, holders of our debt securities, and lenders with respect to other borrowings we may make, would receive distributions of our available assets prior to any distributions being made to holders of our common stock. Moreover, if we issue additional preferred stock, the holders of such preferred stock, together with current holders of Preferred Stock who choose not to convert their shares to common stock, could be entitled to preferences over holders of common stock in respect of the payment of dividends and the payment of liquidating distributions. Because our decision to issue debt or preferred securities in any future offering, or borrow money from lenders, will depend in part on market conditions and other factors beyond our control, we cannot predict or estimate the amount, timing or nature of any such future offerings or borrowings. Holders of our Class A Common Stock must bear the risk that any future offerings we conduct or borrowings we make may adversely affect the level of return they may be able to achieve from an investment in our common stock.</w:t>
      </w:r>
    </w:p>
    <w:p>
      <w:pPr>
        <w:spacing w:after="0" w:line="122" w:lineRule="exact"/>
        <w:rPr>
          <w:sz w:val="20"/>
          <w:szCs w:val="20"/>
          <w:color w:val="auto"/>
        </w:rPr>
      </w:pPr>
    </w:p>
    <w:p>
      <w:pPr>
        <w:ind w:right="180"/>
        <w:spacing w:after="0" w:line="281" w:lineRule="auto"/>
        <w:rPr>
          <w:sz w:val="20"/>
          <w:szCs w:val="20"/>
          <w:color w:val="auto"/>
        </w:rPr>
      </w:pPr>
      <w:r>
        <w:rPr>
          <w:rFonts w:ascii="Arial" w:cs="Arial" w:eastAsia="Arial" w:hAnsi="Arial"/>
          <w:sz w:val="13"/>
          <w:szCs w:val="13"/>
          <w:b w:val="1"/>
          <w:bCs w:val="1"/>
          <w:color w:val="auto"/>
        </w:rPr>
        <w:t>Because of our status as an emerging growth company, you will not be able to depend on any attestation from our independent registered public accounting firm as to our internal control over financial reporting for the foreseeable future.</w:t>
      </w:r>
    </w:p>
    <w:p>
      <w:pPr>
        <w:spacing w:after="0" w:line="123" w:lineRule="exact"/>
        <w:rPr>
          <w:sz w:val="20"/>
          <w:szCs w:val="20"/>
          <w:color w:val="auto"/>
        </w:rPr>
      </w:pPr>
    </w:p>
    <w:p>
      <w:pPr>
        <w:ind w:right="120"/>
        <w:spacing w:after="0" w:line="294" w:lineRule="auto"/>
        <w:rPr>
          <w:sz w:val="20"/>
          <w:szCs w:val="20"/>
          <w:color w:val="auto"/>
        </w:rPr>
      </w:pPr>
      <w:r>
        <w:rPr>
          <w:rFonts w:ascii="Arial" w:cs="Arial" w:eastAsia="Arial" w:hAnsi="Arial"/>
          <w:sz w:val="12"/>
          <w:szCs w:val="12"/>
          <w:color w:val="auto"/>
        </w:rPr>
        <w:t>Our independent registered public accounting firm will not be required to attest to the effectiveness of our internal control over financial reporting pursuant to Section 404 of the Sarbanes-Oxley Act until the later of the year following our first annual report required to be filed with the Commission or the date we are no longer an “emerging growth company” as defined in the JOBS Act. Accordingly, you will not be able to depend on any attestation concerning our internal control over financial reporting from our independent registered public accounting firm for the foreseeable future.</w:t>
      </w:r>
    </w:p>
    <w:p>
      <w:pPr>
        <w:spacing w:after="0" w:line="115" w:lineRule="exact"/>
        <w:rPr>
          <w:sz w:val="20"/>
          <w:szCs w:val="20"/>
          <w:color w:val="auto"/>
        </w:rPr>
      </w:pPr>
    </w:p>
    <w:p>
      <w:pPr>
        <w:ind w:right="160"/>
        <w:spacing w:after="0" w:line="281" w:lineRule="auto"/>
        <w:rPr>
          <w:sz w:val="20"/>
          <w:szCs w:val="20"/>
          <w:color w:val="auto"/>
        </w:rPr>
      </w:pPr>
      <w:r>
        <w:rPr>
          <w:rFonts w:ascii="Arial" w:cs="Arial" w:eastAsia="Arial" w:hAnsi="Arial"/>
          <w:sz w:val="13"/>
          <w:szCs w:val="13"/>
          <w:b w:val="1"/>
          <w:bCs w:val="1"/>
          <w:color w:val="auto"/>
        </w:rPr>
        <w:t>We will incur increased costs as a result of operating as a listed public company and our management will be required to devote substantial time to new compliance initiatives and corporate governance practices.</w:t>
      </w:r>
    </w:p>
    <w:p>
      <w:pPr>
        <w:spacing w:after="0" w:line="123" w:lineRule="exact"/>
        <w:rPr>
          <w:sz w:val="20"/>
          <w:szCs w:val="20"/>
          <w:color w:val="auto"/>
        </w:rPr>
      </w:pPr>
    </w:p>
    <w:p>
      <w:pPr>
        <w:ind w:right="80"/>
        <w:spacing w:after="0" w:line="255" w:lineRule="auto"/>
        <w:rPr>
          <w:sz w:val="20"/>
          <w:szCs w:val="20"/>
          <w:color w:val="auto"/>
        </w:rPr>
      </w:pPr>
      <w:r>
        <w:rPr>
          <w:rFonts w:ascii="Arial" w:cs="Arial" w:eastAsia="Arial" w:hAnsi="Arial"/>
          <w:sz w:val="13"/>
          <w:szCs w:val="13"/>
          <w:color w:val="auto"/>
        </w:rPr>
        <w:t>As a listed public company, and particularly if at some point in the future we are no longer an “emerging growth company,” we will incur significant legal, accounting and other expenses that we have not incurred in the past. The Sarbanes-Oxley Act, the Dodd-Frank Wall Street Reform and Consumer Protection Act, the listing requirements of the Nasdaq and other applicable securities rules and regulations impose various requirements on public companies. Our management and other personnel will need to devote a substantial amount of time to compliance with these requirements. Moreover, these rules and regulations will increase our legal and financial compliance costs and will make some activities more time-consuming and costly. For example, we expect that these rules and regulations may make it more difficult and more expensive for us to obtain directors’ and officers’ liability insurance, which could make it more difficult for us to attract and retain qualified members of our board of directors. We cannot predict or estimate the amount of additional costs we will incur as a listed public company or the timing of such costs.</w:t>
      </w:r>
    </w:p>
    <w:p>
      <w:pPr>
        <w:spacing w:after="0" w:line="138" w:lineRule="exact"/>
        <w:rPr>
          <w:sz w:val="20"/>
          <w:szCs w:val="20"/>
          <w:color w:val="auto"/>
        </w:rPr>
      </w:pPr>
    </w:p>
    <w:p>
      <w:pPr>
        <w:spacing w:after="0"/>
        <w:rPr>
          <w:sz w:val="20"/>
          <w:szCs w:val="20"/>
          <w:color w:val="auto"/>
        </w:rPr>
      </w:pPr>
      <w:r>
        <w:rPr>
          <w:rFonts w:ascii="Arial" w:cs="Arial" w:eastAsia="Arial" w:hAnsi="Arial"/>
          <w:sz w:val="12"/>
          <w:szCs w:val="12"/>
          <w:b w:val="1"/>
          <w:bCs w:val="1"/>
          <w:color w:val="auto"/>
        </w:rPr>
        <w:t>We may be considered a smaller reporting company and will be exempt from certain disclosure requirements, which could make our Class A Common Stock less attractive to potential investors.</w:t>
      </w:r>
    </w:p>
    <w:p>
      <w:pPr>
        <w:spacing w:after="0" w:line="179"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Rule 12b-2 of the Exchange Act, defines a “smaller reporting company” as an issuer that is not an investment company, an asset-backed issuer, or a majority-owned subsidiary of a parent that is not a smaller reporting company and that:</w:t>
      </w:r>
    </w:p>
    <w:p>
      <w:pPr>
        <w:spacing w:after="0" w:line="128" w:lineRule="exact"/>
        <w:rPr>
          <w:sz w:val="20"/>
          <w:szCs w:val="20"/>
          <w:color w:val="auto"/>
        </w:rPr>
      </w:pPr>
    </w:p>
    <w:p>
      <w:pPr>
        <w:jc w:val="both"/>
        <w:ind w:left="460" w:right="20" w:hanging="227"/>
        <w:spacing w:after="0" w:line="255" w:lineRule="auto"/>
        <w:tabs>
          <w:tab w:leader="none" w:pos="460" w:val="left"/>
        </w:tabs>
        <w:numPr>
          <w:ilvl w:val="0"/>
          <w:numId w:val="11"/>
        </w:numPr>
        <w:rPr>
          <w:rFonts w:ascii="Arial" w:cs="Arial" w:eastAsia="Arial" w:hAnsi="Arial"/>
          <w:sz w:val="13"/>
          <w:szCs w:val="13"/>
          <w:color w:val="auto"/>
        </w:rPr>
      </w:pPr>
      <w:r>
        <w:rPr>
          <w:rFonts w:ascii="Arial" w:cs="Arial" w:eastAsia="Arial" w:hAnsi="Arial"/>
          <w:sz w:val="13"/>
          <w:szCs w:val="13"/>
          <w:color w:val="auto"/>
        </w:rPr>
        <w:t>had a public float of less than $75 million as of the last business day of its most recently completed second fiscal quarter, computed by multiplying the aggregate worldwide number of shares of its voting and non-voting common equity held by non-affiliates by the price at which the common equity was last sold, or the average of the bid and asked prices of common equity, in the principal market for the common equity; or</w:t>
      </w:r>
    </w:p>
    <w:p>
      <w:pPr>
        <w:ind w:left="460" w:right="100" w:hanging="227"/>
        <w:spacing w:after="0" w:line="251" w:lineRule="auto"/>
        <w:tabs>
          <w:tab w:leader="none" w:pos="460" w:val="left"/>
        </w:tabs>
        <w:numPr>
          <w:ilvl w:val="0"/>
          <w:numId w:val="11"/>
        </w:numPr>
        <w:rPr>
          <w:rFonts w:ascii="Arial" w:cs="Arial" w:eastAsia="Arial" w:hAnsi="Arial"/>
          <w:sz w:val="13"/>
          <w:szCs w:val="13"/>
          <w:color w:val="auto"/>
        </w:rPr>
      </w:pPr>
      <w:r>
        <w:rPr>
          <w:rFonts w:ascii="Arial" w:cs="Arial" w:eastAsia="Arial" w:hAnsi="Arial"/>
          <w:sz w:val="13"/>
          <w:szCs w:val="13"/>
          <w:color w:val="auto"/>
        </w:rPr>
        <w:t>in the case of an initial registration statement under the Securities Act, or the Exchange Act, for shares of its common equity, had a public float of less than $75 million as of a date within 30 days of the date of the filing of the registration statement, computed by multiplying the aggregate worldwide number of such shares held by non-affiliates before the registration plus, in the case of a Securities Act registration statement, the number of such shares included in the registration statement by the estimated public offering price of the shares; or</w:t>
      </w:r>
    </w:p>
    <w:p>
      <w:pPr>
        <w:ind w:left="460" w:hanging="227"/>
        <w:spacing w:after="0"/>
        <w:tabs>
          <w:tab w:leader="none" w:pos="460" w:val="left"/>
        </w:tabs>
        <w:numPr>
          <w:ilvl w:val="0"/>
          <w:numId w:val="11"/>
        </w:numPr>
        <w:rPr>
          <w:rFonts w:ascii="Arial" w:cs="Arial" w:eastAsia="Arial" w:hAnsi="Arial"/>
          <w:sz w:val="12"/>
          <w:szCs w:val="12"/>
          <w:color w:val="auto"/>
        </w:rPr>
      </w:pPr>
      <w:r>
        <w:rPr>
          <w:rFonts w:ascii="Arial" w:cs="Arial" w:eastAsia="Arial" w:hAnsi="Arial"/>
          <w:sz w:val="12"/>
          <w:szCs w:val="12"/>
          <w:color w:val="auto"/>
        </w:rPr>
        <w:t>in the case of an issuer whose public float was zero, had annual revenues of less than $50 million during the most recently completed fiscal year for which audited financial statements are available.</w:t>
      </w:r>
    </w:p>
    <w:p>
      <w:pPr>
        <w:spacing w:after="0" w:line="167" w:lineRule="exact"/>
        <w:rPr>
          <w:sz w:val="20"/>
          <w:szCs w:val="20"/>
          <w:color w:val="auto"/>
        </w:rPr>
      </w:pPr>
    </w:p>
    <w:p>
      <w:pPr>
        <w:spacing w:after="0" w:line="262" w:lineRule="auto"/>
        <w:rPr>
          <w:sz w:val="20"/>
          <w:szCs w:val="20"/>
          <w:color w:val="auto"/>
        </w:rPr>
      </w:pPr>
      <w:r>
        <w:rPr>
          <w:rFonts w:ascii="Arial" w:cs="Arial" w:eastAsia="Arial" w:hAnsi="Arial"/>
          <w:sz w:val="13"/>
          <w:szCs w:val="13"/>
          <w:color w:val="auto"/>
        </w:rPr>
        <w:t>As a smaller reporting company, we would not be required and may not include a Compensation Discussion and Analysis section in our proxy statements; we would provide only two years of financial statements; and we would not need to provide the table of selected financial data. We also would have other “scaled” disclosure requirements that are less comprehensive than issuers that are not smaller reporting companies which could make our common stock less attractive to potential investors, which could make it more difficult for our stockholders to sell their shares.</w:t>
      </w:r>
    </w:p>
    <w:p>
      <w:pPr>
        <w:spacing w:after="0" w:line="293"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16" w:name="page17"/>
    <w:bookmarkEnd w:id="16"/>
    <w:p>
      <w:pPr>
        <w:spacing w:after="0"/>
        <w:rPr>
          <w:sz w:val="20"/>
          <w:szCs w:val="20"/>
          <w:color w:val="auto"/>
        </w:rPr>
      </w:pPr>
      <w:r>
        <w:rPr>
          <w:rFonts w:ascii="Arial" w:cs="Arial" w:eastAsia="Arial" w:hAnsi="Arial"/>
          <w:sz w:val="13"/>
          <w:szCs w:val="13"/>
          <w:b w:val="1"/>
          <w:bCs w:val="1"/>
          <w:color w:val="auto"/>
        </w:rPr>
        <w:t>Substantial future sales of our Class A Common Stock, or the perception in the public markets that these sales may occur, may depress our stock price.</w:t>
      </w:r>
    </w:p>
    <w:p>
      <w:pPr>
        <w:spacing w:after="0" w:line="167" w:lineRule="exact"/>
        <w:rPr>
          <w:sz w:val="20"/>
          <w:szCs w:val="20"/>
          <w:color w:val="auto"/>
        </w:rPr>
      </w:pPr>
    </w:p>
    <w:p>
      <w:pPr>
        <w:spacing w:after="0" w:line="279" w:lineRule="auto"/>
        <w:rPr>
          <w:sz w:val="20"/>
          <w:szCs w:val="20"/>
          <w:color w:val="auto"/>
        </w:rPr>
      </w:pPr>
      <w:r>
        <w:rPr>
          <w:rFonts w:ascii="Arial" w:cs="Arial" w:eastAsia="Arial" w:hAnsi="Arial"/>
          <w:sz w:val="12"/>
          <w:szCs w:val="12"/>
          <w:color w:val="auto"/>
        </w:rPr>
        <w:t>Sales of substantial amounts of our Class A Common Stock in the public market after this offering, or the perception that these sales could occur, could adversely affect the price of our Class A Common Stock and could impair our ability to raise capital through the sale of additional shares. Assuming the sale of all Shares in this offering, we will have 4,000,000 shares of Class A Common Stock outstanding. The shares of Class A Common Stock issued in this offering will be freely tradable without restriction under the Securities Act, except for any Shares that may be held or acquired by our directors and executive officers, as that term is defined in the Securities Act, which will be restricted securities under the Securities Act. Furthermore, holders of our preferred stock have the option to convert their shares of preferred stock into shares of our common stock. Non-affiliated holders of our Series m Preferred Stock and Series S Preferred Stock who purchased in one of our previous Regulation A offerings have the right at the date of this Offering Circular to convert their shares into a total of 10,714,224 shares of Class A Common Stock that will be freely tradeable upon issuance to the holders. Restricted securities may not be sold in the public market unless the sale is registered under the Securities Act or an exemption from registration is available.</w:t>
      </w:r>
    </w:p>
    <w:p>
      <w:pPr>
        <w:spacing w:after="0" w:line="128" w:lineRule="exact"/>
        <w:rPr>
          <w:sz w:val="20"/>
          <w:szCs w:val="20"/>
          <w:color w:val="auto"/>
        </w:rPr>
      </w:pPr>
    </w:p>
    <w:p>
      <w:pPr>
        <w:ind w:right="120"/>
        <w:spacing w:after="0" w:line="256" w:lineRule="auto"/>
        <w:rPr>
          <w:sz w:val="20"/>
          <w:szCs w:val="20"/>
          <w:color w:val="auto"/>
        </w:rPr>
      </w:pPr>
      <w:r>
        <w:rPr>
          <w:rFonts w:ascii="Arial" w:cs="Arial" w:eastAsia="Arial" w:hAnsi="Arial"/>
          <w:sz w:val="13"/>
          <w:szCs w:val="13"/>
          <w:color w:val="auto"/>
        </w:rPr>
        <w:t>We and each of our current and proposed directors and our executive officers have agreed with the Selling Agent, subject to certain exceptions, not to dispose of or hedge any shares of common stock or securities convertible into or exchangeable for, or that represent the right to receive, shares of common stock during the period from the date of this Offering Circular continuing through the date 180 days after the date of the closing of this offering, except with the prior written consent of the Selling Agent. See “Plan of Distribution.” Holders of Series m and Series S Preferred Stock purchased in our previous Regulation A offerings are not subject to lock up agreements. All of our shares of common stock may be sold in the public market by existing stockholders following the expiration of the applicable lock-up period, subject to applicable limitations imposed under federal securities laws.</w:t>
      </w:r>
    </w:p>
    <w:p>
      <w:pPr>
        <w:spacing w:after="0" w:line="141" w:lineRule="exact"/>
        <w:rPr>
          <w:sz w:val="20"/>
          <w:szCs w:val="20"/>
          <w:color w:val="auto"/>
        </w:rPr>
      </w:pPr>
    </w:p>
    <w:p>
      <w:pPr>
        <w:ind w:right="260"/>
        <w:spacing w:after="0" w:line="294" w:lineRule="auto"/>
        <w:rPr>
          <w:sz w:val="20"/>
          <w:szCs w:val="20"/>
          <w:color w:val="auto"/>
        </w:rPr>
      </w:pPr>
      <w:r>
        <w:rPr>
          <w:rFonts w:ascii="Arial" w:cs="Arial" w:eastAsia="Arial" w:hAnsi="Arial"/>
          <w:sz w:val="12"/>
          <w:szCs w:val="12"/>
          <w:color w:val="auto"/>
        </w:rPr>
        <w:t>We intend to file one or more registration statements on Form S-8 under the Securities Act to register all shares of Class A Common Stock issued or issuable upon exercise of outstanding options under our stock plans. Any such Form S-8 registration statements will automatically become effective upon filing. Accordingly, shares registered under such registration statements will be available for sale in the open market following the expiration of the applicable lock-up period. We expect that the initial registration statement on Form S-8 will cover shares of our Class A Common Stock.</w:t>
      </w:r>
    </w:p>
    <w:p>
      <w:pPr>
        <w:spacing w:after="0" w:line="119" w:lineRule="exact"/>
        <w:rPr>
          <w:sz w:val="20"/>
          <w:szCs w:val="20"/>
          <w:color w:val="auto"/>
        </w:rPr>
      </w:pPr>
    </w:p>
    <w:p>
      <w:pPr>
        <w:spacing w:after="0"/>
        <w:rPr>
          <w:sz w:val="20"/>
          <w:szCs w:val="20"/>
          <w:color w:val="auto"/>
        </w:rPr>
      </w:pPr>
      <w:r>
        <w:rPr>
          <w:rFonts w:ascii="Arial" w:cs="Arial" w:eastAsia="Arial" w:hAnsi="Arial"/>
          <w:sz w:val="13"/>
          <w:szCs w:val="13"/>
          <w:color w:val="auto"/>
        </w:rPr>
        <w:t>See “Shares Eligible for Future Sale” for a more detailed description of the restrictions on selling shares of our common stock after this offering.</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In the future, we may also issue additional securities if we need to raise capital, which could constitute a material portion of our then-outstanding shares of common stock.</w:t>
      </w:r>
    </w:p>
    <w:p>
      <w:pPr>
        <w:spacing w:after="0" w:line="159" w:lineRule="exact"/>
        <w:rPr>
          <w:sz w:val="20"/>
          <w:szCs w:val="20"/>
          <w:color w:val="auto"/>
        </w:rPr>
      </w:pPr>
    </w:p>
    <w:p>
      <w:pPr>
        <w:ind w:right="160"/>
        <w:spacing w:after="0" w:line="281" w:lineRule="auto"/>
        <w:rPr>
          <w:sz w:val="20"/>
          <w:szCs w:val="20"/>
          <w:color w:val="auto"/>
        </w:rPr>
      </w:pPr>
      <w:r>
        <w:rPr>
          <w:rFonts w:ascii="Arial" w:cs="Arial" w:eastAsia="Arial" w:hAnsi="Arial"/>
          <w:sz w:val="13"/>
          <w:szCs w:val="13"/>
          <w:b w:val="1"/>
          <w:bCs w:val="1"/>
          <w:color w:val="auto"/>
        </w:rPr>
        <w:t>Subsequent offerings or potential recapitalizations of the Company’s capital stock below the offering price or on terms better than the Shares may adversely affect the price per Share and may make it difficult for the Company to continue to sell Shares or other equity or debt securities.</w:t>
      </w:r>
    </w:p>
    <w:p>
      <w:pPr>
        <w:spacing w:after="0" w:line="123" w:lineRule="exact"/>
        <w:rPr>
          <w:sz w:val="20"/>
          <w:szCs w:val="20"/>
          <w:color w:val="auto"/>
        </w:rPr>
      </w:pPr>
    </w:p>
    <w:p>
      <w:pPr>
        <w:ind w:right="140"/>
        <w:spacing w:after="0" w:line="258" w:lineRule="auto"/>
        <w:rPr>
          <w:sz w:val="20"/>
          <w:szCs w:val="20"/>
          <w:color w:val="auto"/>
        </w:rPr>
      </w:pPr>
      <w:r>
        <w:rPr>
          <w:rFonts w:ascii="Arial" w:cs="Arial" w:eastAsia="Arial" w:hAnsi="Arial"/>
          <w:sz w:val="13"/>
          <w:szCs w:val="13"/>
          <w:color w:val="auto"/>
        </w:rPr>
        <w:t>If the Company makes one or more subsequent offerings or recapitalizations of its capital stock or debt at a price below the offering price or on terms otherwise better than those of the Shares, it could potentially create a benchmark price below the offering price and could proportionately reduce the relative attractiveness of the Shares to investors or could otherwise adversely impact the ability of the Company to sell the Shares or other equity or debt securities. This may in turn impact on the rights of the securities and could adversely affect the price per share of the Company’s Class A Common Stock and may make it difficult for the Company to continue to sell Shares or other equity or debt securities.</w:t>
      </w:r>
    </w:p>
    <w:p>
      <w:pPr>
        <w:spacing w:after="0" w:line="13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There is no minimum amount set as a condition to closing this offering</w:t>
      </w:r>
      <w:r>
        <w:rPr>
          <w:rFonts w:ascii="Arial" w:cs="Arial" w:eastAsia="Arial" w:hAnsi="Arial"/>
          <w:sz w:val="13"/>
          <w:szCs w:val="13"/>
          <w:b w:val="1"/>
          <w:bCs w:val="1"/>
          <w:i w:val="1"/>
          <w:iCs w:val="1"/>
          <w:color w:val="auto"/>
        </w:rPr>
        <w:t>.</w:t>
      </w:r>
    </w:p>
    <w:p>
      <w:pPr>
        <w:spacing w:after="0" w:line="167" w:lineRule="exact"/>
        <w:rPr>
          <w:sz w:val="20"/>
          <w:szCs w:val="20"/>
          <w:color w:val="auto"/>
        </w:rPr>
      </w:pPr>
    </w:p>
    <w:p>
      <w:pPr>
        <w:ind w:right="160"/>
        <w:spacing w:after="0" w:line="274" w:lineRule="auto"/>
        <w:rPr>
          <w:sz w:val="20"/>
          <w:szCs w:val="20"/>
          <w:color w:val="auto"/>
        </w:rPr>
      </w:pPr>
      <w:r>
        <w:rPr>
          <w:rFonts w:ascii="Arial" w:cs="Arial" w:eastAsia="Arial" w:hAnsi="Arial"/>
          <w:sz w:val="13"/>
          <w:szCs w:val="13"/>
          <w:color w:val="auto"/>
        </w:rPr>
        <w:t>Because this is a “best efforts” offering with no minimum, we will have access to any funds tendered. This might mean that any investment made could be the only investment in this offering, leaving the company without adequate capital to pursue its business plan or even to cover the expenses of this offering.</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The Company may apply the proceeds of this offering to uses that differ from what is currently contemplated and with which you may disagree.</w:t>
      </w:r>
    </w:p>
    <w:p>
      <w:pPr>
        <w:spacing w:after="0" w:line="167" w:lineRule="exact"/>
        <w:rPr>
          <w:sz w:val="20"/>
          <w:szCs w:val="20"/>
          <w:color w:val="auto"/>
        </w:rPr>
      </w:pPr>
    </w:p>
    <w:p>
      <w:pPr>
        <w:ind w:right="160"/>
        <w:spacing w:after="0" w:line="262" w:lineRule="auto"/>
        <w:rPr>
          <w:sz w:val="20"/>
          <w:szCs w:val="20"/>
          <w:color w:val="auto"/>
        </w:rPr>
      </w:pPr>
      <w:r>
        <w:rPr>
          <w:rFonts w:ascii="Arial" w:cs="Arial" w:eastAsia="Arial" w:hAnsi="Arial"/>
          <w:sz w:val="13"/>
          <w:szCs w:val="13"/>
          <w:color w:val="auto"/>
        </w:rPr>
        <w:t>We will have broad discretion as to how to spend the proceeds from this offering and may spend these proceeds in ways in which you may not agree. We currently intend to use the proceeds of this offering to fund further expansion and for other working capital and general corporate purposes. While we expect to use the proceeds of this offering as described in this memorandum, we may use our remaining cash for other purposes. We cannot assure that any investment of the proceeds will yield a favorable return, or any return at all.</w:t>
      </w:r>
    </w:p>
    <w:p>
      <w:pPr>
        <w:spacing w:after="0" w:line="293" w:lineRule="exact"/>
        <w:rPr>
          <w:sz w:val="20"/>
          <w:szCs w:val="20"/>
          <w:color w:val="auto"/>
        </w:rPr>
      </w:pPr>
    </w:p>
    <w:p>
      <w:pPr>
        <w:jc w:val="center"/>
        <w:ind w:right="-79"/>
        <w:spacing w:after="0"/>
        <w:rPr>
          <w:sz w:val="20"/>
          <w:szCs w:val="20"/>
          <w:color w:val="auto"/>
        </w:rPr>
      </w:pPr>
      <w:r>
        <w:rPr>
          <w:rFonts w:ascii="Arial" w:cs="Arial" w:eastAsia="Arial" w:hAnsi="Arial"/>
          <w:sz w:val="13"/>
          <w:szCs w:val="13"/>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40"/>
          </w:cols>
          <w:pgMar w:left="300" w:top="694" w:right="359" w:bottom="1440" w:gutter="0" w:footer="0" w:header="0"/>
        </w:sectPr>
      </w:pPr>
    </w:p>
    <w:bookmarkStart w:id="17" w:name="page18"/>
    <w:bookmarkEnd w:id="17"/>
    <w:p>
      <w:pPr>
        <w:spacing w:after="0"/>
        <w:rPr>
          <w:sz w:val="20"/>
          <w:szCs w:val="20"/>
          <w:color w:val="auto"/>
        </w:rPr>
      </w:pPr>
      <w:r>
        <w:rPr>
          <w:rFonts w:ascii="Arial" w:cs="Arial" w:eastAsia="Arial" w:hAnsi="Arial"/>
          <w:sz w:val="13"/>
          <w:szCs w:val="13"/>
          <w:b w:val="1"/>
          <w:bCs w:val="1"/>
          <w:color w:val="auto"/>
        </w:rPr>
        <w:t>Using a credit card to purchase shares may impact the return on your investment as well as subject you to other risks inherent in this form of payment.</w:t>
      </w:r>
    </w:p>
    <w:p>
      <w:pPr>
        <w:spacing w:after="0" w:line="167" w:lineRule="exact"/>
        <w:rPr>
          <w:sz w:val="20"/>
          <w:szCs w:val="20"/>
          <w:color w:val="auto"/>
        </w:rPr>
      </w:pPr>
    </w:p>
    <w:p>
      <w:pPr>
        <w:ind w:right="40"/>
        <w:spacing w:after="0" w:line="281" w:lineRule="auto"/>
        <w:rPr>
          <w:sz w:val="20"/>
          <w:szCs w:val="20"/>
          <w:color w:val="auto"/>
        </w:rPr>
      </w:pPr>
      <w:r>
        <w:rPr>
          <w:rFonts w:ascii="Arial" w:cs="Arial" w:eastAsia="Arial" w:hAnsi="Arial"/>
          <w:sz w:val="12"/>
          <w:szCs w:val="12"/>
          <w:color w:val="auto"/>
        </w:rPr>
        <w:t>Certain investors in this offering have the option of paying for their investment with a credit card, which is not usual in the traditional investment markets. Transaction fees charged by your credit card company (which can reach 5% of transaction value if considered a cash advance) and interest charged on unpaid card balances (which can reach almost 25% in some states) add to the effective purchase price of the shares you buy. See “Plan of Distribution.” The cost of using a credit card may also increase if you do not make the minimum monthly card payments and incur late fees. Using a credit card is a relatively new form of payment for securities and will subject you to other risks inherent in this form of payment, including that, the failure to make credit card payments (e.g., minimum monthly payments), will damage your credit score and payment by credit card may be more susceptible to abuse than other forms of payment. Moreover, where a third-party payment processor is used, as in this offering, your recovery options in the case of disputes may be limited. The increased costs due to transaction fees and interest may reduce the return on your overall investment in the Shares.</w:t>
      </w:r>
    </w:p>
    <w:p>
      <w:pPr>
        <w:spacing w:after="0" w:line="126"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The Commission’s Office of Investor Education and Advocacy issued an Investor Alert dated February 14, 2018 entitled: “Credit Cards and Investments – A Risky Combination,” which explains these and other risks you may want to consider before using a credit card to pay for your investment in the offering.</w:t>
      </w:r>
    </w:p>
    <w:p>
      <w:pPr>
        <w:spacing w:after="0" w:line="284" w:lineRule="exact"/>
        <w:rPr>
          <w:sz w:val="20"/>
          <w:szCs w:val="20"/>
          <w:color w:val="auto"/>
        </w:rPr>
      </w:pPr>
    </w:p>
    <w:p>
      <w:pPr>
        <w:jc w:val="center"/>
        <w:ind w:right="-79"/>
        <w:spacing w:after="0"/>
        <w:rPr>
          <w:sz w:val="20"/>
          <w:szCs w:val="20"/>
          <w:color w:val="auto"/>
        </w:rPr>
      </w:pPr>
      <w:r>
        <w:rPr>
          <w:rFonts w:ascii="Arial" w:cs="Arial" w:eastAsia="Arial" w:hAnsi="Arial"/>
          <w:sz w:val="13"/>
          <w:szCs w:val="13"/>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40"/>
          </w:cols>
          <w:pgMar w:left="300" w:top="694" w:right="359" w:bottom="1440" w:gutter="0" w:footer="0" w:header="0"/>
        </w:sectPr>
      </w:pPr>
    </w:p>
    <w:bookmarkStart w:id="18" w:name="page19"/>
    <w:bookmarkEnd w:id="18"/>
    <w:p>
      <w:pPr>
        <w:spacing w:after="0"/>
        <w:rPr>
          <w:sz w:val="20"/>
          <w:szCs w:val="20"/>
          <w:color w:val="auto"/>
        </w:rPr>
      </w:pPr>
      <w:r>
        <w:rPr>
          <w:rFonts w:ascii="Arial" w:cs="Arial" w:eastAsia="Arial" w:hAnsi="Arial"/>
          <w:sz w:val="13"/>
          <w:szCs w:val="13"/>
          <w:b w:val="1"/>
          <w:bCs w:val="1"/>
          <w:color w:val="auto"/>
        </w:rPr>
        <w:t>DILUTION</w:t>
      </w:r>
    </w:p>
    <w:p>
      <w:pPr>
        <w:spacing w:after="0" w:line="167" w:lineRule="exact"/>
        <w:rPr>
          <w:sz w:val="20"/>
          <w:szCs w:val="20"/>
          <w:color w:val="auto"/>
        </w:rPr>
      </w:pPr>
    </w:p>
    <w:p>
      <w:pPr>
        <w:spacing w:after="0"/>
        <w:rPr>
          <w:sz w:val="20"/>
          <w:szCs w:val="20"/>
          <w:color w:val="auto"/>
        </w:rPr>
      </w:pPr>
      <w:r>
        <w:rPr>
          <w:rFonts w:ascii="Arial" w:cs="Arial" w:eastAsia="Arial" w:hAnsi="Arial"/>
          <w:sz w:val="12"/>
          <w:szCs w:val="12"/>
          <w:color w:val="auto"/>
        </w:rPr>
        <w:t>The following table presents all of the Company’s issued and outstanding classes of stock, options and warrants as of June 30, 2021 and the assumed sale of all Shares that may be sold in this offering:</w:t>
      </w:r>
    </w:p>
    <w:p>
      <w:pPr>
        <w:spacing w:after="0" w:line="171" w:lineRule="exact"/>
        <w:rPr>
          <w:sz w:val="20"/>
          <w:szCs w:val="20"/>
          <w:color w:val="auto"/>
        </w:rPr>
      </w:pPr>
    </w:p>
    <w:tbl>
      <w:tblPr>
        <w:tblLayout w:type="fixed"/>
        <w:tblInd w:w="0" w:type="dxa"/>
        <w:tblCellMar>
          <w:top w:w="0" w:type="dxa"/>
          <w:left w:w="0" w:type="dxa"/>
          <w:bottom w:w="0" w:type="dxa"/>
          <w:right w:w="0" w:type="dxa"/>
        </w:tblCellMar>
      </w:tblPr>
      <w:tr>
        <w:trPr>
          <w:trHeight w:val="156"/>
        </w:trPr>
        <w:tc>
          <w:tcPr>
            <w:tcW w:w="20" w:type="dxa"/>
            <w:vAlign w:val="bottom"/>
          </w:tcPr>
          <w:p>
            <w:pPr>
              <w:spacing w:after="0"/>
              <w:rPr>
                <w:sz w:val="13"/>
                <w:szCs w:val="13"/>
                <w:color w:val="auto"/>
              </w:rPr>
            </w:pPr>
          </w:p>
        </w:tc>
        <w:tc>
          <w:tcPr>
            <w:tcW w:w="410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320" w:type="dxa"/>
            <w:vAlign w:val="bottom"/>
            <w:gridSpan w:val="2"/>
          </w:tcPr>
          <w:p>
            <w:pPr>
              <w:jc w:val="center"/>
              <w:ind w:right="500"/>
              <w:spacing w:after="0"/>
              <w:rPr>
                <w:sz w:val="20"/>
                <w:szCs w:val="20"/>
                <w:color w:val="auto"/>
              </w:rPr>
            </w:pPr>
            <w:r>
              <w:rPr>
                <w:rFonts w:ascii="Arial" w:cs="Arial" w:eastAsia="Arial" w:hAnsi="Arial"/>
                <w:sz w:val="13"/>
                <w:szCs w:val="13"/>
                <w:b w:val="1"/>
                <w:bCs w:val="1"/>
                <w:color w:val="auto"/>
                <w:w w:val="92"/>
              </w:rPr>
              <w:t>Effective</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320" w:type="dxa"/>
            <w:vAlign w:val="bottom"/>
            <w:gridSpan w:val="2"/>
          </w:tcPr>
          <w:p>
            <w:pPr>
              <w:jc w:val="center"/>
              <w:ind w:right="520"/>
              <w:spacing w:after="0"/>
              <w:rPr>
                <w:sz w:val="20"/>
                <w:szCs w:val="20"/>
                <w:color w:val="auto"/>
              </w:rPr>
            </w:pPr>
            <w:r>
              <w:rPr>
                <w:rFonts w:ascii="Arial" w:cs="Arial" w:eastAsia="Arial" w:hAnsi="Arial"/>
                <w:sz w:val="13"/>
                <w:szCs w:val="13"/>
                <w:b w:val="1"/>
                <w:bCs w:val="1"/>
                <w:color w:val="auto"/>
                <w:w w:val="89"/>
              </w:rPr>
              <w:t>Cash Price</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320" w:type="dxa"/>
            <w:vAlign w:val="bottom"/>
            <w:gridSpan w:val="2"/>
          </w:tcPr>
          <w:p>
            <w:pPr>
              <w:jc w:val="center"/>
              <w:ind w:right="520"/>
              <w:spacing w:after="0"/>
              <w:rPr>
                <w:sz w:val="20"/>
                <w:szCs w:val="20"/>
                <w:color w:val="auto"/>
              </w:rPr>
            </w:pPr>
            <w:r>
              <w:rPr>
                <w:rFonts w:ascii="Arial" w:cs="Arial" w:eastAsia="Arial" w:hAnsi="Arial"/>
                <w:sz w:val="13"/>
                <w:szCs w:val="13"/>
                <w:b w:val="1"/>
                <w:bCs w:val="1"/>
                <w:color w:val="auto"/>
                <w:w w:val="90"/>
              </w:rPr>
              <w:t>per Share at</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320" w:type="dxa"/>
            <w:vAlign w:val="bottom"/>
            <w:gridSpan w:val="2"/>
          </w:tcPr>
          <w:p>
            <w:pPr>
              <w:jc w:val="center"/>
              <w:ind w:right="520"/>
              <w:spacing w:after="0"/>
              <w:rPr>
                <w:sz w:val="20"/>
                <w:szCs w:val="20"/>
                <w:color w:val="auto"/>
              </w:rPr>
            </w:pPr>
            <w:r>
              <w:rPr>
                <w:rFonts w:ascii="Arial" w:cs="Arial" w:eastAsia="Arial" w:hAnsi="Arial"/>
                <w:sz w:val="13"/>
                <w:szCs w:val="13"/>
                <w:b w:val="1"/>
                <w:bCs w:val="1"/>
                <w:color w:val="auto"/>
                <w:w w:val="88"/>
              </w:rPr>
              <w:t>Issuance or</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tcPr>
          <w:p>
            <w:pPr>
              <w:spacing w:after="0"/>
              <w:rPr>
                <w:sz w:val="13"/>
                <w:szCs w:val="13"/>
                <w:color w:val="auto"/>
              </w:rPr>
            </w:pPr>
          </w:p>
        </w:tc>
        <w:tc>
          <w:tcPr>
            <w:tcW w:w="1300" w:type="dxa"/>
            <w:vAlign w:val="bottom"/>
            <w:gridSpan w:val="2"/>
          </w:tcPr>
          <w:p>
            <w:pPr>
              <w:ind w:left="300"/>
              <w:spacing w:after="0"/>
              <w:rPr>
                <w:sz w:val="20"/>
                <w:szCs w:val="20"/>
                <w:color w:val="auto"/>
              </w:rPr>
            </w:pPr>
            <w:r>
              <w:rPr>
                <w:rFonts w:ascii="Arial" w:cs="Arial" w:eastAsia="Arial" w:hAnsi="Arial"/>
                <w:sz w:val="13"/>
                <w:szCs w:val="13"/>
                <w:b w:val="1"/>
                <w:bCs w:val="1"/>
                <w:color w:val="auto"/>
              </w:rPr>
              <w:t>Dates</w:t>
            </w:r>
          </w:p>
        </w:tc>
        <w:tc>
          <w:tcPr>
            <w:tcW w:w="108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460" w:type="dxa"/>
            <w:vAlign w:val="bottom"/>
            <w:gridSpan w:val="2"/>
          </w:tcPr>
          <w:p>
            <w:pPr>
              <w:ind w:left="80"/>
              <w:spacing w:after="0"/>
              <w:rPr>
                <w:sz w:val="20"/>
                <w:szCs w:val="20"/>
                <w:color w:val="auto"/>
              </w:rPr>
            </w:pPr>
            <w:r>
              <w:rPr>
                <w:rFonts w:ascii="Arial" w:cs="Arial" w:eastAsia="Arial" w:hAnsi="Arial"/>
                <w:sz w:val="13"/>
                <w:szCs w:val="13"/>
                <w:b w:val="1"/>
                <w:bCs w:val="1"/>
                <w:color w:val="auto"/>
              </w:rPr>
              <w:t>Total Issued and</w:t>
            </w:r>
          </w:p>
        </w:tc>
        <w:tc>
          <w:tcPr>
            <w:tcW w:w="120" w:type="dxa"/>
            <w:vAlign w:val="bottom"/>
          </w:tcPr>
          <w:p>
            <w:pPr>
              <w:spacing w:after="0"/>
              <w:rPr>
                <w:sz w:val="13"/>
                <w:szCs w:val="13"/>
                <w:color w:val="auto"/>
              </w:rPr>
            </w:pPr>
          </w:p>
        </w:tc>
        <w:tc>
          <w:tcPr>
            <w:tcW w:w="1320" w:type="dxa"/>
            <w:vAlign w:val="bottom"/>
            <w:gridSpan w:val="2"/>
          </w:tcPr>
          <w:p>
            <w:pPr>
              <w:jc w:val="center"/>
              <w:ind w:right="500"/>
              <w:spacing w:after="0"/>
              <w:rPr>
                <w:sz w:val="20"/>
                <w:szCs w:val="20"/>
                <w:color w:val="auto"/>
              </w:rPr>
            </w:pPr>
            <w:r>
              <w:rPr>
                <w:rFonts w:ascii="Arial" w:cs="Arial" w:eastAsia="Arial" w:hAnsi="Arial"/>
                <w:sz w:val="13"/>
                <w:szCs w:val="13"/>
                <w:b w:val="1"/>
                <w:bCs w:val="1"/>
                <w:color w:val="auto"/>
                <w:w w:val="90"/>
              </w:rPr>
              <w:t>Potential</w:t>
            </w: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4100" w:type="dxa"/>
            <w:vAlign w:val="bottom"/>
            <w:tcBorders>
              <w:bottom w:val="single" w:sz="8" w:color="CCEEFF"/>
            </w:tcBorders>
          </w:tcPr>
          <w:p>
            <w:pPr>
              <w:spacing w:after="0"/>
              <w:rPr>
                <w:sz w:val="14"/>
                <w:szCs w:val="14"/>
                <w:color w:val="auto"/>
              </w:rPr>
            </w:pPr>
          </w:p>
        </w:tc>
        <w:tc>
          <w:tcPr>
            <w:tcW w:w="960" w:type="dxa"/>
            <w:vAlign w:val="bottom"/>
            <w:tcBorders>
              <w:bottom w:val="single" w:sz="8" w:color="auto"/>
            </w:tcBorders>
          </w:tcPr>
          <w:p>
            <w:pPr>
              <w:ind w:left="300"/>
              <w:spacing w:after="0"/>
              <w:rPr>
                <w:sz w:val="20"/>
                <w:szCs w:val="20"/>
                <w:color w:val="auto"/>
              </w:rPr>
            </w:pPr>
            <w:r>
              <w:rPr>
                <w:rFonts w:ascii="Arial" w:cs="Arial" w:eastAsia="Arial" w:hAnsi="Arial"/>
                <w:sz w:val="13"/>
                <w:szCs w:val="13"/>
                <w:b w:val="1"/>
                <w:bCs w:val="1"/>
                <w:color w:val="auto"/>
              </w:rPr>
              <w:t>Issued</w:t>
            </w:r>
          </w:p>
        </w:tc>
        <w:tc>
          <w:tcPr>
            <w:tcW w:w="340" w:type="dxa"/>
            <w:vAlign w:val="bottom"/>
            <w:tcBorders>
              <w:bottom w:val="single" w:sz="8" w:color="CCEEFF"/>
            </w:tcBorders>
          </w:tcPr>
          <w:p>
            <w:pPr>
              <w:spacing w:after="0"/>
              <w:rPr>
                <w:sz w:val="14"/>
                <w:szCs w:val="14"/>
                <w:color w:val="auto"/>
              </w:rPr>
            </w:pPr>
          </w:p>
        </w:tc>
        <w:tc>
          <w:tcPr>
            <w:tcW w:w="1080" w:type="dxa"/>
            <w:vAlign w:val="bottom"/>
            <w:tcBorders>
              <w:bottom w:val="single" w:sz="8" w:color="auto"/>
            </w:tcBorders>
          </w:tcPr>
          <w:p>
            <w:pPr>
              <w:jc w:val="right"/>
              <w:ind w:right="95"/>
              <w:spacing w:after="0"/>
              <w:rPr>
                <w:sz w:val="20"/>
                <w:szCs w:val="20"/>
                <w:color w:val="auto"/>
              </w:rPr>
            </w:pPr>
            <w:r>
              <w:rPr>
                <w:rFonts w:ascii="Arial" w:cs="Arial" w:eastAsia="Arial" w:hAnsi="Arial"/>
                <w:sz w:val="13"/>
                <w:szCs w:val="13"/>
                <w:b w:val="1"/>
                <w:bCs w:val="1"/>
                <w:color w:val="auto"/>
              </w:rPr>
              <w:t>Issued Shares</w:t>
            </w:r>
          </w:p>
        </w:tc>
        <w:tc>
          <w:tcPr>
            <w:tcW w:w="380" w:type="dxa"/>
            <w:vAlign w:val="bottom"/>
            <w:tcBorders>
              <w:bottom w:val="single" w:sz="8" w:color="CCEEFF"/>
            </w:tcBorders>
          </w:tcPr>
          <w:p>
            <w:pPr>
              <w:spacing w:after="0"/>
              <w:rPr>
                <w:sz w:val="14"/>
                <w:szCs w:val="14"/>
                <w:color w:val="auto"/>
              </w:rPr>
            </w:pPr>
          </w:p>
        </w:tc>
        <w:tc>
          <w:tcPr>
            <w:tcW w:w="1080" w:type="dxa"/>
            <w:vAlign w:val="bottom"/>
            <w:tcBorders>
              <w:bottom w:val="single" w:sz="8" w:color="auto"/>
            </w:tcBorders>
          </w:tcPr>
          <w:p>
            <w:pPr>
              <w:jc w:val="right"/>
              <w:ind w:right="15"/>
              <w:spacing w:after="0"/>
              <w:rPr>
                <w:sz w:val="20"/>
                <w:szCs w:val="20"/>
                <w:color w:val="auto"/>
              </w:rPr>
            </w:pPr>
            <w:r>
              <w:rPr>
                <w:rFonts w:ascii="Arial" w:cs="Arial" w:eastAsia="Arial" w:hAnsi="Arial"/>
                <w:sz w:val="13"/>
                <w:szCs w:val="13"/>
                <w:b w:val="1"/>
                <w:bCs w:val="1"/>
                <w:color w:val="auto"/>
                <w:w w:val="96"/>
              </w:rPr>
              <w:t>Potential Shares</w:t>
            </w:r>
          </w:p>
        </w:tc>
        <w:tc>
          <w:tcPr>
            <w:tcW w:w="420" w:type="dxa"/>
            <w:vAlign w:val="bottom"/>
            <w:tcBorders>
              <w:bottom w:val="single" w:sz="8" w:color="CCEEFF"/>
            </w:tcBorders>
          </w:tcPr>
          <w:p>
            <w:pPr>
              <w:spacing w:after="0"/>
              <w:rPr>
                <w:sz w:val="14"/>
                <w:szCs w:val="14"/>
                <w:color w:val="auto"/>
              </w:rPr>
            </w:pPr>
          </w:p>
        </w:tc>
        <w:tc>
          <w:tcPr>
            <w:tcW w:w="1100" w:type="dxa"/>
            <w:vAlign w:val="bottom"/>
            <w:tcBorders>
              <w:bottom w:val="single" w:sz="8" w:color="auto"/>
            </w:tcBorders>
          </w:tcPr>
          <w:p>
            <w:pPr>
              <w:jc w:val="right"/>
              <w:spacing w:after="0"/>
              <w:rPr>
                <w:sz w:val="20"/>
                <w:szCs w:val="20"/>
                <w:color w:val="auto"/>
              </w:rPr>
            </w:pPr>
            <w:r>
              <w:rPr>
                <w:rFonts w:ascii="Arial" w:cs="Arial" w:eastAsia="Arial" w:hAnsi="Arial"/>
                <w:sz w:val="13"/>
                <w:szCs w:val="13"/>
                <w:b w:val="1"/>
                <w:bCs w:val="1"/>
                <w:color w:val="auto"/>
                <w:w w:val="87"/>
              </w:rPr>
              <w:t>Potential Shares (7)</w:t>
            </w:r>
          </w:p>
        </w:tc>
        <w:tc>
          <w:tcPr>
            <w:tcW w:w="360" w:type="dxa"/>
            <w:vAlign w:val="bottom"/>
            <w:tcBorders>
              <w:bottom w:val="single" w:sz="8" w:color="CCEEFF"/>
            </w:tcBorders>
          </w:tcPr>
          <w:p>
            <w:pPr>
              <w:spacing w:after="0"/>
              <w:rPr>
                <w:sz w:val="14"/>
                <w:szCs w:val="14"/>
                <w:color w:val="auto"/>
              </w:rPr>
            </w:pPr>
          </w:p>
        </w:tc>
        <w:tc>
          <w:tcPr>
            <w:tcW w:w="120" w:type="dxa"/>
            <w:vAlign w:val="bottom"/>
            <w:tcBorders>
              <w:bottom w:val="single" w:sz="8" w:color="auto"/>
            </w:tcBorders>
          </w:tcPr>
          <w:p>
            <w:pPr>
              <w:spacing w:after="0"/>
              <w:rPr>
                <w:sz w:val="14"/>
                <w:szCs w:val="14"/>
                <w:color w:val="auto"/>
              </w:rPr>
            </w:pPr>
          </w:p>
        </w:tc>
        <w:tc>
          <w:tcPr>
            <w:tcW w:w="960" w:type="dxa"/>
            <w:vAlign w:val="bottom"/>
            <w:tcBorders>
              <w:bottom w:val="single" w:sz="8" w:color="auto"/>
            </w:tcBorders>
          </w:tcPr>
          <w:p>
            <w:pPr>
              <w:ind w:left="100"/>
              <w:spacing w:after="0"/>
              <w:rPr>
                <w:sz w:val="20"/>
                <w:szCs w:val="20"/>
                <w:color w:val="auto"/>
              </w:rPr>
            </w:pPr>
            <w:r>
              <w:rPr>
                <w:rFonts w:ascii="Arial" w:cs="Arial" w:eastAsia="Arial" w:hAnsi="Arial"/>
                <w:sz w:val="13"/>
                <w:szCs w:val="13"/>
                <w:b w:val="1"/>
                <w:bCs w:val="1"/>
                <w:color w:val="auto"/>
              </w:rPr>
              <w:t>Conversion</w:t>
            </w:r>
          </w:p>
        </w:tc>
        <w:tc>
          <w:tcPr>
            <w:tcW w:w="360" w:type="dxa"/>
            <w:vAlign w:val="bottom"/>
            <w:tcBorders>
              <w:bottom w:val="single" w:sz="8" w:color="CCEEFF"/>
            </w:tcBorders>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4100" w:type="dxa"/>
            <w:vAlign w:val="bottom"/>
            <w:shd w:val="clear" w:color="auto" w:fill="CCEEFF"/>
          </w:tcPr>
          <w:p>
            <w:pPr>
              <w:spacing w:after="0" w:line="146" w:lineRule="exact"/>
              <w:rPr>
                <w:sz w:val="20"/>
                <w:szCs w:val="20"/>
                <w:color w:val="auto"/>
              </w:rPr>
            </w:pPr>
            <w:r>
              <w:rPr>
                <w:rFonts w:ascii="Arial" w:cs="Arial" w:eastAsia="Arial" w:hAnsi="Arial"/>
                <w:sz w:val="13"/>
                <w:szCs w:val="13"/>
                <w:color w:val="auto"/>
              </w:rPr>
              <w:t>Class B Common Stock</w:t>
            </w:r>
          </w:p>
        </w:tc>
        <w:tc>
          <w:tcPr>
            <w:tcW w:w="96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2013-2020</w:t>
            </w:r>
          </w:p>
        </w:tc>
        <w:tc>
          <w:tcPr>
            <w:tcW w:w="340" w:type="dxa"/>
            <w:vAlign w:val="bottom"/>
            <w:shd w:val="clear" w:color="auto" w:fill="CCEEFF"/>
          </w:tcPr>
          <w:p>
            <w:pPr>
              <w:spacing w:after="0"/>
              <w:rPr>
                <w:sz w:val="12"/>
                <w:szCs w:val="12"/>
                <w:color w:val="auto"/>
              </w:rPr>
            </w:pPr>
          </w:p>
        </w:tc>
        <w:tc>
          <w:tcPr>
            <w:tcW w:w="108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10,189,000</w:t>
            </w:r>
          </w:p>
        </w:tc>
        <w:tc>
          <w:tcPr>
            <w:tcW w:w="380" w:type="dxa"/>
            <w:vAlign w:val="bottom"/>
            <w:shd w:val="clear" w:color="auto" w:fill="CCEEFF"/>
          </w:tcPr>
          <w:p>
            <w:pPr>
              <w:spacing w:after="0"/>
              <w:rPr>
                <w:sz w:val="12"/>
                <w:szCs w:val="12"/>
                <w:color w:val="auto"/>
              </w:rPr>
            </w:pPr>
          </w:p>
        </w:tc>
        <w:tc>
          <w:tcPr>
            <w:tcW w:w="1080" w:type="dxa"/>
            <w:vAlign w:val="bottom"/>
            <w:shd w:val="clear" w:color="auto" w:fill="CCEEFF"/>
          </w:tcPr>
          <w:p>
            <w:pPr>
              <w:spacing w:after="0"/>
              <w:rPr>
                <w:sz w:val="12"/>
                <w:szCs w:val="12"/>
                <w:color w:val="auto"/>
              </w:rPr>
            </w:pPr>
          </w:p>
        </w:tc>
        <w:tc>
          <w:tcPr>
            <w:tcW w:w="420" w:type="dxa"/>
            <w:vAlign w:val="bottom"/>
            <w:shd w:val="clear" w:color="auto" w:fill="CCEEFF"/>
          </w:tcPr>
          <w:p>
            <w:pPr>
              <w:spacing w:after="0"/>
              <w:rPr>
                <w:sz w:val="12"/>
                <w:szCs w:val="12"/>
                <w:color w:val="auto"/>
              </w:rPr>
            </w:pPr>
          </w:p>
        </w:tc>
        <w:tc>
          <w:tcPr>
            <w:tcW w:w="110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10,189,000</w:t>
            </w:r>
          </w:p>
        </w:tc>
        <w:tc>
          <w:tcPr>
            <w:tcW w:w="360" w:type="dxa"/>
            <w:vAlign w:val="bottom"/>
            <w:shd w:val="clear" w:color="auto" w:fill="CCEEFF"/>
          </w:tcPr>
          <w:p>
            <w:pPr>
              <w:spacing w:after="0"/>
              <w:rPr>
                <w:sz w:val="12"/>
                <w:szCs w:val="12"/>
                <w:color w:val="auto"/>
              </w:rPr>
            </w:pPr>
          </w:p>
        </w:tc>
        <w:tc>
          <w:tcPr>
            <w:tcW w:w="120" w:type="dxa"/>
            <w:vAlign w:val="bottom"/>
            <w:shd w:val="clear" w:color="auto" w:fill="CCEEFF"/>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shd w:val="clear" w:color="auto" w:fill="CCEEFF"/>
          </w:tcPr>
          <w:p>
            <w:pPr>
              <w:jc w:val="right"/>
              <w:ind w:right="200"/>
              <w:spacing w:after="0" w:line="147" w:lineRule="exact"/>
              <w:rPr>
                <w:sz w:val="20"/>
                <w:szCs w:val="20"/>
                <w:color w:val="auto"/>
              </w:rPr>
            </w:pPr>
            <w:r>
              <w:rPr>
                <w:rFonts w:ascii="Arial" w:cs="Arial" w:eastAsia="Arial" w:hAnsi="Arial"/>
                <w:sz w:val="13"/>
                <w:szCs w:val="13"/>
                <w:color w:val="auto"/>
              </w:rPr>
              <w:t>0.0038(1)</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tcPr>
          <w:p>
            <w:pPr>
              <w:spacing w:after="0"/>
              <w:rPr>
                <w:sz w:val="20"/>
                <w:szCs w:val="20"/>
                <w:color w:val="auto"/>
              </w:rPr>
            </w:pPr>
            <w:r>
              <w:rPr>
                <w:rFonts w:ascii="Arial" w:cs="Arial" w:eastAsia="Arial" w:hAnsi="Arial"/>
                <w:sz w:val="13"/>
                <w:szCs w:val="13"/>
                <w:color w:val="auto"/>
              </w:rPr>
              <w:t>Series A Preferred Stock</w:t>
            </w:r>
          </w:p>
        </w:tc>
        <w:tc>
          <w:tcPr>
            <w:tcW w:w="960" w:type="dxa"/>
            <w:vAlign w:val="bottom"/>
          </w:tcPr>
          <w:p>
            <w:pPr>
              <w:jc w:val="right"/>
              <w:spacing w:after="0"/>
              <w:rPr>
                <w:sz w:val="20"/>
                <w:szCs w:val="20"/>
                <w:color w:val="auto"/>
              </w:rPr>
            </w:pPr>
            <w:r>
              <w:rPr>
                <w:rFonts w:ascii="Arial" w:cs="Arial" w:eastAsia="Arial" w:hAnsi="Arial"/>
                <w:sz w:val="13"/>
                <w:szCs w:val="13"/>
                <w:color w:val="auto"/>
              </w:rPr>
              <w:t>2014-2015</w:t>
            </w:r>
          </w:p>
        </w:tc>
        <w:tc>
          <w:tcPr>
            <w:tcW w:w="340" w:type="dxa"/>
            <w:vAlign w:val="bottom"/>
          </w:tcPr>
          <w:p>
            <w:pPr>
              <w:spacing w:after="0"/>
              <w:rPr>
                <w:sz w:val="13"/>
                <w:szCs w:val="13"/>
                <w:color w:val="auto"/>
              </w:rPr>
            </w:pPr>
          </w:p>
        </w:tc>
        <w:tc>
          <w:tcPr>
            <w:tcW w:w="1460" w:type="dxa"/>
            <w:vAlign w:val="bottom"/>
            <w:gridSpan w:val="2"/>
          </w:tcPr>
          <w:p>
            <w:pPr>
              <w:jc w:val="right"/>
              <w:ind w:right="380"/>
              <w:spacing w:after="0"/>
              <w:rPr>
                <w:sz w:val="20"/>
                <w:szCs w:val="20"/>
                <w:color w:val="auto"/>
              </w:rPr>
            </w:pPr>
            <w:r>
              <w:rPr>
                <w:rFonts w:ascii="Arial" w:cs="Arial" w:eastAsia="Arial" w:hAnsi="Arial"/>
                <w:sz w:val="13"/>
                <w:szCs w:val="13"/>
                <w:color w:val="auto"/>
              </w:rPr>
              <w:t>4,200,889</w:t>
            </w:r>
          </w:p>
        </w:tc>
        <w:tc>
          <w:tcPr>
            <w:tcW w:w="108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4,200,889</w:t>
            </w:r>
          </w:p>
        </w:tc>
        <w:tc>
          <w:tcPr>
            <w:tcW w:w="360" w:type="dxa"/>
            <w:vAlign w:val="bottom"/>
          </w:tcPr>
          <w:p>
            <w:pPr>
              <w:spacing w:after="0"/>
              <w:rPr>
                <w:sz w:val="13"/>
                <w:szCs w:val="13"/>
                <w:color w:val="auto"/>
              </w:rPr>
            </w:pPr>
          </w:p>
        </w:tc>
        <w:tc>
          <w:tcPr>
            <w:tcW w:w="120" w:type="dxa"/>
            <w:vAlign w:val="bottom"/>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tcPr>
          <w:p>
            <w:pPr>
              <w:jc w:val="right"/>
              <w:ind w:right="360"/>
              <w:spacing w:after="0"/>
              <w:rPr>
                <w:sz w:val="20"/>
                <w:szCs w:val="20"/>
                <w:color w:val="auto"/>
              </w:rPr>
            </w:pPr>
            <w:r>
              <w:rPr>
                <w:rFonts w:ascii="Arial" w:cs="Arial" w:eastAsia="Arial" w:hAnsi="Arial"/>
                <w:sz w:val="13"/>
                <w:szCs w:val="13"/>
                <w:color w:val="auto"/>
              </w:rPr>
              <w:t>0.8932</w:t>
            </w:r>
          </w:p>
        </w:tc>
        <w:tc>
          <w:tcPr>
            <w:tcW w:w="0" w:type="dxa"/>
            <w:vAlign w:val="bottom"/>
          </w:tcPr>
          <w:p>
            <w:pPr>
              <w:spacing w:after="0"/>
              <w:rPr>
                <w:sz w:val="1"/>
                <w:szCs w:val="1"/>
                <w:color w:val="auto"/>
              </w:rPr>
            </w:pPr>
          </w:p>
        </w:tc>
      </w:tr>
      <w:tr>
        <w:trPr>
          <w:trHeight w:val="148"/>
        </w:trPr>
        <w:tc>
          <w:tcPr>
            <w:tcW w:w="20" w:type="dxa"/>
            <w:vAlign w:val="bottom"/>
          </w:tcPr>
          <w:p>
            <w:pPr>
              <w:spacing w:after="0"/>
              <w:rPr>
                <w:sz w:val="12"/>
                <w:szCs w:val="12"/>
                <w:color w:val="auto"/>
              </w:rPr>
            </w:pPr>
          </w:p>
        </w:tc>
        <w:tc>
          <w:tcPr>
            <w:tcW w:w="4100" w:type="dxa"/>
            <w:vAlign w:val="bottom"/>
            <w:shd w:val="clear" w:color="auto" w:fill="CCEEFF"/>
          </w:tcPr>
          <w:p>
            <w:pPr>
              <w:spacing w:after="0" w:line="148" w:lineRule="exact"/>
              <w:rPr>
                <w:sz w:val="20"/>
                <w:szCs w:val="20"/>
                <w:color w:val="auto"/>
              </w:rPr>
            </w:pPr>
            <w:r>
              <w:rPr>
                <w:rFonts w:ascii="Arial" w:cs="Arial" w:eastAsia="Arial" w:hAnsi="Arial"/>
                <w:sz w:val="13"/>
                <w:szCs w:val="13"/>
                <w:color w:val="auto"/>
              </w:rPr>
              <w:t>Series A Preferred Stock (issued in exchange for conversion of</w:t>
            </w:r>
          </w:p>
        </w:tc>
        <w:tc>
          <w:tcPr>
            <w:tcW w:w="960" w:type="dxa"/>
            <w:vAlign w:val="bottom"/>
            <w:shd w:val="clear" w:color="auto" w:fill="CCEEFF"/>
          </w:tcPr>
          <w:p>
            <w:pPr>
              <w:spacing w:after="0"/>
              <w:rPr>
                <w:sz w:val="12"/>
                <w:szCs w:val="12"/>
                <w:color w:val="auto"/>
              </w:rPr>
            </w:pPr>
          </w:p>
        </w:tc>
        <w:tc>
          <w:tcPr>
            <w:tcW w:w="340" w:type="dxa"/>
            <w:vAlign w:val="bottom"/>
            <w:shd w:val="clear" w:color="auto" w:fill="CCEEFF"/>
          </w:tcPr>
          <w:p>
            <w:pPr>
              <w:spacing w:after="0"/>
              <w:rPr>
                <w:sz w:val="12"/>
                <w:szCs w:val="12"/>
                <w:color w:val="auto"/>
              </w:rPr>
            </w:pPr>
          </w:p>
        </w:tc>
        <w:tc>
          <w:tcPr>
            <w:tcW w:w="1080" w:type="dxa"/>
            <w:vAlign w:val="bottom"/>
            <w:shd w:val="clear" w:color="auto" w:fill="CCEEFF"/>
          </w:tcPr>
          <w:p>
            <w:pPr>
              <w:spacing w:after="0"/>
              <w:rPr>
                <w:sz w:val="12"/>
                <w:szCs w:val="12"/>
                <w:color w:val="auto"/>
              </w:rPr>
            </w:pPr>
          </w:p>
        </w:tc>
        <w:tc>
          <w:tcPr>
            <w:tcW w:w="380" w:type="dxa"/>
            <w:vAlign w:val="bottom"/>
            <w:shd w:val="clear" w:color="auto" w:fill="CCEEFF"/>
          </w:tcPr>
          <w:p>
            <w:pPr>
              <w:spacing w:after="0"/>
              <w:rPr>
                <w:sz w:val="12"/>
                <w:szCs w:val="12"/>
                <w:color w:val="auto"/>
              </w:rPr>
            </w:pPr>
          </w:p>
        </w:tc>
        <w:tc>
          <w:tcPr>
            <w:tcW w:w="1080" w:type="dxa"/>
            <w:vAlign w:val="bottom"/>
            <w:shd w:val="clear" w:color="auto" w:fill="CCEEFF"/>
          </w:tcPr>
          <w:p>
            <w:pPr>
              <w:spacing w:after="0"/>
              <w:rPr>
                <w:sz w:val="12"/>
                <w:szCs w:val="12"/>
                <w:color w:val="auto"/>
              </w:rPr>
            </w:pPr>
          </w:p>
        </w:tc>
        <w:tc>
          <w:tcPr>
            <w:tcW w:w="420" w:type="dxa"/>
            <w:vAlign w:val="bottom"/>
            <w:shd w:val="clear" w:color="auto" w:fill="CCEEFF"/>
          </w:tcPr>
          <w:p>
            <w:pPr>
              <w:spacing w:after="0"/>
              <w:rPr>
                <w:sz w:val="12"/>
                <w:szCs w:val="12"/>
                <w:color w:val="auto"/>
              </w:rPr>
            </w:pPr>
          </w:p>
        </w:tc>
        <w:tc>
          <w:tcPr>
            <w:tcW w:w="1100" w:type="dxa"/>
            <w:vAlign w:val="bottom"/>
            <w:shd w:val="clear" w:color="auto" w:fill="CCEEFF"/>
          </w:tcPr>
          <w:p>
            <w:pPr>
              <w:spacing w:after="0"/>
              <w:rPr>
                <w:sz w:val="12"/>
                <w:szCs w:val="12"/>
                <w:color w:val="auto"/>
              </w:rPr>
            </w:pPr>
          </w:p>
        </w:tc>
        <w:tc>
          <w:tcPr>
            <w:tcW w:w="3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36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4100" w:type="dxa"/>
            <w:vAlign w:val="bottom"/>
            <w:shd w:val="clear" w:color="auto" w:fill="CCEEFF"/>
          </w:tcPr>
          <w:p>
            <w:pPr>
              <w:spacing w:after="0"/>
              <w:rPr>
                <w:sz w:val="20"/>
                <w:szCs w:val="20"/>
                <w:color w:val="auto"/>
              </w:rPr>
            </w:pPr>
            <w:r>
              <w:rPr>
                <w:rFonts w:ascii="Arial" w:cs="Arial" w:eastAsia="Arial" w:hAnsi="Arial"/>
                <w:sz w:val="13"/>
                <w:szCs w:val="13"/>
                <w:color w:val="auto"/>
              </w:rPr>
              <w:t>convertible notes)</w:t>
            </w: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2014</w:t>
            </w:r>
          </w:p>
        </w:tc>
        <w:tc>
          <w:tcPr>
            <w:tcW w:w="340" w:type="dxa"/>
            <w:vAlign w:val="bottom"/>
            <w:shd w:val="clear" w:color="auto" w:fill="CCEEFF"/>
          </w:tcPr>
          <w:p>
            <w:pPr>
              <w:spacing w:after="0"/>
              <w:rPr>
                <w:sz w:val="14"/>
                <w:szCs w:val="14"/>
                <w:color w:val="auto"/>
              </w:rPr>
            </w:pPr>
          </w:p>
        </w:tc>
        <w:tc>
          <w:tcPr>
            <w:tcW w:w="1460" w:type="dxa"/>
            <w:vAlign w:val="bottom"/>
            <w:gridSpan w:val="2"/>
            <w:shd w:val="clear" w:color="auto" w:fill="CCEEFF"/>
          </w:tcPr>
          <w:p>
            <w:pPr>
              <w:jc w:val="right"/>
              <w:ind w:right="380"/>
              <w:spacing w:after="0"/>
              <w:rPr>
                <w:sz w:val="20"/>
                <w:szCs w:val="20"/>
                <w:color w:val="auto"/>
              </w:rPr>
            </w:pPr>
            <w:r>
              <w:rPr>
                <w:rFonts w:ascii="Arial" w:cs="Arial" w:eastAsia="Arial" w:hAnsi="Arial"/>
                <w:sz w:val="13"/>
                <w:szCs w:val="13"/>
                <w:color w:val="auto"/>
              </w:rPr>
              <w:t>4,735,126</w:t>
            </w:r>
          </w:p>
        </w:tc>
        <w:tc>
          <w:tcPr>
            <w:tcW w:w="1080" w:type="dxa"/>
            <w:vAlign w:val="bottom"/>
            <w:shd w:val="clear" w:color="auto" w:fill="CCEEFF"/>
          </w:tcPr>
          <w:p>
            <w:pPr>
              <w:spacing w:after="0"/>
              <w:rPr>
                <w:sz w:val="14"/>
                <w:szCs w:val="14"/>
                <w:color w:val="auto"/>
              </w:rPr>
            </w:pPr>
          </w:p>
        </w:tc>
        <w:tc>
          <w:tcPr>
            <w:tcW w:w="420" w:type="dxa"/>
            <w:vAlign w:val="bottom"/>
            <w:shd w:val="clear" w:color="auto" w:fill="CCEEFF"/>
          </w:tcPr>
          <w:p>
            <w:pPr>
              <w:spacing w:after="0"/>
              <w:rPr>
                <w:sz w:val="14"/>
                <w:szCs w:val="14"/>
                <w:color w:val="auto"/>
              </w:rPr>
            </w:pPr>
          </w:p>
        </w:tc>
        <w:tc>
          <w:tcPr>
            <w:tcW w:w="11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4,735,126</w:t>
            </w:r>
          </w:p>
        </w:tc>
        <w:tc>
          <w:tcPr>
            <w:tcW w:w="360" w:type="dxa"/>
            <w:vAlign w:val="bottom"/>
            <w:shd w:val="clear" w:color="auto" w:fill="CCEEFF"/>
          </w:tcPr>
          <w:p>
            <w:pPr>
              <w:spacing w:after="0"/>
              <w:rPr>
                <w:sz w:val="14"/>
                <w:szCs w:val="14"/>
                <w:color w:val="auto"/>
              </w:rPr>
            </w:pPr>
          </w:p>
        </w:tc>
        <w:tc>
          <w:tcPr>
            <w:tcW w:w="120" w:type="dxa"/>
            <w:vAlign w:val="bottom"/>
            <w:shd w:val="clear" w:color="auto" w:fill="CCEEFF"/>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shd w:val="clear" w:color="auto" w:fill="CCEEFF"/>
          </w:tcPr>
          <w:p>
            <w:pPr>
              <w:jc w:val="right"/>
              <w:ind w:right="200"/>
              <w:spacing w:after="0"/>
              <w:rPr>
                <w:sz w:val="20"/>
                <w:szCs w:val="20"/>
                <w:color w:val="auto"/>
              </w:rPr>
            </w:pPr>
            <w:r>
              <w:rPr>
                <w:rFonts w:ascii="Arial" w:cs="Arial" w:eastAsia="Arial" w:hAnsi="Arial"/>
                <w:sz w:val="13"/>
                <w:szCs w:val="13"/>
                <w:color w:val="auto"/>
              </w:rPr>
              <w:t>0.3317(2)</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tcPr>
          <w:p>
            <w:pPr>
              <w:spacing w:after="0"/>
              <w:rPr>
                <w:sz w:val="20"/>
                <w:szCs w:val="20"/>
                <w:color w:val="auto"/>
              </w:rPr>
            </w:pPr>
            <w:r>
              <w:rPr>
                <w:rFonts w:ascii="Arial" w:cs="Arial" w:eastAsia="Arial" w:hAnsi="Arial"/>
                <w:sz w:val="13"/>
                <w:szCs w:val="13"/>
                <w:color w:val="auto"/>
              </w:rPr>
              <w:t>Series B Preferred Stock</w:t>
            </w:r>
          </w:p>
        </w:tc>
        <w:tc>
          <w:tcPr>
            <w:tcW w:w="960" w:type="dxa"/>
            <w:vAlign w:val="bottom"/>
          </w:tcPr>
          <w:p>
            <w:pPr>
              <w:jc w:val="right"/>
              <w:spacing w:after="0"/>
              <w:rPr>
                <w:sz w:val="20"/>
                <w:szCs w:val="20"/>
                <w:color w:val="auto"/>
              </w:rPr>
            </w:pPr>
            <w:r>
              <w:rPr>
                <w:rFonts w:ascii="Arial" w:cs="Arial" w:eastAsia="Arial" w:hAnsi="Arial"/>
                <w:sz w:val="13"/>
                <w:szCs w:val="13"/>
                <w:color w:val="auto"/>
              </w:rPr>
              <w:t>2015-2016</w:t>
            </w:r>
          </w:p>
        </w:tc>
        <w:tc>
          <w:tcPr>
            <w:tcW w:w="340" w:type="dxa"/>
            <w:vAlign w:val="bottom"/>
          </w:tcPr>
          <w:p>
            <w:pPr>
              <w:spacing w:after="0"/>
              <w:rPr>
                <w:sz w:val="13"/>
                <w:szCs w:val="13"/>
                <w:color w:val="auto"/>
              </w:rPr>
            </w:pPr>
          </w:p>
        </w:tc>
        <w:tc>
          <w:tcPr>
            <w:tcW w:w="1460" w:type="dxa"/>
            <w:vAlign w:val="bottom"/>
            <w:gridSpan w:val="2"/>
          </w:tcPr>
          <w:p>
            <w:pPr>
              <w:jc w:val="right"/>
              <w:ind w:right="380"/>
              <w:spacing w:after="0"/>
              <w:rPr>
                <w:sz w:val="20"/>
                <w:szCs w:val="20"/>
                <w:color w:val="auto"/>
              </w:rPr>
            </w:pPr>
            <w:r>
              <w:rPr>
                <w:rFonts w:ascii="Arial" w:cs="Arial" w:eastAsia="Arial" w:hAnsi="Arial"/>
                <w:sz w:val="13"/>
                <w:szCs w:val="13"/>
                <w:color w:val="auto"/>
              </w:rPr>
              <w:t>4,322,005</w:t>
            </w:r>
          </w:p>
        </w:tc>
        <w:tc>
          <w:tcPr>
            <w:tcW w:w="108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4,322,005</w:t>
            </w:r>
          </w:p>
        </w:tc>
        <w:tc>
          <w:tcPr>
            <w:tcW w:w="360" w:type="dxa"/>
            <w:vAlign w:val="bottom"/>
          </w:tcPr>
          <w:p>
            <w:pPr>
              <w:spacing w:after="0"/>
              <w:rPr>
                <w:sz w:val="13"/>
                <w:szCs w:val="13"/>
                <w:color w:val="auto"/>
              </w:rPr>
            </w:pPr>
          </w:p>
        </w:tc>
        <w:tc>
          <w:tcPr>
            <w:tcW w:w="120" w:type="dxa"/>
            <w:vAlign w:val="bottom"/>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tcPr>
          <w:p>
            <w:pPr>
              <w:jc w:val="right"/>
              <w:ind w:right="360"/>
              <w:spacing w:after="0"/>
              <w:rPr>
                <w:sz w:val="20"/>
                <w:szCs w:val="20"/>
                <w:color w:val="auto"/>
              </w:rPr>
            </w:pPr>
            <w:r>
              <w:rPr>
                <w:rFonts w:ascii="Arial" w:cs="Arial" w:eastAsia="Arial" w:hAnsi="Arial"/>
                <w:sz w:val="13"/>
                <w:szCs w:val="13"/>
                <w:color w:val="auto"/>
              </w:rPr>
              <w:t>2.0401</w:t>
            </w:r>
          </w:p>
        </w:tc>
        <w:tc>
          <w:tcPr>
            <w:tcW w:w="0" w:type="dxa"/>
            <w:vAlign w:val="bottom"/>
          </w:tcPr>
          <w:p>
            <w:pPr>
              <w:spacing w:after="0"/>
              <w:rPr>
                <w:sz w:val="1"/>
                <w:szCs w:val="1"/>
                <w:color w:val="auto"/>
              </w:rPr>
            </w:pPr>
          </w:p>
        </w:tc>
      </w:tr>
      <w:tr>
        <w:trPr>
          <w:trHeight w:val="148"/>
        </w:trPr>
        <w:tc>
          <w:tcPr>
            <w:tcW w:w="20" w:type="dxa"/>
            <w:vAlign w:val="bottom"/>
          </w:tcPr>
          <w:p>
            <w:pPr>
              <w:spacing w:after="0"/>
              <w:rPr>
                <w:sz w:val="12"/>
                <w:szCs w:val="12"/>
                <w:color w:val="auto"/>
              </w:rPr>
            </w:pPr>
          </w:p>
        </w:tc>
        <w:tc>
          <w:tcPr>
            <w:tcW w:w="4100" w:type="dxa"/>
            <w:vAlign w:val="bottom"/>
            <w:shd w:val="clear" w:color="auto" w:fill="CCEEFF"/>
          </w:tcPr>
          <w:p>
            <w:pPr>
              <w:spacing w:after="0" w:line="148" w:lineRule="exact"/>
              <w:rPr>
                <w:sz w:val="20"/>
                <w:szCs w:val="20"/>
                <w:color w:val="auto"/>
              </w:rPr>
            </w:pPr>
            <w:r>
              <w:rPr>
                <w:rFonts w:ascii="Arial" w:cs="Arial" w:eastAsia="Arial" w:hAnsi="Arial"/>
                <w:sz w:val="13"/>
                <w:szCs w:val="13"/>
                <w:color w:val="auto"/>
              </w:rPr>
              <w:t>Series B Preferred Stock (issued in exchange for conversion of</w:t>
            </w:r>
          </w:p>
        </w:tc>
        <w:tc>
          <w:tcPr>
            <w:tcW w:w="960" w:type="dxa"/>
            <w:vAlign w:val="bottom"/>
            <w:shd w:val="clear" w:color="auto" w:fill="CCEEFF"/>
          </w:tcPr>
          <w:p>
            <w:pPr>
              <w:spacing w:after="0"/>
              <w:rPr>
                <w:sz w:val="12"/>
                <w:szCs w:val="12"/>
                <w:color w:val="auto"/>
              </w:rPr>
            </w:pPr>
          </w:p>
        </w:tc>
        <w:tc>
          <w:tcPr>
            <w:tcW w:w="340" w:type="dxa"/>
            <w:vAlign w:val="bottom"/>
            <w:shd w:val="clear" w:color="auto" w:fill="CCEEFF"/>
          </w:tcPr>
          <w:p>
            <w:pPr>
              <w:spacing w:after="0"/>
              <w:rPr>
                <w:sz w:val="12"/>
                <w:szCs w:val="12"/>
                <w:color w:val="auto"/>
              </w:rPr>
            </w:pPr>
          </w:p>
        </w:tc>
        <w:tc>
          <w:tcPr>
            <w:tcW w:w="1080" w:type="dxa"/>
            <w:vAlign w:val="bottom"/>
            <w:shd w:val="clear" w:color="auto" w:fill="CCEEFF"/>
          </w:tcPr>
          <w:p>
            <w:pPr>
              <w:spacing w:after="0"/>
              <w:rPr>
                <w:sz w:val="12"/>
                <w:szCs w:val="12"/>
                <w:color w:val="auto"/>
              </w:rPr>
            </w:pPr>
          </w:p>
        </w:tc>
        <w:tc>
          <w:tcPr>
            <w:tcW w:w="380" w:type="dxa"/>
            <w:vAlign w:val="bottom"/>
            <w:shd w:val="clear" w:color="auto" w:fill="CCEEFF"/>
          </w:tcPr>
          <w:p>
            <w:pPr>
              <w:spacing w:after="0"/>
              <w:rPr>
                <w:sz w:val="12"/>
                <w:szCs w:val="12"/>
                <w:color w:val="auto"/>
              </w:rPr>
            </w:pPr>
          </w:p>
        </w:tc>
        <w:tc>
          <w:tcPr>
            <w:tcW w:w="1080" w:type="dxa"/>
            <w:vAlign w:val="bottom"/>
            <w:shd w:val="clear" w:color="auto" w:fill="CCEEFF"/>
          </w:tcPr>
          <w:p>
            <w:pPr>
              <w:spacing w:after="0"/>
              <w:rPr>
                <w:sz w:val="12"/>
                <w:szCs w:val="12"/>
                <w:color w:val="auto"/>
              </w:rPr>
            </w:pPr>
          </w:p>
        </w:tc>
        <w:tc>
          <w:tcPr>
            <w:tcW w:w="420" w:type="dxa"/>
            <w:vAlign w:val="bottom"/>
            <w:shd w:val="clear" w:color="auto" w:fill="CCEEFF"/>
          </w:tcPr>
          <w:p>
            <w:pPr>
              <w:spacing w:after="0"/>
              <w:rPr>
                <w:sz w:val="12"/>
                <w:szCs w:val="12"/>
                <w:color w:val="auto"/>
              </w:rPr>
            </w:pPr>
          </w:p>
        </w:tc>
        <w:tc>
          <w:tcPr>
            <w:tcW w:w="1100" w:type="dxa"/>
            <w:vAlign w:val="bottom"/>
            <w:shd w:val="clear" w:color="auto" w:fill="CCEEFF"/>
          </w:tcPr>
          <w:p>
            <w:pPr>
              <w:spacing w:after="0"/>
              <w:rPr>
                <w:sz w:val="12"/>
                <w:szCs w:val="12"/>
                <w:color w:val="auto"/>
              </w:rPr>
            </w:pPr>
          </w:p>
        </w:tc>
        <w:tc>
          <w:tcPr>
            <w:tcW w:w="3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36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4100" w:type="dxa"/>
            <w:vAlign w:val="bottom"/>
            <w:shd w:val="clear" w:color="auto" w:fill="CCEEFF"/>
          </w:tcPr>
          <w:p>
            <w:pPr>
              <w:spacing w:after="0"/>
              <w:rPr>
                <w:sz w:val="20"/>
                <w:szCs w:val="20"/>
                <w:color w:val="auto"/>
              </w:rPr>
            </w:pPr>
            <w:r>
              <w:rPr>
                <w:rFonts w:ascii="Arial" w:cs="Arial" w:eastAsia="Arial" w:hAnsi="Arial"/>
                <w:sz w:val="13"/>
                <w:szCs w:val="13"/>
                <w:color w:val="auto"/>
              </w:rPr>
              <w:t>convertible notes)</w:t>
            </w: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2016</w:t>
            </w:r>
          </w:p>
        </w:tc>
        <w:tc>
          <w:tcPr>
            <w:tcW w:w="340" w:type="dxa"/>
            <w:vAlign w:val="bottom"/>
            <w:shd w:val="clear" w:color="auto" w:fill="CCEEFF"/>
          </w:tcPr>
          <w:p>
            <w:pPr>
              <w:spacing w:after="0"/>
              <w:rPr>
                <w:sz w:val="14"/>
                <w:szCs w:val="14"/>
                <w:color w:val="auto"/>
              </w:rPr>
            </w:pPr>
          </w:p>
        </w:tc>
        <w:tc>
          <w:tcPr>
            <w:tcW w:w="1460" w:type="dxa"/>
            <w:vAlign w:val="bottom"/>
            <w:gridSpan w:val="2"/>
            <w:shd w:val="clear" w:color="auto" w:fill="CCEEFF"/>
          </w:tcPr>
          <w:p>
            <w:pPr>
              <w:jc w:val="right"/>
              <w:ind w:right="380"/>
              <w:spacing w:after="0"/>
              <w:rPr>
                <w:sz w:val="20"/>
                <w:szCs w:val="20"/>
                <w:color w:val="auto"/>
              </w:rPr>
            </w:pPr>
            <w:r>
              <w:rPr>
                <w:rFonts w:ascii="Arial" w:cs="Arial" w:eastAsia="Arial" w:hAnsi="Arial"/>
                <w:sz w:val="13"/>
                <w:szCs w:val="13"/>
                <w:color w:val="auto"/>
              </w:rPr>
              <w:t>331,578</w:t>
            </w:r>
          </w:p>
        </w:tc>
        <w:tc>
          <w:tcPr>
            <w:tcW w:w="1080" w:type="dxa"/>
            <w:vAlign w:val="bottom"/>
            <w:shd w:val="clear" w:color="auto" w:fill="CCEEFF"/>
          </w:tcPr>
          <w:p>
            <w:pPr>
              <w:spacing w:after="0"/>
              <w:rPr>
                <w:sz w:val="14"/>
                <w:szCs w:val="14"/>
                <w:color w:val="auto"/>
              </w:rPr>
            </w:pPr>
          </w:p>
        </w:tc>
        <w:tc>
          <w:tcPr>
            <w:tcW w:w="420" w:type="dxa"/>
            <w:vAlign w:val="bottom"/>
            <w:shd w:val="clear" w:color="auto" w:fill="CCEEFF"/>
          </w:tcPr>
          <w:p>
            <w:pPr>
              <w:spacing w:after="0"/>
              <w:rPr>
                <w:sz w:val="14"/>
                <w:szCs w:val="14"/>
                <w:color w:val="auto"/>
              </w:rPr>
            </w:pPr>
          </w:p>
        </w:tc>
        <w:tc>
          <w:tcPr>
            <w:tcW w:w="11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331,578</w:t>
            </w:r>
          </w:p>
        </w:tc>
        <w:tc>
          <w:tcPr>
            <w:tcW w:w="360" w:type="dxa"/>
            <w:vAlign w:val="bottom"/>
            <w:shd w:val="clear" w:color="auto" w:fill="CCEEFF"/>
          </w:tcPr>
          <w:p>
            <w:pPr>
              <w:spacing w:after="0"/>
              <w:rPr>
                <w:sz w:val="14"/>
                <w:szCs w:val="14"/>
                <w:color w:val="auto"/>
              </w:rPr>
            </w:pPr>
          </w:p>
        </w:tc>
        <w:tc>
          <w:tcPr>
            <w:tcW w:w="120" w:type="dxa"/>
            <w:vAlign w:val="bottom"/>
            <w:shd w:val="clear" w:color="auto" w:fill="CCEEFF"/>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shd w:val="clear" w:color="auto" w:fill="CCEEFF"/>
          </w:tcPr>
          <w:p>
            <w:pPr>
              <w:jc w:val="right"/>
              <w:ind w:right="200"/>
              <w:spacing w:after="0"/>
              <w:rPr>
                <w:sz w:val="20"/>
                <w:szCs w:val="20"/>
                <w:color w:val="auto"/>
              </w:rPr>
            </w:pPr>
            <w:r>
              <w:rPr>
                <w:rFonts w:ascii="Arial" w:cs="Arial" w:eastAsia="Arial" w:hAnsi="Arial"/>
                <w:sz w:val="13"/>
                <w:szCs w:val="13"/>
                <w:color w:val="auto"/>
              </w:rPr>
              <w:t>1.7340(2)</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tcPr>
          <w:p>
            <w:pPr>
              <w:spacing w:after="0"/>
              <w:rPr>
                <w:sz w:val="20"/>
                <w:szCs w:val="20"/>
                <w:color w:val="auto"/>
              </w:rPr>
            </w:pPr>
            <w:r>
              <w:rPr>
                <w:rFonts w:ascii="Arial" w:cs="Arial" w:eastAsia="Arial" w:hAnsi="Arial"/>
                <w:sz w:val="13"/>
                <w:szCs w:val="13"/>
                <w:color w:val="auto"/>
              </w:rPr>
              <w:t>Series m Preferred Stock</w:t>
            </w:r>
          </w:p>
        </w:tc>
        <w:tc>
          <w:tcPr>
            <w:tcW w:w="960" w:type="dxa"/>
            <w:vAlign w:val="bottom"/>
          </w:tcPr>
          <w:p>
            <w:pPr>
              <w:jc w:val="right"/>
              <w:spacing w:after="0"/>
              <w:rPr>
                <w:sz w:val="20"/>
                <w:szCs w:val="20"/>
                <w:color w:val="auto"/>
              </w:rPr>
            </w:pPr>
            <w:r>
              <w:rPr>
                <w:rFonts w:ascii="Arial" w:cs="Arial" w:eastAsia="Arial" w:hAnsi="Arial"/>
                <w:sz w:val="13"/>
                <w:szCs w:val="13"/>
                <w:color w:val="auto"/>
              </w:rPr>
              <w:t>2017</w:t>
            </w:r>
          </w:p>
        </w:tc>
        <w:tc>
          <w:tcPr>
            <w:tcW w:w="340" w:type="dxa"/>
            <w:vAlign w:val="bottom"/>
          </w:tcPr>
          <w:p>
            <w:pPr>
              <w:spacing w:after="0"/>
              <w:rPr>
                <w:sz w:val="13"/>
                <w:szCs w:val="13"/>
                <w:color w:val="auto"/>
              </w:rPr>
            </w:pPr>
          </w:p>
        </w:tc>
        <w:tc>
          <w:tcPr>
            <w:tcW w:w="1460" w:type="dxa"/>
            <w:vAlign w:val="bottom"/>
            <w:gridSpan w:val="2"/>
          </w:tcPr>
          <w:p>
            <w:pPr>
              <w:jc w:val="right"/>
              <w:ind w:right="380"/>
              <w:spacing w:after="0"/>
              <w:rPr>
                <w:sz w:val="20"/>
                <w:szCs w:val="20"/>
                <w:color w:val="auto"/>
              </w:rPr>
            </w:pPr>
            <w:r>
              <w:rPr>
                <w:rFonts w:ascii="Arial" w:cs="Arial" w:eastAsia="Arial" w:hAnsi="Arial"/>
                <w:sz w:val="13"/>
                <w:szCs w:val="13"/>
                <w:color w:val="auto"/>
              </w:rPr>
              <w:t>5,339,215</w:t>
            </w:r>
          </w:p>
        </w:tc>
        <w:tc>
          <w:tcPr>
            <w:tcW w:w="108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5,339,215</w:t>
            </w:r>
          </w:p>
        </w:tc>
        <w:tc>
          <w:tcPr>
            <w:tcW w:w="360" w:type="dxa"/>
            <w:vAlign w:val="bottom"/>
          </w:tcPr>
          <w:p>
            <w:pPr>
              <w:spacing w:after="0"/>
              <w:rPr>
                <w:sz w:val="13"/>
                <w:szCs w:val="13"/>
                <w:color w:val="auto"/>
              </w:rPr>
            </w:pPr>
          </w:p>
        </w:tc>
        <w:tc>
          <w:tcPr>
            <w:tcW w:w="120" w:type="dxa"/>
            <w:vAlign w:val="bottom"/>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tcPr>
          <w:p>
            <w:pPr>
              <w:jc w:val="right"/>
              <w:ind w:right="360"/>
              <w:spacing w:after="0"/>
              <w:rPr>
                <w:sz w:val="20"/>
                <w:szCs w:val="20"/>
                <w:color w:val="auto"/>
              </w:rPr>
            </w:pPr>
            <w:r>
              <w:rPr>
                <w:rFonts w:ascii="Arial" w:cs="Arial" w:eastAsia="Arial" w:hAnsi="Arial"/>
                <w:sz w:val="13"/>
                <w:szCs w:val="13"/>
                <w:color w:val="auto"/>
              </w:rPr>
              <w:t>3.00</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shd w:val="clear" w:color="auto" w:fill="CCEEFF"/>
          </w:tcPr>
          <w:p>
            <w:pPr>
              <w:spacing w:after="0"/>
              <w:rPr>
                <w:sz w:val="20"/>
                <w:szCs w:val="20"/>
                <w:color w:val="auto"/>
              </w:rPr>
            </w:pPr>
            <w:r>
              <w:rPr>
                <w:rFonts w:ascii="Arial" w:cs="Arial" w:eastAsia="Arial" w:hAnsi="Arial"/>
                <w:sz w:val="13"/>
                <w:szCs w:val="13"/>
                <w:color w:val="auto"/>
              </w:rPr>
              <w:t>Series m-2 Preferred Stock</w:t>
            </w: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2018</w:t>
            </w:r>
          </w:p>
        </w:tc>
        <w:tc>
          <w:tcPr>
            <w:tcW w:w="340" w:type="dxa"/>
            <w:vAlign w:val="bottom"/>
            <w:shd w:val="clear" w:color="auto" w:fill="CCEEFF"/>
          </w:tcPr>
          <w:p>
            <w:pPr>
              <w:spacing w:after="0"/>
              <w:rPr>
                <w:sz w:val="13"/>
                <w:szCs w:val="13"/>
                <w:color w:val="auto"/>
              </w:rPr>
            </w:pPr>
          </w:p>
        </w:tc>
        <w:tc>
          <w:tcPr>
            <w:tcW w:w="1460" w:type="dxa"/>
            <w:vAlign w:val="bottom"/>
            <w:gridSpan w:val="2"/>
            <w:shd w:val="clear" w:color="auto" w:fill="CCEEFF"/>
          </w:tcPr>
          <w:p>
            <w:pPr>
              <w:jc w:val="right"/>
              <w:ind w:right="380"/>
              <w:spacing w:after="0"/>
              <w:rPr>
                <w:sz w:val="20"/>
                <w:szCs w:val="20"/>
                <w:color w:val="auto"/>
              </w:rPr>
            </w:pPr>
            <w:r>
              <w:rPr>
                <w:rFonts w:ascii="Arial" w:cs="Arial" w:eastAsia="Arial" w:hAnsi="Arial"/>
                <w:sz w:val="13"/>
                <w:szCs w:val="13"/>
                <w:color w:val="auto"/>
              </w:rPr>
              <w:t>1,660,756</w:t>
            </w:r>
          </w:p>
        </w:tc>
        <w:tc>
          <w:tcPr>
            <w:tcW w:w="1080" w:type="dxa"/>
            <w:vAlign w:val="bottom"/>
            <w:shd w:val="clear" w:color="auto" w:fill="CCEEFF"/>
          </w:tcPr>
          <w:p>
            <w:pPr>
              <w:spacing w:after="0"/>
              <w:rPr>
                <w:sz w:val="13"/>
                <w:szCs w:val="13"/>
                <w:color w:val="auto"/>
              </w:rPr>
            </w:pPr>
          </w:p>
        </w:tc>
        <w:tc>
          <w:tcPr>
            <w:tcW w:w="420" w:type="dxa"/>
            <w:vAlign w:val="bottom"/>
            <w:shd w:val="clear" w:color="auto" w:fill="CCEEFF"/>
          </w:tcPr>
          <w:p>
            <w:pPr>
              <w:spacing w:after="0"/>
              <w:rPr>
                <w:sz w:val="13"/>
                <w:szCs w:val="13"/>
                <w:color w:val="auto"/>
              </w:rPr>
            </w:pPr>
          </w:p>
        </w:tc>
        <w:tc>
          <w:tcPr>
            <w:tcW w:w="11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1,660,756</w:t>
            </w:r>
          </w:p>
        </w:tc>
        <w:tc>
          <w:tcPr>
            <w:tcW w:w="360" w:type="dxa"/>
            <w:vAlign w:val="bottom"/>
            <w:shd w:val="clear" w:color="auto" w:fill="CCEEFF"/>
          </w:tcPr>
          <w:p>
            <w:pPr>
              <w:spacing w:after="0"/>
              <w:rPr>
                <w:sz w:val="13"/>
                <w:szCs w:val="13"/>
                <w:color w:val="auto"/>
              </w:rPr>
            </w:pPr>
          </w:p>
        </w:tc>
        <w:tc>
          <w:tcPr>
            <w:tcW w:w="120" w:type="dxa"/>
            <w:vAlign w:val="bottom"/>
            <w:shd w:val="clear" w:color="auto" w:fill="CCEEFF"/>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shd w:val="clear" w:color="auto" w:fill="CCEEFF"/>
          </w:tcPr>
          <w:p>
            <w:pPr>
              <w:jc w:val="right"/>
              <w:ind w:right="360"/>
              <w:spacing w:after="0"/>
              <w:rPr>
                <w:sz w:val="20"/>
                <w:szCs w:val="20"/>
                <w:color w:val="auto"/>
              </w:rPr>
            </w:pPr>
            <w:r>
              <w:rPr>
                <w:rFonts w:ascii="Arial" w:cs="Arial" w:eastAsia="Arial" w:hAnsi="Arial"/>
                <w:sz w:val="13"/>
                <w:szCs w:val="13"/>
                <w:color w:val="auto"/>
              </w:rPr>
              <w:t>3.00</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tcPr>
          <w:p>
            <w:pPr>
              <w:spacing w:after="0"/>
              <w:rPr>
                <w:sz w:val="20"/>
                <w:szCs w:val="20"/>
                <w:color w:val="auto"/>
              </w:rPr>
            </w:pPr>
            <w:r>
              <w:rPr>
                <w:rFonts w:ascii="Arial" w:cs="Arial" w:eastAsia="Arial" w:hAnsi="Arial"/>
                <w:sz w:val="13"/>
                <w:szCs w:val="13"/>
                <w:color w:val="auto"/>
              </w:rPr>
              <w:t>Series m-3 Preferred Stock</w:t>
            </w:r>
          </w:p>
        </w:tc>
        <w:tc>
          <w:tcPr>
            <w:tcW w:w="960" w:type="dxa"/>
            <w:vAlign w:val="bottom"/>
          </w:tcPr>
          <w:p>
            <w:pPr>
              <w:jc w:val="right"/>
              <w:spacing w:after="0"/>
              <w:rPr>
                <w:sz w:val="20"/>
                <w:szCs w:val="20"/>
                <w:color w:val="auto"/>
              </w:rPr>
            </w:pPr>
            <w:r>
              <w:rPr>
                <w:rFonts w:ascii="Arial" w:cs="Arial" w:eastAsia="Arial" w:hAnsi="Arial"/>
                <w:sz w:val="13"/>
                <w:szCs w:val="13"/>
                <w:color w:val="auto"/>
              </w:rPr>
              <w:t>2017-2018</w:t>
            </w:r>
          </w:p>
        </w:tc>
        <w:tc>
          <w:tcPr>
            <w:tcW w:w="340" w:type="dxa"/>
            <w:vAlign w:val="bottom"/>
          </w:tcPr>
          <w:p>
            <w:pPr>
              <w:spacing w:after="0"/>
              <w:rPr>
                <w:sz w:val="13"/>
                <w:szCs w:val="13"/>
                <w:color w:val="auto"/>
              </w:rPr>
            </w:pPr>
          </w:p>
        </w:tc>
        <w:tc>
          <w:tcPr>
            <w:tcW w:w="1460" w:type="dxa"/>
            <w:vAlign w:val="bottom"/>
            <w:gridSpan w:val="2"/>
          </w:tcPr>
          <w:p>
            <w:pPr>
              <w:jc w:val="right"/>
              <w:ind w:right="380"/>
              <w:spacing w:after="0"/>
              <w:rPr>
                <w:sz w:val="20"/>
                <w:szCs w:val="20"/>
                <w:color w:val="auto"/>
              </w:rPr>
            </w:pPr>
            <w:r>
              <w:rPr>
                <w:rFonts w:ascii="Arial" w:cs="Arial" w:eastAsia="Arial" w:hAnsi="Arial"/>
                <w:sz w:val="13"/>
                <w:szCs w:val="13"/>
                <w:color w:val="auto"/>
              </w:rPr>
              <w:t>16,757</w:t>
            </w:r>
          </w:p>
        </w:tc>
        <w:tc>
          <w:tcPr>
            <w:tcW w:w="1500" w:type="dxa"/>
            <w:vAlign w:val="bottom"/>
            <w:gridSpan w:val="2"/>
          </w:tcPr>
          <w:p>
            <w:pPr>
              <w:jc w:val="right"/>
              <w:ind w:right="420"/>
              <w:spacing w:after="0"/>
              <w:rPr>
                <w:sz w:val="20"/>
                <w:szCs w:val="20"/>
                <w:color w:val="auto"/>
              </w:rPr>
            </w:pPr>
            <w:r>
              <w:rPr>
                <w:rFonts w:ascii="Arial" w:cs="Arial" w:eastAsia="Arial" w:hAnsi="Arial"/>
                <w:sz w:val="13"/>
                <w:szCs w:val="13"/>
                <w:color w:val="auto"/>
              </w:rPr>
              <w:t>0</w:t>
            </w:r>
          </w:p>
        </w:tc>
        <w:tc>
          <w:tcPr>
            <w:tcW w:w="1460" w:type="dxa"/>
            <w:vAlign w:val="bottom"/>
            <w:gridSpan w:val="2"/>
          </w:tcPr>
          <w:p>
            <w:pPr>
              <w:jc w:val="right"/>
              <w:ind w:right="360"/>
              <w:spacing w:after="0"/>
              <w:rPr>
                <w:sz w:val="20"/>
                <w:szCs w:val="20"/>
                <w:color w:val="auto"/>
              </w:rPr>
            </w:pPr>
            <w:r>
              <w:rPr>
                <w:rFonts w:ascii="Arial" w:cs="Arial" w:eastAsia="Arial" w:hAnsi="Arial"/>
                <w:sz w:val="13"/>
                <w:szCs w:val="13"/>
                <w:color w:val="auto"/>
              </w:rPr>
              <w:t>16,757</w:t>
            </w:r>
          </w:p>
        </w:tc>
        <w:tc>
          <w:tcPr>
            <w:tcW w:w="120" w:type="dxa"/>
            <w:vAlign w:val="bottom"/>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tcPr>
          <w:p>
            <w:pPr>
              <w:jc w:val="right"/>
              <w:ind w:right="360"/>
              <w:spacing w:after="0"/>
              <w:rPr>
                <w:sz w:val="20"/>
                <w:szCs w:val="20"/>
                <w:color w:val="auto"/>
              </w:rPr>
            </w:pPr>
            <w:r>
              <w:rPr>
                <w:rFonts w:ascii="Arial" w:cs="Arial" w:eastAsia="Arial" w:hAnsi="Arial"/>
                <w:sz w:val="13"/>
                <w:szCs w:val="13"/>
                <w:color w:val="auto"/>
              </w:rPr>
              <w:t>3.50</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shd w:val="clear" w:color="auto" w:fill="CCEEFF"/>
          </w:tcPr>
          <w:p>
            <w:pPr>
              <w:spacing w:after="0"/>
              <w:rPr>
                <w:sz w:val="20"/>
                <w:szCs w:val="20"/>
                <w:color w:val="auto"/>
              </w:rPr>
            </w:pPr>
            <w:r>
              <w:rPr>
                <w:rFonts w:ascii="Arial" w:cs="Arial" w:eastAsia="Arial" w:hAnsi="Arial"/>
                <w:sz w:val="13"/>
                <w:szCs w:val="13"/>
                <w:color w:val="auto"/>
              </w:rPr>
              <w:t>Series m-4 Preferred Stock</w:t>
            </w: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2019</w:t>
            </w:r>
          </w:p>
        </w:tc>
        <w:tc>
          <w:tcPr>
            <w:tcW w:w="340" w:type="dxa"/>
            <w:vAlign w:val="bottom"/>
            <w:shd w:val="clear" w:color="auto" w:fill="CCEEFF"/>
          </w:tcPr>
          <w:p>
            <w:pPr>
              <w:spacing w:after="0"/>
              <w:rPr>
                <w:sz w:val="13"/>
                <w:szCs w:val="13"/>
                <w:color w:val="auto"/>
              </w:rPr>
            </w:pPr>
          </w:p>
        </w:tc>
        <w:tc>
          <w:tcPr>
            <w:tcW w:w="1460" w:type="dxa"/>
            <w:vAlign w:val="bottom"/>
            <w:gridSpan w:val="2"/>
            <w:shd w:val="clear" w:color="auto" w:fill="CCEEFF"/>
          </w:tcPr>
          <w:p>
            <w:pPr>
              <w:jc w:val="right"/>
              <w:ind w:right="380"/>
              <w:spacing w:after="0"/>
              <w:rPr>
                <w:sz w:val="20"/>
                <w:szCs w:val="20"/>
                <w:color w:val="auto"/>
              </w:rPr>
            </w:pPr>
            <w:r>
              <w:rPr>
                <w:rFonts w:ascii="Arial" w:cs="Arial" w:eastAsia="Arial" w:hAnsi="Arial"/>
                <w:sz w:val="13"/>
                <w:szCs w:val="13"/>
                <w:color w:val="auto"/>
              </w:rPr>
              <w:t>1,432,786</w:t>
            </w:r>
          </w:p>
        </w:tc>
        <w:tc>
          <w:tcPr>
            <w:tcW w:w="1500" w:type="dxa"/>
            <w:vAlign w:val="bottom"/>
            <w:gridSpan w:val="2"/>
            <w:shd w:val="clear" w:color="auto" w:fill="CCEEFF"/>
          </w:tcPr>
          <w:p>
            <w:pPr>
              <w:jc w:val="right"/>
              <w:ind w:right="260"/>
              <w:spacing w:after="0"/>
              <w:rPr>
                <w:sz w:val="20"/>
                <w:szCs w:val="20"/>
                <w:color w:val="auto"/>
              </w:rPr>
            </w:pPr>
            <w:r>
              <w:rPr>
                <w:rFonts w:ascii="Arial" w:cs="Arial" w:eastAsia="Arial" w:hAnsi="Arial"/>
                <w:sz w:val="13"/>
                <w:szCs w:val="13"/>
                <w:color w:val="auto"/>
              </w:rPr>
              <w:t>0(3)</w:t>
            </w:r>
          </w:p>
        </w:tc>
        <w:tc>
          <w:tcPr>
            <w:tcW w:w="11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1,432,786</w:t>
            </w:r>
          </w:p>
        </w:tc>
        <w:tc>
          <w:tcPr>
            <w:tcW w:w="360" w:type="dxa"/>
            <w:vAlign w:val="bottom"/>
            <w:shd w:val="clear" w:color="auto" w:fill="CCEEFF"/>
          </w:tcPr>
          <w:p>
            <w:pPr>
              <w:spacing w:after="0"/>
              <w:rPr>
                <w:sz w:val="13"/>
                <w:szCs w:val="13"/>
                <w:color w:val="auto"/>
              </w:rPr>
            </w:pPr>
          </w:p>
        </w:tc>
        <w:tc>
          <w:tcPr>
            <w:tcW w:w="120" w:type="dxa"/>
            <w:vAlign w:val="bottom"/>
            <w:shd w:val="clear" w:color="auto" w:fill="CCEEFF"/>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shd w:val="clear" w:color="auto" w:fill="CCEEFF"/>
          </w:tcPr>
          <w:p>
            <w:pPr>
              <w:jc w:val="right"/>
              <w:ind w:right="40"/>
              <w:spacing w:after="0"/>
              <w:rPr>
                <w:sz w:val="20"/>
                <w:szCs w:val="20"/>
                <w:color w:val="auto"/>
              </w:rPr>
            </w:pPr>
            <w:r>
              <w:rPr>
                <w:rFonts w:ascii="Arial" w:cs="Arial" w:eastAsia="Arial" w:hAnsi="Arial"/>
                <w:sz w:val="13"/>
                <w:szCs w:val="13"/>
                <w:color w:val="auto"/>
              </w:rPr>
              <w:t>3.50(3)(9)</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tcPr>
          <w:p>
            <w:pPr>
              <w:spacing w:after="0"/>
              <w:rPr>
                <w:sz w:val="20"/>
                <w:szCs w:val="20"/>
                <w:color w:val="auto"/>
              </w:rPr>
            </w:pPr>
            <w:r>
              <w:rPr>
                <w:rFonts w:ascii="Arial" w:cs="Arial" w:eastAsia="Arial" w:hAnsi="Arial"/>
                <w:sz w:val="13"/>
                <w:szCs w:val="13"/>
                <w:color w:val="auto"/>
              </w:rPr>
              <w:t>Series S Preferred Stock</w:t>
            </w:r>
          </w:p>
        </w:tc>
        <w:tc>
          <w:tcPr>
            <w:tcW w:w="960" w:type="dxa"/>
            <w:vAlign w:val="bottom"/>
          </w:tcPr>
          <w:p>
            <w:pPr>
              <w:jc w:val="right"/>
              <w:spacing w:after="0"/>
              <w:rPr>
                <w:sz w:val="20"/>
                <w:szCs w:val="20"/>
                <w:color w:val="auto"/>
              </w:rPr>
            </w:pPr>
            <w:r>
              <w:rPr>
                <w:rFonts w:ascii="Arial" w:cs="Arial" w:eastAsia="Arial" w:hAnsi="Arial"/>
                <w:sz w:val="13"/>
                <w:szCs w:val="13"/>
                <w:color w:val="auto"/>
              </w:rPr>
              <w:t>2018-2020</w:t>
            </w:r>
          </w:p>
        </w:tc>
        <w:tc>
          <w:tcPr>
            <w:tcW w:w="340" w:type="dxa"/>
            <w:vAlign w:val="bottom"/>
          </w:tcPr>
          <w:p>
            <w:pPr>
              <w:spacing w:after="0"/>
              <w:rPr>
                <w:sz w:val="13"/>
                <w:szCs w:val="13"/>
                <w:color w:val="auto"/>
              </w:rPr>
            </w:pPr>
          </w:p>
        </w:tc>
        <w:tc>
          <w:tcPr>
            <w:tcW w:w="1460" w:type="dxa"/>
            <w:vAlign w:val="bottom"/>
            <w:gridSpan w:val="2"/>
          </w:tcPr>
          <w:p>
            <w:pPr>
              <w:jc w:val="right"/>
              <w:ind w:right="380"/>
              <w:spacing w:after="0"/>
              <w:rPr>
                <w:sz w:val="20"/>
                <w:szCs w:val="20"/>
                <w:color w:val="auto"/>
              </w:rPr>
            </w:pPr>
            <w:r>
              <w:rPr>
                <w:rFonts w:ascii="Arial" w:cs="Arial" w:eastAsia="Arial" w:hAnsi="Arial"/>
                <w:sz w:val="13"/>
                <w:szCs w:val="13"/>
                <w:color w:val="auto"/>
              </w:rPr>
              <w:t>3,478,247</w:t>
            </w:r>
          </w:p>
        </w:tc>
        <w:tc>
          <w:tcPr>
            <w:tcW w:w="108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3,478,247</w:t>
            </w:r>
          </w:p>
        </w:tc>
        <w:tc>
          <w:tcPr>
            <w:tcW w:w="360" w:type="dxa"/>
            <w:vAlign w:val="bottom"/>
          </w:tcPr>
          <w:p>
            <w:pPr>
              <w:spacing w:after="0"/>
              <w:rPr>
                <w:sz w:val="13"/>
                <w:szCs w:val="13"/>
                <w:color w:val="auto"/>
              </w:rPr>
            </w:pPr>
          </w:p>
        </w:tc>
        <w:tc>
          <w:tcPr>
            <w:tcW w:w="120" w:type="dxa"/>
            <w:vAlign w:val="bottom"/>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tcPr>
          <w:p>
            <w:pPr>
              <w:jc w:val="right"/>
              <w:ind w:right="360"/>
              <w:spacing w:after="0"/>
              <w:rPr>
                <w:sz w:val="20"/>
                <w:szCs w:val="20"/>
                <w:color w:val="auto"/>
              </w:rPr>
            </w:pPr>
            <w:r>
              <w:rPr>
                <w:rFonts w:ascii="Arial" w:cs="Arial" w:eastAsia="Arial" w:hAnsi="Arial"/>
                <w:sz w:val="13"/>
                <w:szCs w:val="13"/>
                <w:color w:val="auto"/>
              </w:rPr>
              <w:t>8.00</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2020-2021</w:t>
            </w:r>
          </w:p>
        </w:tc>
        <w:tc>
          <w:tcPr>
            <w:tcW w:w="340" w:type="dxa"/>
            <w:vAlign w:val="bottom"/>
            <w:shd w:val="clear" w:color="auto" w:fill="CCEEFF"/>
          </w:tcPr>
          <w:p>
            <w:pPr>
              <w:spacing w:after="0"/>
              <w:rPr>
                <w:sz w:val="13"/>
                <w:szCs w:val="13"/>
                <w:color w:val="auto"/>
              </w:rPr>
            </w:pPr>
          </w:p>
        </w:tc>
        <w:tc>
          <w:tcPr>
            <w:tcW w:w="1460" w:type="dxa"/>
            <w:vAlign w:val="bottom"/>
            <w:gridSpan w:val="2"/>
            <w:shd w:val="clear" w:color="auto" w:fill="CCEEFF"/>
          </w:tcPr>
          <w:p>
            <w:pPr>
              <w:jc w:val="right"/>
              <w:ind w:right="380"/>
              <w:spacing w:after="0"/>
              <w:rPr>
                <w:sz w:val="20"/>
                <w:szCs w:val="20"/>
                <w:color w:val="auto"/>
              </w:rPr>
            </w:pPr>
            <w:r>
              <w:rPr>
                <w:rFonts w:ascii="Arial" w:cs="Arial" w:eastAsia="Arial" w:hAnsi="Arial"/>
                <w:sz w:val="13"/>
                <w:szCs w:val="13"/>
                <w:color w:val="auto"/>
              </w:rPr>
              <w:t>2,088,924</w:t>
            </w:r>
          </w:p>
        </w:tc>
        <w:tc>
          <w:tcPr>
            <w:tcW w:w="1080" w:type="dxa"/>
            <w:vAlign w:val="bottom"/>
            <w:shd w:val="clear" w:color="auto" w:fill="CCEEFF"/>
          </w:tcPr>
          <w:p>
            <w:pPr>
              <w:spacing w:after="0"/>
              <w:rPr>
                <w:sz w:val="13"/>
                <w:szCs w:val="13"/>
                <w:color w:val="auto"/>
              </w:rPr>
            </w:pPr>
          </w:p>
        </w:tc>
        <w:tc>
          <w:tcPr>
            <w:tcW w:w="420" w:type="dxa"/>
            <w:vAlign w:val="bottom"/>
            <w:shd w:val="clear" w:color="auto" w:fill="CCEEFF"/>
          </w:tcPr>
          <w:p>
            <w:pPr>
              <w:spacing w:after="0"/>
              <w:rPr>
                <w:sz w:val="13"/>
                <w:szCs w:val="13"/>
                <w:color w:val="auto"/>
              </w:rPr>
            </w:pPr>
          </w:p>
        </w:tc>
        <w:tc>
          <w:tcPr>
            <w:tcW w:w="11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2,088,924</w:t>
            </w:r>
          </w:p>
        </w:tc>
        <w:tc>
          <w:tcPr>
            <w:tcW w:w="360" w:type="dxa"/>
            <w:vAlign w:val="bottom"/>
            <w:shd w:val="clear" w:color="auto" w:fill="CCEEFF"/>
          </w:tcPr>
          <w:p>
            <w:pPr>
              <w:spacing w:after="0"/>
              <w:rPr>
                <w:sz w:val="13"/>
                <w:szCs w:val="13"/>
                <w:color w:val="auto"/>
              </w:rPr>
            </w:pPr>
          </w:p>
        </w:tc>
        <w:tc>
          <w:tcPr>
            <w:tcW w:w="120" w:type="dxa"/>
            <w:vAlign w:val="bottom"/>
            <w:shd w:val="clear" w:color="auto" w:fill="CCEEFF"/>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shd w:val="clear" w:color="auto" w:fill="CCEEFF"/>
          </w:tcPr>
          <w:p>
            <w:pPr>
              <w:jc w:val="right"/>
              <w:ind w:right="200"/>
              <w:spacing w:after="0"/>
              <w:rPr>
                <w:sz w:val="20"/>
                <w:szCs w:val="20"/>
                <w:color w:val="auto"/>
              </w:rPr>
            </w:pPr>
            <w:r>
              <w:rPr>
                <w:rFonts w:ascii="Arial" w:cs="Arial" w:eastAsia="Arial" w:hAnsi="Arial"/>
                <w:sz w:val="13"/>
                <w:szCs w:val="13"/>
                <w:color w:val="auto"/>
              </w:rPr>
              <w:t>10.00(5)</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tcPr>
          <w:p>
            <w:pPr>
              <w:spacing w:after="0"/>
              <w:rPr>
                <w:sz w:val="20"/>
                <w:szCs w:val="20"/>
                <w:color w:val="auto"/>
              </w:rPr>
            </w:pPr>
            <w:r>
              <w:rPr>
                <w:rFonts w:ascii="Arial" w:cs="Arial" w:eastAsia="Arial" w:hAnsi="Arial"/>
                <w:sz w:val="13"/>
                <w:szCs w:val="13"/>
                <w:color w:val="auto"/>
              </w:rPr>
              <w:t>Outstanding Stock Options</w:t>
            </w:r>
          </w:p>
        </w:tc>
        <w:tc>
          <w:tcPr>
            <w:tcW w:w="1300" w:type="dxa"/>
            <w:vAlign w:val="bottom"/>
            <w:gridSpan w:val="2"/>
          </w:tcPr>
          <w:p>
            <w:pPr>
              <w:ind w:left="560"/>
              <w:spacing w:after="0"/>
              <w:rPr>
                <w:sz w:val="20"/>
                <w:szCs w:val="20"/>
                <w:color w:val="auto"/>
              </w:rPr>
            </w:pPr>
            <w:r>
              <w:rPr>
                <w:rFonts w:ascii="Arial" w:cs="Arial" w:eastAsia="Arial" w:hAnsi="Arial"/>
                <w:sz w:val="13"/>
                <w:szCs w:val="13"/>
                <w:color w:val="auto"/>
              </w:rPr>
              <w:t>Various</w:t>
            </w:r>
          </w:p>
        </w:tc>
        <w:tc>
          <w:tcPr>
            <w:tcW w:w="108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080" w:type="dxa"/>
            <w:vAlign w:val="bottom"/>
          </w:tcPr>
          <w:p>
            <w:pPr>
              <w:jc w:val="right"/>
              <w:spacing w:after="0"/>
              <w:rPr>
                <w:sz w:val="20"/>
                <w:szCs w:val="20"/>
                <w:color w:val="auto"/>
              </w:rPr>
            </w:pPr>
            <w:r>
              <w:rPr>
                <w:rFonts w:ascii="Arial" w:cs="Arial" w:eastAsia="Arial" w:hAnsi="Arial"/>
                <w:sz w:val="13"/>
                <w:szCs w:val="13"/>
                <w:color w:val="auto"/>
              </w:rPr>
              <w:t>7,396,000</w:t>
            </w:r>
          </w:p>
        </w:tc>
        <w:tc>
          <w:tcPr>
            <w:tcW w:w="42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7,396,000</w:t>
            </w:r>
          </w:p>
        </w:tc>
        <w:tc>
          <w:tcPr>
            <w:tcW w:w="360" w:type="dxa"/>
            <w:vAlign w:val="bottom"/>
          </w:tcPr>
          <w:p>
            <w:pPr>
              <w:spacing w:after="0"/>
              <w:rPr>
                <w:sz w:val="13"/>
                <w:szCs w:val="13"/>
                <w:color w:val="auto"/>
              </w:rPr>
            </w:pPr>
          </w:p>
        </w:tc>
        <w:tc>
          <w:tcPr>
            <w:tcW w:w="120" w:type="dxa"/>
            <w:vAlign w:val="bottom"/>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tcPr>
          <w:p>
            <w:pPr>
              <w:jc w:val="right"/>
              <w:ind w:right="40"/>
              <w:spacing w:after="0"/>
              <w:rPr>
                <w:sz w:val="20"/>
                <w:szCs w:val="20"/>
                <w:color w:val="auto"/>
              </w:rPr>
            </w:pPr>
            <w:r>
              <w:rPr>
                <w:rFonts w:ascii="Arial" w:cs="Arial" w:eastAsia="Arial" w:hAnsi="Arial"/>
                <w:sz w:val="13"/>
                <w:szCs w:val="13"/>
                <w:color w:val="auto"/>
              </w:rPr>
              <w:t>1.38(4)(6)</w:t>
            </w:r>
          </w:p>
        </w:tc>
        <w:tc>
          <w:tcPr>
            <w:tcW w:w="0" w:type="dxa"/>
            <w:vAlign w:val="bottom"/>
          </w:tcPr>
          <w:p>
            <w:pPr>
              <w:spacing w:after="0"/>
              <w:rPr>
                <w:sz w:val="1"/>
                <w:szCs w:val="1"/>
                <w:color w:val="auto"/>
              </w:rPr>
            </w:pPr>
          </w:p>
        </w:tc>
      </w:tr>
      <w:tr>
        <w:trPr>
          <w:trHeight w:val="148"/>
        </w:trPr>
        <w:tc>
          <w:tcPr>
            <w:tcW w:w="20" w:type="dxa"/>
            <w:vAlign w:val="bottom"/>
          </w:tcPr>
          <w:p>
            <w:pPr>
              <w:spacing w:after="0"/>
              <w:rPr>
                <w:sz w:val="12"/>
                <w:szCs w:val="12"/>
                <w:color w:val="auto"/>
              </w:rPr>
            </w:pPr>
          </w:p>
        </w:tc>
        <w:tc>
          <w:tcPr>
            <w:tcW w:w="410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340" w:type="dxa"/>
            <w:vAlign w:val="bottom"/>
            <w:shd w:val="clear" w:color="auto" w:fill="CCEEFF"/>
          </w:tcPr>
          <w:p>
            <w:pPr>
              <w:spacing w:after="0"/>
              <w:rPr>
                <w:sz w:val="12"/>
                <w:szCs w:val="12"/>
                <w:color w:val="auto"/>
              </w:rPr>
            </w:pPr>
          </w:p>
        </w:tc>
        <w:tc>
          <w:tcPr>
            <w:tcW w:w="1080" w:type="dxa"/>
            <w:vAlign w:val="bottom"/>
            <w:shd w:val="clear" w:color="auto" w:fill="CCEEFF"/>
          </w:tcPr>
          <w:p>
            <w:pPr>
              <w:spacing w:after="0"/>
              <w:rPr>
                <w:sz w:val="12"/>
                <w:szCs w:val="12"/>
                <w:color w:val="auto"/>
              </w:rPr>
            </w:pPr>
          </w:p>
        </w:tc>
        <w:tc>
          <w:tcPr>
            <w:tcW w:w="380" w:type="dxa"/>
            <w:vAlign w:val="bottom"/>
            <w:shd w:val="clear" w:color="auto" w:fill="CCEEFF"/>
          </w:tcPr>
          <w:p>
            <w:pPr>
              <w:spacing w:after="0"/>
              <w:rPr>
                <w:sz w:val="12"/>
                <w:szCs w:val="12"/>
                <w:color w:val="auto"/>
              </w:rPr>
            </w:pPr>
          </w:p>
        </w:tc>
        <w:tc>
          <w:tcPr>
            <w:tcW w:w="1080" w:type="dxa"/>
            <w:vAlign w:val="bottom"/>
            <w:shd w:val="clear" w:color="auto" w:fill="CCEEFF"/>
          </w:tcPr>
          <w:p>
            <w:pPr>
              <w:spacing w:after="0"/>
              <w:rPr>
                <w:sz w:val="12"/>
                <w:szCs w:val="12"/>
                <w:color w:val="auto"/>
              </w:rPr>
            </w:pPr>
          </w:p>
        </w:tc>
        <w:tc>
          <w:tcPr>
            <w:tcW w:w="420" w:type="dxa"/>
            <w:vAlign w:val="bottom"/>
            <w:shd w:val="clear" w:color="auto" w:fill="CCEEFF"/>
          </w:tcPr>
          <w:p>
            <w:pPr>
              <w:spacing w:after="0"/>
              <w:rPr>
                <w:sz w:val="12"/>
                <w:szCs w:val="12"/>
                <w:color w:val="auto"/>
              </w:rPr>
            </w:pPr>
          </w:p>
        </w:tc>
        <w:tc>
          <w:tcPr>
            <w:tcW w:w="1100" w:type="dxa"/>
            <w:vAlign w:val="bottom"/>
            <w:shd w:val="clear" w:color="auto" w:fill="CCEEFF"/>
          </w:tcPr>
          <w:p>
            <w:pPr>
              <w:spacing w:after="0"/>
              <w:rPr>
                <w:sz w:val="12"/>
                <w:szCs w:val="12"/>
                <w:color w:val="auto"/>
              </w:rPr>
            </w:pPr>
          </w:p>
        </w:tc>
        <w:tc>
          <w:tcPr>
            <w:tcW w:w="36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320" w:type="dxa"/>
            <w:vAlign w:val="bottom"/>
            <w:gridSpan w:val="2"/>
            <w:shd w:val="clear" w:color="auto" w:fill="CCEEFF"/>
          </w:tcPr>
          <w:p>
            <w:pPr>
              <w:jc w:val="right"/>
              <w:ind w:right="200"/>
              <w:spacing w:after="0" w:line="148" w:lineRule="exact"/>
              <w:rPr>
                <w:sz w:val="20"/>
                <w:szCs w:val="20"/>
                <w:color w:val="auto"/>
              </w:rPr>
            </w:pPr>
            <w:r>
              <w:rPr>
                <w:rFonts w:ascii="Arial" w:cs="Arial" w:eastAsia="Arial" w:hAnsi="Arial"/>
                <w:sz w:val="13"/>
                <w:szCs w:val="13"/>
                <w:color w:val="auto"/>
              </w:rPr>
              <w:t>(4)</w:t>
            </w: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4100" w:type="dxa"/>
            <w:vAlign w:val="bottom"/>
            <w:shd w:val="clear" w:color="auto" w:fill="CCEEFF"/>
          </w:tcPr>
          <w:p>
            <w:pPr>
              <w:spacing w:after="0"/>
              <w:rPr>
                <w:sz w:val="20"/>
                <w:szCs w:val="20"/>
                <w:color w:val="auto"/>
              </w:rPr>
            </w:pPr>
            <w:r>
              <w:rPr>
                <w:rFonts w:ascii="Arial" w:cs="Arial" w:eastAsia="Arial" w:hAnsi="Arial"/>
                <w:sz w:val="13"/>
                <w:szCs w:val="13"/>
                <w:color w:val="auto"/>
              </w:rPr>
              <w:t>Warrants</w:t>
            </w:r>
          </w:p>
        </w:tc>
        <w:tc>
          <w:tcPr>
            <w:tcW w:w="1300" w:type="dxa"/>
            <w:vAlign w:val="bottom"/>
            <w:gridSpan w:val="2"/>
            <w:shd w:val="clear" w:color="auto" w:fill="CCEEFF"/>
          </w:tcPr>
          <w:p>
            <w:pPr>
              <w:ind w:left="560"/>
              <w:spacing w:after="0"/>
              <w:rPr>
                <w:sz w:val="20"/>
                <w:szCs w:val="20"/>
                <w:color w:val="auto"/>
              </w:rPr>
            </w:pPr>
            <w:r>
              <w:rPr>
                <w:rFonts w:ascii="Arial" w:cs="Arial" w:eastAsia="Arial" w:hAnsi="Arial"/>
                <w:sz w:val="13"/>
                <w:szCs w:val="13"/>
                <w:color w:val="auto"/>
              </w:rPr>
              <w:t>Various</w:t>
            </w:r>
          </w:p>
        </w:tc>
        <w:tc>
          <w:tcPr>
            <w:tcW w:w="1080" w:type="dxa"/>
            <w:vAlign w:val="bottom"/>
            <w:shd w:val="clear" w:color="auto" w:fill="CCEEFF"/>
          </w:tcPr>
          <w:p>
            <w:pPr>
              <w:spacing w:after="0"/>
              <w:rPr>
                <w:sz w:val="14"/>
                <w:szCs w:val="14"/>
                <w:color w:val="auto"/>
              </w:rPr>
            </w:pPr>
          </w:p>
        </w:tc>
        <w:tc>
          <w:tcPr>
            <w:tcW w:w="380" w:type="dxa"/>
            <w:vAlign w:val="bottom"/>
            <w:shd w:val="clear" w:color="auto" w:fill="CCEEFF"/>
          </w:tcPr>
          <w:p>
            <w:pPr>
              <w:spacing w:after="0"/>
              <w:rPr>
                <w:sz w:val="14"/>
                <w:szCs w:val="14"/>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4,401,292</w:t>
            </w:r>
          </w:p>
        </w:tc>
        <w:tc>
          <w:tcPr>
            <w:tcW w:w="420" w:type="dxa"/>
            <w:vAlign w:val="bottom"/>
            <w:shd w:val="clear" w:color="auto" w:fill="CCEEFF"/>
          </w:tcPr>
          <w:p>
            <w:pPr>
              <w:spacing w:after="0"/>
              <w:rPr>
                <w:sz w:val="14"/>
                <w:szCs w:val="14"/>
                <w:color w:val="auto"/>
              </w:rPr>
            </w:pPr>
          </w:p>
        </w:tc>
        <w:tc>
          <w:tcPr>
            <w:tcW w:w="11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4,401,292</w:t>
            </w:r>
          </w:p>
        </w:tc>
        <w:tc>
          <w:tcPr>
            <w:tcW w:w="360" w:type="dxa"/>
            <w:vAlign w:val="bottom"/>
            <w:shd w:val="clear" w:color="auto" w:fill="CCEEFF"/>
          </w:tcPr>
          <w:p>
            <w:pPr>
              <w:spacing w:after="0"/>
              <w:rPr>
                <w:sz w:val="14"/>
                <w:szCs w:val="14"/>
                <w:color w:val="auto"/>
              </w:rPr>
            </w:pPr>
          </w:p>
        </w:tc>
        <w:tc>
          <w:tcPr>
            <w:tcW w:w="120" w:type="dxa"/>
            <w:vAlign w:val="bottom"/>
            <w:shd w:val="clear" w:color="auto" w:fill="CCEEFF"/>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4.78(10)</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tcPr>
          <w:p>
            <w:pPr>
              <w:spacing w:after="0"/>
              <w:rPr>
                <w:sz w:val="20"/>
                <w:szCs w:val="20"/>
                <w:color w:val="auto"/>
              </w:rPr>
            </w:pPr>
            <w:r>
              <w:rPr>
                <w:rFonts w:ascii="Arial" w:cs="Arial" w:eastAsia="Arial" w:hAnsi="Arial"/>
                <w:sz w:val="13"/>
                <w:szCs w:val="13"/>
                <w:color w:val="auto"/>
              </w:rPr>
              <w:t>Convertible Notes</w:t>
            </w:r>
          </w:p>
        </w:tc>
        <w:tc>
          <w:tcPr>
            <w:tcW w:w="960" w:type="dxa"/>
            <w:vAlign w:val="bottom"/>
          </w:tcPr>
          <w:p>
            <w:pPr>
              <w:jc w:val="right"/>
              <w:spacing w:after="0"/>
              <w:rPr>
                <w:sz w:val="20"/>
                <w:szCs w:val="20"/>
                <w:color w:val="auto"/>
              </w:rPr>
            </w:pPr>
            <w:r>
              <w:rPr>
                <w:rFonts w:ascii="Arial" w:cs="Arial" w:eastAsia="Arial" w:hAnsi="Arial"/>
                <w:sz w:val="13"/>
                <w:szCs w:val="13"/>
                <w:color w:val="auto"/>
              </w:rPr>
              <w:t>2019-2021</w:t>
            </w:r>
          </w:p>
        </w:tc>
        <w:tc>
          <w:tcPr>
            <w:tcW w:w="34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080" w:type="dxa"/>
            <w:vAlign w:val="bottom"/>
          </w:tcPr>
          <w:p>
            <w:pPr>
              <w:jc w:val="right"/>
              <w:spacing w:after="0"/>
              <w:rPr>
                <w:sz w:val="20"/>
                <w:szCs w:val="20"/>
                <w:color w:val="auto"/>
              </w:rPr>
            </w:pPr>
            <w:r>
              <w:rPr>
                <w:rFonts w:ascii="Arial" w:cs="Arial" w:eastAsia="Arial" w:hAnsi="Arial"/>
                <w:sz w:val="13"/>
                <w:szCs w:val="13"/>
                <w:color w:val="auto"/>
              </w:rPr>
              <w:t>1,465,306</w:t>
            </w:r>
          </w:p>
        </w:tc>
        <w:tc>
          <w:tcPr>
            <w:tcW w:w="42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1,465,306</w:t>
            </w:r>
          </w:p>
        </w:tc>
        <w:tc>
          <w:tcPr>
            <w:tcW w:w="360" w:type="dxa"/>
            <w:vAlign w:val="bottom"/>
          </w:tcPr>
          <w:p>
            <w:pPr>
              <w:spacing w:after="0"/>
              <w:rPr>
                <w:sz w:val="13"/>
                <w:szCs w:val="13"/>
                <w:color w:val="auto"/>
              </w:rPr>
            </w:pPr>
          </w:p>
        </w:tc>
        <w:tc>
          <w:tcPr>
            <w:tcW w:w="120" w:type="dxa"/>
            <w:vAlign w:val="bottom"/>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tcPr>
          <w:p>
            <w:pPr>
              <w:jc w:val="right"/>
              <w:ind w:right="200"/>
              <w:spacing w:after="0"/>
              <w:rPr>
                <w:sz w:val="20"/>
                <w:szCs w:val="20"/>
                <w:color w:val="auto"/>
              </w:rPr>
            </w:pPr>
            <w:r>
              <w:rPr>
                <w:rFonts w:ascii="Arial" w:cs="Arial" w:eastAsia="Arial" w:hAnsi="Arial"/>
                <w:sz w:val="13"/>
                <w:szCs w:val="13"/>
                <w:color w:val="auto"/>
              </w:rPr>
              <w:t>3.50(8)</w:t>
            </w: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410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340" w:type="dxa"/>
            <w:vAlign w:val="bottom"/>
            <w:shd w:val="clear" w:color="auto" w:fill="CCEEFF"/>
          </w:tcPr>
          <w:p>
            <w:pPr>
              <w:spacing w:after="0"/>
              <w:rPr>
                <w:sz w:val="13"/>
                <w:szCs w:val="13"/>
                <w:color w:val="auto"/>
              </w:rPr>
            </w:pPr>
          </w:p>
        </w:tc>
        <w:tc>
          <w:tcPr>
            <w:tcW w:w="1080" w:type="dxa"/>
            <w:vAlign w:val="bottom"/>
            <w:shd w:val="clear" w:color="auto" w:fill="CCEEFF"/>
          </w:tcPr>
          <w:p>
            <w:pPr>
              <w:spacing w:after="0"/>
              <w:rPr>
                <w:sz w:val="13"/>
                <w:szCs w:val="13"/>
                <w:color w:val="auto"/>
              </w:rPr>
            </w:pPr>
          </w:p>
        </w:tc>
        <w:tc>
          <w:tcPr>
            <w:tcW w:w="380" w:type="dxa"/>
            <w:vAlign w:val="bottom"/>
            <w:shd w:val="clear" w:color="auto" w:fill="CCEEFF"/>
          </w:tcPr>
          <w:p>
            <w:pPr>
              <w:spacing w:after="0"/>
              <w:rPr>
                <w:sz w:val="13"/>
                <w:szCs w:val="13"/>
                <w:color w:val="auto"/>
              </w:rPr>
            </w:pPr>
          </w:p>
        </w:tc>
        <w:tc>
          <w:tcPr>
            <w:tcW w:w="1080" w:type="dxa"/>
            <w:vAlign w:val="bottom"/>
            <w:shd w:val="clear" w:color="auto" w:fill="CCEEFF"/>
          </w:tcPr>
          <w:p>
            <w:pPr>
              <w:spacing w:after="0"/>
              <w:rPr>
                <w:sz w:val="13"/>
                <w:szCs w:val="13"/>
                <w:color w:val="auto"/>
              </w:rPr>
            </w:pPr>
          </w:p>
        </w:tc>
        <w:tc>
          <w:tcPr>
            <w:tcW w:w="420" w:type="dxa"/>
            <w:vAlign w:val="bottom"/>
            <w:shd w:val="clear" w:color="auto" w:fill="CCEEFF"/>
          </w:tcPr>
          <w:p>
            <w:pPr>
              <w:spacing w:after="0"/>
              <w:rPr>
                <w:sz w:val="13"/>
                <w:szCs w:val="13"/>
                <w:color w:val="auto"/>
              </w:rPr>
            </w:pPr>
          </w:p>
        </w:tc>
        <w:tc>
          <w:tcPr>
            <w:tcW w:w="1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4100" w:type="dxa"/>
            <w:vAlign w:val="bottom"/>
          </w:tcPr>
          <w:p>
            <w:pPr>
              <w:spacing w:after="0"/>
              <w:rPr>
                <w:sz w:val="20"/>
                <w:szCs w:val="20"/>
                <w:color w:val="auto"/>
              </w:rPr>
            </w:pPr>
            <w:r>
              <w:rPr>
                <w:rFonts w:ascii="Arial" w:cs="Arial" w:eastAsia="Arial" w:hAnsi="Arial"/>
                <w:sz w:val="13"/>
                <w:szCs w:val="13"/>
                <w:color w:val="auto"/>
              </w:rPr>
              <w:t>Total Common Share Equivalents</w:t>
            </w:r>
          </w:p>
        </w:tc>
        <w:tc>
          <w:tcPr>
            <w:tcW w:w="96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1460" w:type="dxa"/>
            <w:vAlign w:val="bottom"/>
            <w:gridSpan w:val="2"/>
          </w:tcPr>
          <w:p>
            <w:pPr>
              <w:jc w:val="right"/>
              <w:ind w:right="380"/>
              <w:spacing w:after="0"/>
              <w:rPr>
                <w:sz w:val="20"/>
                <w:szCs w:val="20"/>
                <w:color w:val="auto"/>
              </w:rPr>
            </w:pPr>
            <w:r>
              <w:rPr>
                <w:rFonts w:ascii="Arial" w:cs="Arial" w:eastAsia="Arial" w:hAnsi="Arial"/>
                <w:sz w:val="13"/>
                <w:szCs w:val="13"/>
                <w:color w:val="auto"/>
              </w:rPr>
              <w:t>37,795,283</w:t>
            </w:r>
          </w:p>
        </w:tc>
        <w:tc>
          <w:tcPr>
            <w:tcW w:w="1500" w:type="dxa"/>
            <w:vAlign w:val="bottom"/>
            <w:gridSpan w:val="2"/>
          </w:tcPr>
          <w:p>
            <w:pPr>
              <w:jc w:val="right"/>
              <w:ind w:right="420"/>
              <w:spacing w:after="0"/>
              <w:rPr>
                <w:sz w:val="20"/>
                <w:szCs w:val="20"/>
                <w:color w:val="auto"/>
              </w:rPr>
            </w:pPr>
            <w:r>
              <w:rPr>
                <w:rFonts w:ascii="Arial" w:cs="Arial" w:eastAsia="Arial" w:hAnsi="Arial"/>
                <w:sz w:val="13"/>
                <w:szCs w:val="13"/>
                <w:color w:val="auto"/>
              </w:rPr>
              <w:t>13,262,598</w:t>
            </w:r>
          </w:p>
        </w:tc>
        <w:tc>
          <w:tcPr>
            <w:tcW w:w="1100" w:type="dxa"/>
            <w:vAlign w:val="bottom"/>
          </w:tcPr>
          <w:p>
            <w:pPr>
              <w:jc w:val="right"/>
              <w:spacing w:after="0"/>
              <w:rPr>
                <w:sz w:val="20"/>
                <w:szCs w:val="20"/>
                <w:color w:val="auto"/>
              </w:rPr>
            </w:pPr>
            <w:r>
              <w:rPr>
                <w:rFonts w:ascii="Arial" w:cs="Arial" w:eastAsia="Arial" w:hAnsi="Arial"/>
                <w:sz w:val="13"/>
                <w:szCs w:val="13"/>
                <w:color w:val="auto"/>
              </w:rPr>
              <w:t>51,057,881</w:t>
            </w: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100" w:type="dxa"/>
            <w:vAlign w:val="bottom"/>
            <w:shd w:val="clear" w:color="auto" w:fill="CCEEFF"/>
          </w:tcPr>
          <w:p>
            <w:pPr>
              <w:spacing w:after="0"/>
              <w:rPr>
                <w:sz w:val="20"/>
                <w:szCs w:val="20"/>
                <w:color w:val="auto"/>
              </w:rPr>
            </w:pPr>
            <w:r>
              <w:rPr>
                <w:rFonts w:ascii="Arial" w:cs="Arial" w:eastAsia="Arial" w:hAnsi="Arial"/>
                <w:sz w:val="13"/>
                <w:szCs w:val="13"/>
                <w:color w:val="auto"/>
              </w:rPr>
              <w:t>Investors in this offering, assuming $40 million raised</w:t>
            </w:r>
          </w:p>
        </w:tc>
        <w:tc>
          <w:tcPr>
            <w:tcW w:w="960" w:type="dxa"/>
            <w:vAlign w:val="bottom"/>
            <w:shd w:val="clear" w:color="auto" w:fill="CCEEFF"/>
          </w:tcPr>
          <w:p>
            <w:pPr>
              <w:spacing w:after="0"/>
              <w:rPr>
                <w:sz w:val="13"/>
                <w:szCs w:val="13"/>
                <w:color w:val="auto"/>
              </w:rPr>
            </w:pPr>
          </w:p>
        </w:tc>
        <w:tc>
          <w:tcPr>
            <w:tcW w:w="340" w:type="dxa"/>
            <w:vAlign w:val="bottom"/>
            <w:shd w:val="clear" w:color="auto" w:fill="CCEEFF"/>
          </w:tcPr>
          <w:p>
            <w:pPr>
              <w:spacing w:after="0"/>
              <w:rPr>
                <w:sz w:val="13"/>
                <w:szCs w:val="13"/>
                <w:color w:val="auto"/>
              </w:rPr>
            </w:pPr>
          </w:p>
        </w:tc>
        <w:tc>
          <w:tcPr>
            <w:tcW w:w="1460" w:type="dxa"/>
            <w:vAlign w:val="bottom"/>
            <w:gridSpan w:val="2"/>
            <w:shd w:val="clear" w:color="auto" w:fill="CCEEFF"/>
          </w:tcPr>
          <w:p>
            <w:pPr>
              <w:jc w:val="right"/>
              <w:ind w:right="380"/>
              <w:spacing w:after="0"/>
              <w:rPr>
                <w:sz w:val="20"/>
                <w:szCs w:val="20"/>
                <w:color w:val="auto"/>
              </w:rPr>
            </w:pPr>
            <w:r>
              <w:rPr>
                <w:rFonts w:ascii="Arial" w:cs="Arial" w:eastAsia="Arial" w:hAnsi="Arial"/>
                <w:sz w:val="13"/>
                <w:szCs w:val="13"/>
                <w:color w:val="auto"/>
              </w:rPr>
              <w:t>4,000,000</w:t>
            </w:r>
          </w:p>
        </w:tc>
        <w:tc>
          <w:tcPr>
            <w:tcW w:w="1080" w:type="dxa"/>
            <w:vAlign w:val="bottom"/>
            <w:shd w:val="clear" w:color="auto" w:fill="CCEEFF"/>
          </w:tcPr>
          <w:p>
            <w:pPr>
              <w:spacing w:after="0"/>
              <w:rPr>
                <w:sz w:val="13"/>
                <w:szCs w:val="13"/>
                <w:color w:val="auto"/>
              </w:rPr>
            </w:pPr>
          </w:p>
        </w:tc>
        <w:tc>
          <w:tcPr>
            <w:tcW w:w="420" w:type="dxa"/>
            <w:vAlign w:val="bottom"/>
            <w:shd w:val="clear" w:color="auto" w:fill="CCEEFF"/>
          </w:tcPr>
          <w:p>
            <w:pPr>
              <w:spacing w:after="0"/>
              <w:rPr>
                <w:sz w:val="13"/>
                <w:szCs w:val="13"/>
                <w:color w:val="auto"/>
              </w:rPr>
            </w:pPr>
          </w:p>
        </w:tc>
        <w:tc>
          <w:tcPr>
            <w:tcW w:w="11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4,000,000</w:t>
            </w:r>
          </w:p>
        </w:tc>
        <w:tc>
          <w:tcPr>
            <w:tcW w:w="360" w:type="dxa"/>
            <w:vAlign w:val="bottom"/>
            <w:shd w:val="clear" w:color="auto" w:fill="CCEEFF"/>
          </w:tcPr>
          <w:p>
            <w:pPr>
              <w:spacing w:after="0"/>
              <w:rPr>
                <w:sz w:val="13"/>
                <w:szCs w:val="13"/>
                <w:color w:val="auto"/>
              </w:rPr>
            </w:pPr>
          </w:p>
        </w:tc>
        <w:tc>
          <w:tcPr>
            <w:tcW w:w="120" w:type="dxa"/>
            <w:vAlign w:val="bottom"/>
            <w:shd w:val="clear" w:color="auto" w:fill="CCEEFF"/>
          </w:tcPr>
          <w:p>
            <w:pPr>
              <w:jc w:val="right"/>
              <w:ind w:right="11"/>
              <w:spacing w:after="0"/>
              <w:rPr>
                <w:sz w:val="20"/>
                <w:szCs w:val="20"/>
                <w:color w:val="auto"/>
              </w:rPr>
            </w:pPr>
            <w:r>
              <w:rPr>
                <w:rFonts w:ascii="Arial" w:cs="Arial" w:eastAsia="Arial" w:hAnsi="Arial"/>
                <w:sz w:val="10"/>
                <w:szCs w:val="10"/>
                <w:color w:val="auto"/>
                <w:w w:val="71"/>
              </w:rPr>
              <w:t>$</w:t>
            </w:r>
          </w:p>
        </w:tc>
        <w:tc>
          <w:tcPr>
            <w:tcW w:w="1320" w:type="dxa"/>
            <w:vAlign w:val="bottom"/>
            <w:gridSpan w:val="2"/>
            <w:shd w:val="clear" w:color="auto" w:fill="CCEEFF"/>
          </w:tcPr>
          <w:p>
            <w:pPr>
              <w:jc w:val="right"/>
              <w:ind w:right="360"/>
              <w:spacing w:after="0"/>
              <w:rPr>
                <w:sz w:val="20"/>
                <w:szCs w:val="20"/>
                <w:color w:val="auto"/>
              </w:rPr>
            </w:pPr>
            <w:r>
              <w:rPr>
                <w:rFonts w:ascii="Arial" w:cs="Arial" w:eastAsia="Arial" w:hAnsi="Arial"/>
                <w:sz w:val="13"/>
                <w:szCs w:val="13"/>
                <w:color w:val="auto"/>
              </w:rPr>
              <w:t>10.00</w:t>
            </w: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410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38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4100" w:type="dxa"/>
            <w:vAlign w:val="bottom"/>
            <w:shd w:val="clear" w:color="auto" w:fill="CCEEFF"/>
          </w:tcPr>
          <w:p>
            <w:pPr>
              <w:spacing w:after="0"/>
              <w:rPr>
                <w:sz w:val="20"/>
                <w:szCs w:val="20"/>
                <w:color w:val="auto"/>
              </w:rPr>
            </w:pPr>
            <w:r>
              <w:rPr>
                <w:rFonts w:ascii="Arial" w:cs="Arial" w:eastAsia="Arial" w:hAnsi="Arial"/>
                <w:sz w:val="13"/>
                <w:szCs w:val="13"/>
                <w:color w:val="auto"/>
              </w:rPr>
              <w:t>Totals after inclusion of this offering</w:t>
            </w:r>
          </w:p>
        </w:tc>
        <w:tc>
          <w:tcPr>
            <w:tcW w:w="960" w:type="dxa"/>
            <w:vAlign w:val="bottom"/>
            <w:shd w:val="clear" w:color="auto" w:fill="CCEEFF"/>
          </w:tcPr>
          <w:p>
            <w:pPr>
              <w:spacing w:after="0"/>
              <w:rPr>
                <w:sz w:val="13"/>
                <w:szCs w:val="13"/>
                <w:color w:val="auto"/>
              </w:rPr>
            </w:pPr>
          </w:p>
        </w:tc>
        <w:tc>
          <w:tcPr>
            <w:tcW w:w="340" w:type="dxa"/>
            <w:vAlign w:val="bottom"/>
            <w:shd w:val="clear" w:color="auto" w:fill="CCEEFF"/>
          </w:tcPr>
          <w:p>
            <w:pPr>
              <w:spacing w:after="0"/>
              <w:rPr>
                <w:sz w:val="13"/>
                <w:szCs w:val="13"/>
                <w:color w:val="auto"/>
              </w:rPr>
            </w:pPr>
          </w:p>
        </w:tc>
        <w:tc>
          <w:tcPr>
            <w:tcW w:w="1460" w:type="dxa"/>
            <w:vAlign w:val="bottom"/>
            <w:gridSpan w:val="2"/>
            <w:shd w:val="clear" w:color="auto" w:fill="CCEEFF"/>
          </w:tcPr>
          <w:p>
            <w:pPr>
              <w:jc w:val="right"/>
              <w:ind w:right="380"/>
              <w:spacing w:after="0"/>
              <w:rPr>
                <w:sz w:val="20"/>
                <w:szCs w:val="20"/>
                <w:color w:val="auto"/>
              </w:rPr>
            </w:pPr>
            <w:r>
              <w:rPr>
                <w:rFonts w:ascii="Arial" w:cs="Arial" w:eastAsia="Arial" w:hAnsi="Arial"/>
                <w:sz w:val="13"/>
                <w:szCs w:val="13"/>
                <w:color w:val="auto"/>
              </w:rPr>
              <w:t>41,795,283</w:t>
            </w:r>
          </w:p>
        </w:tc>
        <w:tc>
          <w:tcPr>
            <w:tcW w:w="1500" w:type="dxa"/>
            <w:vAlign w:val="bottom"/>
            <w:gridSpan w:val="2"/>
            <w:shd w:val="clear" w:color="auto" w:fill="CCEEFF"/>
          </w:tcPr>
          <w:p>
            <w:pPr>
              <w:jc w:val="right"/>
              <w:ind w:right="420"/>
              <w:spacing w:after="0"/>
              <w:rPr>
                <w:sz w:val="20"/>
                <w:szCs w:val="20"/>
                <w:color w:val="auto"/>
              </w:rPr>
            </w:pPr>
            <w:r>
              <w:rPr>
                <w:rFonts w:ascii="Arial" w:cs="Arial" w:eastAsia="Arial" w:hAnsi="Arial"/>
                <w:sz w:val="13"/>
                <w:szCs w:val="13"/>
                <w:color w:val="auto"/>
              </w:rPr>
              <w:t>13,262,598</w:t>
            </w:r>
          </w:p>
        </w:tc>
        <w:tc>
          <w:tcPr>
            <w:tcW w:w="11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55,057,881</w:t>
            </w:r>
          </w:p>
        </w:tc>
        <w:tc>
          <w:tcPr>
            <w:tcW w:w="36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bl>
    <w:p>
      <w:pPr>
        <w:spacing w:after="0" w:line="148" w:lineRule="exact"/>
        <w:rPr>
          <w:sz w:val="20"/>
          <w:szCs w:val="20"/>
          <w:color w:val="auto"/>
        </w:rPr>
      </w:pPr>
    </w:p>
    <w:p>
      <w:pPr>
        <w:ind w:left="460" w:hanging="227"/>
        <w:spacing w:after="0"/>
        <w:tabs>
          <w:tab w:leader="none" w:pos="460" w:val="left"/>
        </w:tabs>
        <w:numPr>
          <w:ilvl w:val="0"/>
          <w:numId w:val="12"/>
        </w:numPr>
        <w:rPr>
          <w:rFonts w:ascii="Arial" w:cs="Arial" w:eastAsia="Arial" w:hAnsi="Arial"/>
          <w:sz w:val="13"/>
          <w:szCs w:val="13"/>
          <w:color w:val="auto"/>
        </w:rPr>
      </w:pPr>
      <w:r>
        <w:rPr>
          <w:rFonts w:ascii="Arial" w:cs="Arial" w:eastAsia="Arial" w:hAnsi="Arial"/>
          <w:sz w:val="13"/>
          <w:szCs w:val="13"/>
          <w:color w:val="auto"/>
        </w:rPr>
        <w:t>Shares of Class B Common Stock issued for various prices ranging from $0.001 to $0.16 per share. Weighted average pricing presented.</w:t>
      </w:r>
    </w:p>
    <w:p>
      <w:pPr>
        <w:spacing w:after="0" w:line="14" w:lineRule="exact"/>
        <w:rPr>
          <w:rFonts w:ascii="Arial" w:cs="Arial" w:eastAsia="Arial" w:hAnsi="Arial"/>
          <w:sz w:val="13"/>
          <w:szCs w:val="13"/>
          <w:color w:val="auto"/>
        </w:rPr>
      </w:pPr>
    </w:p>
    <w:p>
      <w:pPr>
        <w:ind w:left="460" w:right="260" w:hanging="227"/>
        <w:spacing w:after="0" w:line="262" w:lineRule="auto"/>
        <w:tabs>
          <w:tab w:leader="none" w:pos="460" w:val="left"/>
        </w:tabs>
        <w:numPr>
          <w:ilvl w:val="0"/>
          <w:numId w:val="12"/>
        </w:numPr>
        <w:rPr>
          <w:rFonts w:ascii="Arial" w:cs="Arial" w:eastAsia="Arial" w:hAnsi="Arial"/>
          <w:sz w:val="13"/>
          <w:szCs w:val="13"/>
          <w:color w:val="auto"/>
        </w:rPr>
      </w:pPr>
      <w:r>
        <w:rPr>
          <w:rFonts w:ascii="Arial" w:cs="Arial" w:eastAsia="Arial" w:hAnsi="Arial"/>
          <w:sz w:val="13"/>
          <w:szCs w:val="13"/>
          <w:color w:val="auto"/>
        </w:rPr>
        <w:t>Convertible notes were converted to Series A Preferred Stock and Series B Preferred Stock at a discount to the price per share of the Series A Preferred Stock financing that triggered the conversion. The table presents the effective pricing of the conversion based on the original principal and accrued interest on the notes.</w:t>
      </w:r>
    </w:p>
    <w:p>
      <w:pPr>
        <w:spacing w:after="0" w:line="311"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19" w:name="page20"/>
    <w:bookmarkEnd w:id="19"/>
    <w:p>
      <w:pPr>
        <w:ind w:left="460" w:right="120" w:hanging="227"/>
        <w:spacing w:after="0" w:line="255" w:lineRule="auto"/>
        <w:tabs>
          <w:tab w:leader="none" w:pos="460" w:val="left"/>
        </w:tabs>
        <w:numPr>
          <w:ilvl w:val="0"/>
          <w:numId w:val="13"/>
        </w:numPr>
        <w:rPr>
          <w:rFonts w:ascii="Arial" w:cs="Arial" w:eastAsia="Arial" w:hAnsi="Arial"/>
          <w:sz w:val="13"/>
          <w:szCs w:val="13"/>
          <w:color w:val="auto"/>
        </w:rPr>
      </w:pPr>
      <w:r>
        <w:rPr>
          <w:rFonts w:ascii="Arial" w:cs="Arial" w:eastAsia="Arial" w:hAnsi="Arial"/>
          <w:sz w:val="13"/>
          <w:szCs w:val="13"/>
          <w:color w:val="auto"/>
        </w:rPr>
        <w:t>1,432,786 shares of Series m-4 Preferred Stock were issued in exchange for 1,432,786 shares of Series m-3 Preferred Stock at a ratio of 1:1 in connection with the investors receiving such stock investing additional capital into the Company pursuant to the terms of the Convertible Note Financing as defined in and discussed under Management’s Discussion and Analysis of Financial Condition and Results of Operations – Liquidity and Capital Resources.”</w:t>
      </w:r>
    </w:p>
    <w:p>
      <w:pPr>
        <w:ind w:left="460" w:right="140" w:hanging="227"/>
        <w:spacing w:after="0" w:line="251" w:lineRule="auto"/>
        <w:tabs>
          <w:tab w:leader="none" w:pos="460" w:val="left"/>
        </w:tabs>
        <w:numPr>
          <w:ilvl w:val="0"/>
          <w:numId w:val="13"/>
        </w:numPr>
        <w:rPr>
          <w:rFonts w:ascii="Arial" w:cs="Arial" w:eastAsia="Arial" w:hAnsi="Arial"/>
          <w:sz w:val="13"/>
          <w:szCs w:val="13"/>
          <w:color w:val="auto"/>
        </w:rPr>
      </w:pPr>
      <w:r>
        <w:rPr>
          <w:rFonts w:ascii="Arial" w:cs="Arial" w:eastAsia="Arial" w:hAnsi="Arial"/>
          <w:sz w:val="13"/>
          <w:szCs w:val="13"/>
          <w:color w:val="auto"/>
        </w:rPr>
        <w:t>Stock option and warrant pricing is the weighted average exercise price of outstanding options and warrants, respectively. Includes options issued to officers, directors and affiliated persons pursuant to the 2014 Equity Incentive Plan and the 2016 Equity Incentive Plan.</w:t>
      </w:r>
    </w:p>
    <w:p>
      <w:pPr>
        <w:ind w:left="460" w:hanging="227"/>
        <w:spacing w:after="0"/>
        <w:tabs>
          <w:tab w:leader="none" w:pos="460" w:val="left"/>
        </w:tabs>
        <w:numPr>
          <w:ilvl w:val="0"/>
          <w:numId w:val="13"/>
        </w:numPr>
        <w:rPr>
          <w:rFonts w:ascii="Arial" w:cs="Arial" w:eastAsia="Arial" w:hAnsi="Arial"/>
          <w:sz w:val="13"/>
          <w:szCs w:val="13"/>
          <w:color w:val="auto"/>
        </w:rPr>
      </w:pPr>
      <w:r>
        <w:rPr>
          <w:rFonts w:ascii="Arial" w:cs="Arial" w:eastAsia="Arial" w:hAnsi="Arial"/>
          <w:sz w:val="13"/>
          <w:szCs w:val="13"/>
          <w:color w:val="auto"/>
        </w:rPr>
        <w:t>Does not include 19,981 shares of Series S Preferred Stock issued after June 30, 2021.</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13"/>
        </w:numPr>
        <w:rPr>
          <w:rFonts w:ascii="Arial" w:cs="Arial" w:eastAsia="Arial" w:hAnsi="Arial"/>
          <w:sz w:val="13"/>
          <w:szCs w:val="13"/>
          <w:color w:val="auto"/>
        </w:rPr>
      </w:pPr>
      <w:r>
        <w:rPr>
          <w:rFonts w:ascii="Arial" w:cs="Arial" w:eastAsia="Arial" w:hAnsi="Arial"/>
          <w:sz w:val="13"/>
          <w:szCs w:val="13"/>
          <w:color w:val="auto"/>
        </w:rPr>
        <w:t>Does not include 585,000 stock options issued after June 30, 2021.</w:t>
      </w:r>
    </w:p>
    <w:p>
      <w:pPr>
        <w:spacing w:after="0" w:line="6" w:lineRule="exact"/>
        <w:rPr>
          <w:rFonts w:ascii="Arial" w:cs="Arial" w:eastAsia="Arial" w:hAnsi="Arial"/>
          <w:sz w:val="13"/>
          <w:szCs w:val="13"/>
          <w:color w:val="auto"/>
        </w:rPr>
      </w:pPr>
    </w:p>
    <w:p>
      <w:pPr>
        <w:ind w:left="460" w:right="60" w:hanging="227"/>
        <w:spacing w:after="0" w:line="315" w:lineRule="auto"/>
        <w:tabs>
          <w:tab w:leader="none" w:pos="460" w:val="left"/>
        </w:tabs>
        <w:numPr>
          <w:ilvl w:val="0"/>
          <w:numId w:val="13"/>
        </w:numPr>
        <w:rPr>
          <w:rFonts w:ascii="Arial" w:cs="Arial" w:eastAsia="Arial" w:hAnsi="Arial"/>
          <w:sz w:val="11"/>
          <w:szCs w:val="11"/>
          <w:color w:val="auto"/>
        </w:rPr>
      </w:pPr>
      <w:r>
        <w:rPr>
          <w:rFonts w:ascii="Arial" w:cs="Arial" w:eastAsia="Arial" w:hAnsi="Arial"/>
          <w:sz w:val="11"/>
          <w:szCs w:val="11"/>
          <w:color w:val="auto"/>
        </w:rPr>
        <w:t>Does not include shares of Class A Common Stock issuable as a result of the anti-dilution adjustment to the conversion ratio for the Series m Preferred Stock, Series m-2 Preferred Stock and Series S Preferred Stock. See “Securities Being Offered.” The table below sets forth the number of shares outstanding for each of those series of Preferred Stock as of June 30, 2021 and as of November 18, 2021, the conversion ratio of each series as of those dates and the number of shares, on an as-converted basis, assuming all holders of the Series S Preferred Stock, Series m Preferred Stock and Series m-2 Preferred Stock converted their shares of Preferred Stock as of those dates and that the Class B Common Stock issuable upon conversion of the Series m-2 Preferred Stock is converted to Class A Common Stock.</w:t>
      </w:r>
    </w:p>
    <w:p>
      <w:pPr>
        <w:spacing w:after="0" w:line="119" w:lineRule="exact"/>
        <w:rPr>
          <w:sz w:val="20"/>
          <w:szCs w:val="20"/>
          <w:color w:val="auto"/>
        </w:rPr>
      </w:pPr>
    </w:p>
    <w:tbl>
      <w:tblPr>
        <w:tblLayout w:type="fixed"/>
        <w:tblInd w:w="570" w:type="dxa"/>
        <w:tblCellMar>
          <w:top w:w="0" w:type="dxa"/>
          <w:left w:w="0" w:type="dxa"/>
          <w:bottom w:w="0" w:type="dxa"/>
          <w:right w:w="0" w:type="dxa"/>
        </w:tblCellMar>
      </w:tblPr>
      <w:tr>
        <w:trPr>
          <w:trHeight w:val="153"/>
        </w:trPr>
        <w:tc>
          <w:tcPr>
            <w:tcW w:w="2520" w:type="dxa"/>
            <w:vAlign w:val="bottom"/>
            <w:tcBorders>
              <w:top w:val="single" w:sz="8" w:color="auto"/>
              <w:left w:val="single" w:sz="8" w:color="auto"/>
              <w:right w:val="single" w:sz="8" w:color="auto"/>
            </w:tcBorders>
          </w:tcPr>
          <w:p>
            <w:pPr>
              <w:spacing w:after="0"/>
              <w:rPr>
                <w:sz w:val="13"/>
                <w:szCs w:val="13"/>
                <w:color w:val="auto"/>
              </w:rPr>
            </w:pPr>
          </w:p>
        </w:tc>
        <w:tc>
          <w:tcPr>
            <w:tcW w:w="1320" w:type="dxa"/>
            <w:vAlign w:val="bottom"/>
            <w:tcBorders>
              <w:top w:val="single" w:sz="8" w:color="auto"/>
              <w:right w:val="single" w:sz="8" w:color="auto"/>
            </w:tcBorders>
          </w:tcPr>
          <w:p>
            <w:pPr>
              <w:spacing w:after="0"/>
              <w:rPr>
                <w:sz w:val="13"/>
                <w:szCs w:val="13"/>
                <w:color w:val="auto"/>
              </w:rPr>
            </w:pPr>
          </w:p>
        </w:tc>
        <w:tc>
          <w:tcPr>
            <w:tcW w:w="1300" w:type="dxa"/>
            <w:vAlign w:val="bottom"/>
            <w:tcBorders>
              <w:top w:val="single" w:sz="8" w:color="auto"/>
              <w:right w:val="single" w:sz="8" w:color="auto"/>
            </w:tcBorders>
          </w:tcPr>
          <w:p>
            <w:pPr>
              <w:spacing w:after="0"/>
              <w:rPr>
                <w:sz w:val="13"/>
                <w:szCs w:val="13"/>
                <w:color w:val="auto"/>
              </w:rPr>
            </w:pPr>
          </w:p>
        </w:tc>
        <w:tc>
          <w:tcPr>
            <w:tcW w:w="11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3"/>
                <w:szCs w:val="13"/>
                <w:b w:val="1"/>
                <w:bCs w:val="1"/>
                <w:color w:val="auto"/>
                <w:w w:val="89"/>
              </w:rPr>
              <w:t>As Converted</w:t>
            </w:r>
          </w:p>
        </w:tc>
        <w:tc>
          <w:tcPr>
            <w:tcW w:w="180" w:type="dxa"/>
            <w:vAlign w:val="bottom"/>
            <w:tcBorders>
              <w:top w:val="single" w:sz="8" w:color="auto"/>
              <w:right w:val="single" w:sz="8" w:color="auto"/>
            </w:tcBorders>
          </w:tcPr>
          <w:p>
            <w:pPr>
              <w:spacing w:after="0"/>
              <w:rPr>
                <w:sz w:val="13"/>
                <w:szCs w:val="13"/>
                <w:color w:val="auto"/>
              </w:rPr>
            </w:pPr>
          </w:p>
        </w:tc>
        <w:tc>
          <w:tcPr>
            <w:tcW w:w="1300" w:type="dxa"/>
            <w:vAlign w:val="bottom"/>
            <w:tcBorders>
              <w:top w:val="single" w:sz="8" w:color="auto"/>
              <w:right w:val="single" w:sz="8" w:color="auto"/>
            </w:tcBorders>
          </w:tcPr>
          <w:p>
            <w:pPr>
              <w:spacing w:after="0"/>
              <w:rPr>
                <w:sz w:val="13"/>
                <w:szCs w:val="13"/>
                <w:color w:val="auto"/>
              </w:rPr>
            </w:pPr>
          </w:p>
        </w:tc>
        <w:tc>
          <w:tcPr>
            <w:tcW w:w="1120" w:type="dxa"/>
            <w:vAlign w:val="bottom"/>
            <w:tcBorders>
              <w:top w:val="single" w:sz="8" w:color="auto"/>
              <w:right w:val="single" w:sz="8" w:color="auto"/>
            </w:tcBorders>
          </w:tcPr>
          <w:p>
            <w:pPr>
              <w:spacing w:after="0"/>
              <w:rPr>
                <w:sz w:val="13"/>
                <w:szCs w:val="13"/>
                <w:color w:val="auto"/>
              </w:rPr>
            </w:pPr>
          </w:p>
        </w:tc>
        <w:tc>
          <w:tcPr>
            <w:tcW w:w="1320" w:type="dxa"/>
            <w:vAlign w:val="bottom"/>
            <w:tcBorders>
              <w:top w:val="single" w:sz="8" w:color="auto"/>
              <w:right w:val="single" w:sz="8" w:color="auto"/>
            </w:tcBorders>
          </w:tcPr>
          <w:p>
            <w:pPr>
              <w:spacing w:after="0"/>
              <w:rPr>
                <w:sz w:val="13"/>
                <w:szCs w:val="13"/>
                <w:color w:val="auto"/>
              </w:rPr>
            </w:pPr>
          </w:p>
        </w:tc>
      </w:tr>
      <w:tr>
        <w:trPr>
          <w:trHeight w:val="156"/>
        </w:trPr>
        <w:tc>
          <w:tcPr>
            <w:tcW w:w="2520" w:type="dxa"/>
            <w:vAlign w:val="bottom"/>
            <w:tcBorders>
              <w:left w:val="single" w:sz="8" w:color="auto"/>
              <w:right w:val="single" w:sz="8" w:color="auto"/>
            </w:tcBorders>
          </w:tcPr>
          <w:p>
            <w:pPr>
              <w:spacing w:after="0"/>
              <w:rPr>
                <w:sz w:val="13"/>
                <w:szCs w:val="13"/>
                <w:color w:val="auto"/>
              </w:rPr>
            </w:pPr>
          </w:p>
        </w:tc>
        <w:tc>
          <w:tcPr>
            <w:tcW w:w="1320" w:type="dxa"/>
            <w:vAlign w:val="bottom"/>
            <w:tcBorders>
              <w:right w:val="single" w:sz="8" w:color="auto"/>
            </w:tcBorders>
          </w:tcPr>
          <w:p>
            <w:pPr>
              <w:spacing w:after="0"/>
              <w:rPr>
                <w:sz w:val="13"/>
                <w:szCs w:val="13"/>
                <w:color w:val="auto"/>
              </w:rPr>
            </w:pPr>
          </w:p>
        </w:tc>
        <w:tc>
          <w:tcPr>
            <w:tcW w:w="1300" w:type="dxa"/>
            <w:vAlign w:val="bottom"/>
            <w:tcBorders>
              <w:right w:val="single" w:sz="8" w:color="auto"/>
            </w:tcBorders>
          </w:tcPr>
          <w:p>
            <w:pPr>
              <w:spacing w:after="0"/>
              <w:rPr>
                <w:sz w:val="13"/>
                <w:szCs w:val="13"/>
                <w:color w:val="auto"/>
              </w:rPr>
            </w:pP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13"/>
                <w:szCs w:val="13"/>
                <w:b w:val="1"/>
                <w:bCs w:val="1"/>
                <w:color w:val="auto"/>
                <w:w w:val="86"/>
              </w:rPr>
              <w:t>Shares of Class</w:t>
            </w:r>
          </w:p>
        </w:tc>
        <w:tc>
          <w:tcPr>
            <w:tcW w:w="180" w:type="dxa"/>
            <w:vAlign w:val="bottom"/>
            <w:tcBorders>
              <w:right w:val="single" w:sz="8" w:color="auto"/>
            </w:tcBorders>
          </w:tcPr>
          <w:p>
            <w:pPr>
              <w:spacing w:after="0"/>
              <w:rPr>
                <w:sz w:val="13"/>
                <w:szCs w:val="13"/>
                <w:color w:val="auto"/>
              </w:rPr>
            </w:pPr>
          </w:p>
        </w:tc>
        <w:tc>
          <w:tcPr>
            <w:tcW w:w="1300" w:type="dxa"/>
            <w:vAlign w:val="bottom"/>
            <w:tcBorders>
              <w:right w:val="single" w:sz="8" w:color="auto"/>
            </w:tcBorders>
          </w:tcPr>
          <w:p>
            <w:pPr>
              <w:spacing w:after="0"/>
              <w:rPr>
                <w:sz w:val="13"/>
                <w:szCs w:val="13"/>
                <w:color w:val="auto"/>
              </w:rPr>
            </w:pP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13"/>
                <w:szCs w:val="13"/>
                <w:b w:val="1"/>
                <w:bCs w:val="1"/>
                <w:color w:val="auto"/>
                <w:w w:val="86"/>
              </w:rPr>
              <w:t>Conversion</w:t>
            </w:r>
          </w:p>
        </w:tc>
        <w:tc>
          <w:tcPr>
            <w:tcW w:w="1320" w:type="dxa"/>
            <w:vAlign w:val="bottom"/>
            <w:tcBorders>
              <w:right w:val="single" w:sz="8" w:color="auto"/>
            </w:tcBorders>
          </w:tcPr>
          <w:p>
            <w:pPr>
              <w:jc w:val="center"/>
              <w:spacing w:after="0"/>
              <w:rPr>
                <w:sz w:val="20"/>
                <w:szCs w:val="20"/>
                <w:color w:val="auto"/>
              </w:rPr>
            </w:pPr>
            <w:r>
              <w:rPr>
                <w:rFonts w:ascii="Arial" w:cs="Arial" w:eastAsia="Arial" w:hAnsi="Arial"/>
                <w:sz w:val="13"/>
                <w:szCs w:val="13"/>
                <w:b w:val="1"/>
                <w:bCs w:val="1"/>
                <w:color w:val="auto"/>
                <w:w w:val="89"/>
              </w:rPr>
              <w:t>As Converted</w:t>
            </w:r>
          </w:p>
        </w:tc>
      </w:tr>
      <w:tr>
        <w:trPr>
          <w:trHeight w:val="156"/>
        </w:trPr>
        <w:tc>
          <w:tcPr>
            <w:tcW w:w="2520" w:type="dxa"/>
            <w:vAlign w:val="bottom"/>
            <w:tcBorders>
              <w:left w:val="single" w:sz="8" w:color="auto"/>
              <w:right w:val="single" w:sz="8" w:color="auto"/>
            </w:tcBorders>
          </w:tcPr>
          <w:p>
            <w:pPr>
              <w:spacing w:after="0"/>
              <w:rPr>
                <w:sz w:val="13"/>
                <w:szCs w:val="13"/>
                <w:color w:val="auto"/>
              </w:rPr>
            </w:pPr>
          </w:p>
        </w:tc>
        <w:tc>
          <w:tcPr>
            <w:tcW w:w="1320" w:type="dxa"/>
            <w:vAlign w:val="bottom"/>
            <w:tcBorders>
              <w:right w:val="single" w:sz="8" w:color="auto"/>
            </w:tcBorders>
          </w:tcPr>
          <w:p>
            <w:pPr>
              <w:jc w:val="center"/>
              <w:spacing w:after="0"/>
              <w:rPr>
                <w:sz w:val="20"/>
                <w:szCs w:val="20"/>
                <w:color w:val="auto"/>
              </w:rPr>
            </w:pPr>
            <w:r>
              <w:rPr>
                <w:rFonts w:ascii="Arial" w:cs="Arial" w:eastAsia="Arial" w:hAnsi="Arial"/>
                <w:sz w:val="13"/>
                <w:szCs w:val="13"/>
                <w:b w:val="1"/>
                <w:bCs w:val="1"/>
                <w:color w:val="auto"/>
                <w:w w:val="87"/>
              </w:rPr>
              <w:t>Shares</w:t>
            </w:r>
          </w:p>
        </w:tc>
        <w:tc>
          <w:tcPr>
            <w:tcW w:w="1300" w:type="dxa"/>
            <w:vAlign w:val="bottom"/>
            <w:tcBorders>
              <w:right w:val="single" w:sz="8" w:color="auto"/>
            </w:tcBorders>
          </w:tcPr>
          <w:p>
            <w:pPr>
              <w:jc w:val="center"/>
              <w:spacing w:after="0"/>
              <w:rPr>
                <w:sz w:val="20"/>
                <w:szCs w:val="20"/>
                <w:color w:val="auto"/>
              </w:rPr>
            </w:pPr>
            <w:r>
              <w:rPr>
                <w:rFonts w:ascii="Arial" w:cs="Arial" w:eastAsia="Arial" w:hAnsi="Arial"/>
                <w:sz w:val="13"/>
                <w:szCs w:val="13"/>
                <w:b w:val="1"/>
                <w:bCs w:val="1"/>
                <w:color w:val="auto"/>
                <w:w w:val="89"/>
              </w:rPr>
              <w:t>Conversion</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13"/>
                <w:szCs w:val="13"/>
                <w:b w:val="1"/>
                <w:bCs w:val="1"/>
                <w:color w:val="auto"/>
                <w:w w:val="92"/>
              </w:rPr>
              <w:t>A Common</w:t>
            </w:r>
          </w:p>
        </w:tc>
        <w:tc>
          <w:tcPr>
            <w:tcW w:w="180" w:type="dxa"/>
            <w:vAlign w:val="bottom"/>
            <w:tcBorders>
              <w:right w:val="single" w:sz="8" w:color="auto"/>
            </w:tcBorders>
          </w:tcPr>
          <w:p>
            <w:pPr>
              <w:spacing w:after="0"/>
              <w:rPr>
                <w:sz w:val="13"/>
                <w:szCs w:val="13"/>
                <w:color w:val="auto"/>
              </w:rPr>
            </w:pPr>
          </w:p>
        </w:tc>
        <w:tc>
          <w:tcPr>
            <w:tcW w:w="1300" w:type="dxa"/>
            <w:vAlign w:val="bottom"/>
            <w:tcBorders>
              <w:right w:val="single" w:sz="8" w:color="auto"/>
            </w:tcBorders>
          </w:tcPr>
          <w:p>
            <w:pPr>
              <w:jc w:val="center"/>
              <w:spacing w:after="0"/>
              <w:rPr>
                <w:sz w:val="20"/>
                <w:szCs w:val="20"/>
                <w:color w:val="auto"/>
              </w:rPr>
            </w:pPr>
            <w:r>
              <w:rPr>
                <w:rFonts w:ascii="Arial" w:cs="Arial" w:eastAsia="Arial" w:hAnsi="Arial"/>
                <w:sz w:val="13"/>
                <w:szCs w:val="13"/>
                <w:b w:val="1"/>
                <w:bCs w:val="1"/>
                <w:color w:val="auto"/>
                <w:w w:val="89"/>
              </w:rPr>
              <w:t>Shares Outstanding</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13"/>
                <w:szCs w:val="13"/>
                <w:b w:val="1"/>
                <w:bCs w:val="1"/>
                <w:color w:val="auto"/>
                <w:w w:val="89"/>
              </w:rPr>
              <w:t>Factor as of</w:t>
            </w:r>
          </w:p>
        </w:tc>
        <w:tc>
          <w:tcPr>
            <w:tcW w:w="1320" w:type="dxa"/>
            <w:vAlign w:val="bottom"/>
            <w:tcBorders>
              <w:right w:val="single" w:sz="8" w:color="auto"/>
            </w:tcBorders>
          </w:tcPr>
          <w:p>
            <w:pPr>
              <w:jc w:val="center"/>
              <w:spacing w:after="0"/>
              <w:rPr>
                <w:sz w:val="20"/>
                <w:szCs w:val="20"/>
                <w:color w:val="auto"/>
              </w:rPr>
            </w:pPr>
            <w:r>
              <w:rPr>
                <w:rFonts w:ascii="Arial" w:cs="Arial" w:eastAsia="Arial" w:hAnsi="Arial"/>
                <w:sz w:val="13"/>
                <w:szCs w:val="13"/>
                <w:b w:val="1"/>
                <w:bCs w:val="1"/>
                <w:color w:val="auto"/>
                <w:w w:val="86"/>
              </w:rPr>
              <w:t>Shares of Class A</w:t>
            </w:r>
          </w:p>
        </w:tc>
      </w:tr>
      <w:tr>
        <w:trPr>
          <w:trHeight w:val="156"/>
        </w:trPr>
        <w:tc>
          <w:tcPr>
            <w:tcW w:w="2520" w:type="dxa"/>
            <w:vAlign w:val="bottom"/>
            <w:tcBorders>
              <w:left w:val="single" w:sz="8" w:color="auto"/>
              <w:right w:val="single" w:sz="8" w:color="auto"/>
            </w:tcBorders>
          </w:tcPr>
          <w:p>
            <w:pPr>
              <w:spacing w:after="0"/>
              <w:rPr>
                <w:sz w:val="13"/>
                <w:szCs w:val="13"/>
                <w:color w:val="auto"/>
              </w:rPr>
            </w:pPr>
          </w:p>
        </w:tc>
        <w:tc>
          <w:tcPr>
            <w:tcW w:w="1320" w:type="dxa"/>
            <w:vAlign w:val="bottom"/>
            <w:tcBorders>
              <w:right w:val="single" w:sz="8" w:color="auto"/>
            </w:tcBorders>
          </w:tcPr>
          <w:p>
            <w:pPr>
              <w:jc w:val="center"/>
              <w:spacing w:after="0"/>
              <w:rPr>
                <w:sz w:val="20"/>
                <w:szCs w:val="20"/>
                <w:color w:val="auto"/>
              </w:rPr>
            </w:pPr>
            <w:r>
              <w:rPr>
                <w:rFonts w:ascii="Arial" w:cs="Arial" w:eastAsia="Arial" w:hAnsi="Arial"/>
                <w:sz w:val="13"/>
                <w:szCs w:val="13"/>
                <w:b w:val="1"/>
                <w:bCs w:val="1"/>
                <w:color w:val="auto"/>
                <w:w w:val="91"/>
              </w:rPr>
              <w:t>Outstanding</w:t>
            </w:r>
          </w:p>
        </w:tc>
        <w:tc>
          <w:tcPr>
            <w:tcW w:w="1300" w:type="dxa"/>
            <w:vAlign w:val="bottom"/>
            <w:tcBorders>
              <w:right w:val="single" w:sz="8" w:color="auto"/>
            </w:tcBorders>
          </w:tcPr>
          <w:p>
            <w:pPr>
              <w:jc w:val="center"/>
              <w:spacing w:after="0"/>
              <w:rPr>
                <w:sz w:val="20"/>
                <w:szCs w:val="20"/>
                <w:color w:val="auto"/>
              </w:rPr>
            </w:pPr>
            <w:r>
              <w:rPr>
                <w:rFonts w:ascii="Arial" w:cs="Arial" w:eastAsia="Arial" w:hAnsi="Arial"/>
                <w:sz w:val="13"/>
                <w:szCs w:val="13"/>
                <w:b w:val="1"/>
                <w:bCs w:val="1"/>
                <w:color w:val="auto"/>
                <w:w w:val="86"/>
              </w:rPr>
              <w:t>Rate as</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13"/>
                <w:szCs w:val="13"/>
                <w:b w:val="1"/>
                <w:bCs w:val="1"/>
                <w:color w:val="auto"/>
                <w:w w:val="89"/>
              </w:rPr>
              <w:t>Stock as of June</w:t>
            </w:r>
          </w:p>
        </w:tc>
        <w:tc>
          <w:tcPr>
            <w:tcW w:w="180" w:type="dxa"/>
            <w:vAlign w:val="bottom"/>
            <w:tcBorders>
              <w:right w:val="single" w:sz="8" w:color="auto"/>
            </w:tcBorders>
          </w:tcPr>
          <w:p>
            <w:pPr>
              <w:spacing w:after="0"/>
              <w:rPr>
                <w:sz w:val="13"/>
                <w:szCs w:val="13"/>
                <w:color w:val="auto"/>
              </w:rPr>
            </w:pPr>
          </w:p>
        </w:tc>
        <w:tc>
          <w:tcPr>
            <w:tcW w:w="1300" w:type="dxa"/>
            <w:vAlign w:val="bottom"/>
            <w:tcBorders>
              <w:right w:val="single" w:sz="8" w:color="auto"/>
            </w:tcBorders>
          </w:tcPr>
          <w:p>
            <w:pPr>
              <w:jc w:val="center"/>
              <w:spacing w:after="0"/>
              <w:rPr>
                <w:sz w:val="20"/>
                <w:szCs w:val="20"/>
                <w:color w:val="auto"/>
              </w:rPr>
            </w:pPr>
            <w:r>
              <w:rPr>
                <w:rFonts w:ascii="Arial" w:cs="Arial" w:eastAsia="Arial" w:hAnsi="Arial"/>
                <w:sz w:val="13"/>
                <w:szCs w:val="13"/>
                <w:b w:val="1"/>
                <w:bCs w:val="1"/>
                <w:color w:val="auto"/>
                <w:w w:val="90"/>
              </w:rPr>
              <w:t>as of November 18,</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13"/>
                <w:szCs w:val="13"/>
                <w:b w:val="1"/>
                <w:bCs w:val="1"/>
                <w:color w:val="auto"/>
                <w:w w:val="91"/>
              </w:rPr>
              <w:t>November 18,</w:t>
            </w:r>
          </w:p>
        </w:tc>
        <w:tc>
          <w:tcPr>
            <w:tcW w:w="1320" w:type="dxa"/>
            <w:vAlign w:val="bottom"/>
            <w:tcBorders>
              <w:right w:val="single" w:sz="8" w:color="auto"/>
            </w:tcBorders>
          </w:tcPr>
          <w:p>
            <w:pPr>
              <w:jc w:val="right"/>
              <w:ind w:right="35"/>
              <w:spacing w:after="0"/>
              <w:rPr>
                <w:sz w:val="20"/>
                <w:szCs w:val="20"/>
                <w:color w:val="auto"/>
              </w:rPr>
            </w:pPr>
            <w:r>
              <w:rPr>
                <w:rFonts w:ascii="Arial" w:cs="Arial" w:eastAsia="Arial" w:hAnsi="Arial"/>
                <w:sz w:val="13"/>
                <w:szCs w:val="13"/>
                <w:b w:val="1"/>
                <w:bCs w:val="1"/>
                <w:color w:val="auto"/>
                <w:w w:val="92"/>
              </w:rPr>
              <w:t>Common Stock as of</w:t>
            </w:r>
          </w:p>
        </w:tc>
      </w:tr>
      <w:tr>
        <w:trPr>
          <w:trHeight w:val="169"/>
        </w:trPr>
        <w:tc>
          <w:tcPr>
            <w:tcW w:w="2520" w:type="dxa"/>
            <w:vAlign w:val="bottom"/>
            <w:tcBorders>
              <w:left w:val="single" w:sz="8" w:color="auto"/>
              <w:bottom w:val="single" w:sz="8" w:color="auto"/>
              <w:right w:val="single" w:sz="8" w:color="auto"/>
            </w:tcBorders>
          </w:tcPr>
          <w:p>
            <w:pPr>
              <w:ind w:left="880"/>
              <w:spacing w:after="0"/>
              <w:rPr>
                <w:sz w:val="20"/>
                <w:szCs w:val="20"/>
                <w:color w:val="auto"/>
              </w:rPr>
            </w:pPr>
            <w:r>
              <w:rPr>
                <w:rFonts w:ascii="Arial" w:cs="Arial" w:eastAsia="Arial" w:hAnsi="Arial"/>
                <w:sz w:val="13"/>
                <w:szCs w:val="13"/>
                <w:b w:val="1"/>
                <w:bCs w:val="1"/>
                <w:color w:val="auto"/>
              </w:rPr>
              <w:t>Class of Stock</w:t>
            </w:r>
          </w:p>
        </w:tc>
        <w:tc>
          <w:tcPr>
            <w:tcW w:w="132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3"/>
                <w:szCs w:val="13"/>
                <w:b w:val="1"/>
                <w:bCs w:val="1"/>
                <w:color w:val="auto"/>
                <w:w w:val="89"/>
              </w:rPr>
              <w:t>as of June 30, 2021</w:t>
            </w:r>
          </w:p>
        </w:tc>
        <w:tc>
          <w:tcPr>
            <w:tcW w:w="130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3"/>
                <w:szCs w:val="13"/>
                <w:b w:val="1"/>
                <w:bCs w:val="1"/>
                <w:color w:val="auto"/>
                <w:w w:val="89"/>
              </w:rPr>
              <w:t>of June 30, 2021</w:t>
            </w:r>
          </w:p>
        </w:tc>
        <w:tc>
          <w:tcPr>
            <w:tcW w:w="112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3"/>
                <w:szCs w:val="13"/>
                <w:b w:val="1"/>
                <w:bCs w:val="1"/>
                <w:color w:val="auto"/>
                <w:w w:val="86"/>
              </w:rPr>
              <w:t>30, 2021</w:t>
            </w:r>
          </w:p>
        </w:tc>
        <w:tc>
          <w:tcPr>
            <w:tcW w:w="180" w:type="dxa"/>
            <w:vAlign w:val="bottom"/>
            <w:tcBorders>
              <w:bottom w:val="single" w:sz="8" w:color="auto"/>
              <w:right w:val="single" w:sz="8" w:color="auto"/>
            </w:tcBorders>
          </w:tcPr>
          <w:p>
            <w:pPr>
              <w:spacing w:after="0"/>
              <w:rPr>
                <w:sz w:val="14"/>
                <w:szCs w:val="14"/>
                <w:color w:val="auto"/>
              </w:rPr>
            </w:pPr>
          </w:p>
        </w:tc>
        <w:tc>
          <w:tcPr>
            <w:tcW w:w="130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3"/>
                <w:szCs w:val="13"/>
                <w:b w:val="1"/>
                <w:bCs w:val="1"/>
                <w:color w:val="auto"/>
                <w:w w:val="89"/>
              </w:rPr>
              <w:t>2021</w:t>
            </w:r>
          </w:p>
        </w:tc>
        <w:tc>
          <w:tcPr>
            <w:tcW w:w="112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3"/>
                <w:szCs w:val="13"/>
                <w:b w:val="1"/>
                <w:bCs w:val="1"/>
                <w:color w:val="auto"/>
                <w:w w:val="89"/>
              </w:rPr>
              <w:t>2021</w:t>
            </w:r>
          </w:p>
        </w:tc>
        <w:tc>
          <w:tcPr>
            <w:tcW w:w="1320" w:type="dxa"/>
            <w:vAlign w:val="bottom"/>
            <w:tcBorders>
              <w:bottom w:val="single" w:sz="8" w:color="auto"/>
              <w:right w:val="single" w:sz="8" w:color="auto"/>
            </w:tcBorders>
          </w:tcPr>
          <w:p>
            <w:pPr>
              <w:jc w:val="center"/>
              <w:spacing w:after="0"/>
              <w:rPr>
                <w:sz w:val="20"/>
                <w:szCs w:val="20"/>
                <w:color w:val="auto"/>
              </w:rPr>
            </w:pPr>
            <w:r>
              <w:rPr>
                <w:rFonts w:ascii="Arial" w:cs="Arial" w:eastAsia="Arial" w:hAnsi="Arial"/>
                <w:sz w:val="13"/>
                <w:szCs w:val="13"/>
                <w:b w:val="1"/>
                <w:bCs w:val="1"/>
                <w:color w:val="auto"/>
                <w:w w:val="91"/>
              </w:rPr>
              <w:t>November 18, 2021</w:t>
            </w:r>
          </w:p>
        </w:tc>
      </w:tr>
      <w:tr>
        <w:trPr>
          <w:trHeight w:val="147"/>
        </w:trPr>
        <w:tc>
          <w:tcPr>
            <w:tcW w:w="2520" w:type="dxa"/>
            <w:vAlign w:val="bottom"/>
            <w:tcBorders>
              <w:left w:val="single" w:sz="8" w:color="auto"/>
              <w:bottom w:val="single" w:sz="8" w:color="auto"/>
              <w:right w:val="single" w:sz="8" w:color="auto"/>
            </w:tcBorders>
          </w:tcPr>
          <w:p>
            <w:pPr>
              <w:spacing w:after="0"/>
              <w:rPr>
                <w:sz w:val="12"/>
                <w:szCs w:val="12"/>
                <w:color w:val="auto"/>
              </w:rPr>
            </w:pPr>
          </w:p>
        </w:tc>
        <w:tc>
          <w:tcPr>
            <w:tcW w:w="1320" w:type="dxa"/>
            <w:vAlign w:val="bottom"/>
            <w:tcBorders>
              <w:bottom w:val="single" w:sz="8" w:color="auto"/>
              <w:right w:val="single" w:sz="8" w:color="auto"/>
            </w:tcBorders>
          </w:tcPr>
          <w:p>
            <w:pPr>
              <w:spacing w:after="0"/>
              <w:rPr>
                <w:sz w:val="12"/>
                <w:szCs w:val="12"/>
                <w:color w:val="auto"/>
              </w:rPr>
            </w:pPr>
          </w:p>
        </w:tc>
        <w:tc>
          <w:tcPr>
            <w:tcW w:w="130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130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tcPr>
          <w:p>
            <w:pPr>
              <w:spacing w:after="0"/>
              <w:rPr>
                <w:sz w:val="12"/>
                <w:szCs w:val="12"/>
                <w:color w:val="auto"/>
              </w:rPr>
            </w:pPr>
          </w:p>
        </w:tc>
        <w:tc>
          <w:tcPr>
            <w:tcW w:w="1320" w:type="dxa"/>
            <w:vAlign w:val="bottom"/>
            <w:tcBorders>
              <w:bottom w:val="single" w:sz="8" w:color="auto"/>
              <w:right w:val="single" w:sz="8" w:color="auto"/>
            </w:tcBorders>
          </w:tcPr>
          <w:p>
            <w:pPr>
              <w:spacing w:after="0"/>
              <w:rPr>
                <w:sz w:val="12"/>
                <w:szCs w:val="12"/>
                <w:color w:val="auto"/>
              </w:rPr>
            </w:pPr>
          </w:p>
        </w:tc>
      </w:tr>
      <w:tr>
        <w:trPr>
          <w:trHeight w:val="146"/>
        </w:trPr>
        <w:tc>
          <w:tcPr>
            <w:tcW w:w="2520" w:type="dxa"/>
            <w:vAlign w:val="bottom"/>
            <w:tcBorders>
              <w:left w:val="single" w:sz="8" w:color="auto"/>
              <w:bottom w:val="single" w:sz="8" w:color="auto"/>
              <w:right w:val="single" w:sz="8" w:color="auto"/>
            </w:tcBorders>
            <w:shd w:val="clear" w:color="auto" w:fill="CCEEFF"/>
          </w:tcPr>
          <w:p>
            <w:pPr>
              <w:ind w:left="80"/>
              <w:spacing w:after="0" w:line="146" w:lineRule="exact"/>
              <w:rPr>
                <w:sz w:val="20"/>
                <w:szCs w:val="20"/>
                <w:color w:val="auto"/>
              </w:rPr>
            </w:pPr>
            <w:r>
              <w:rPr>
                <w:rFonts w:ascii="Arial" w:cs="Arial" w:eastAsia="Arial" w:hAnsi="Arial"/>
                <w:sz w:val="13"/>
                <w:szCs w:val="13"/>
                <w:color w:val="auto"/>
              </w:rPr>
              <w:t>Series m Preferred Stock</w:t>
            </w:r>
          </w:p>
        </w:tc>
        <w:tc>
          <w:tcPr>
            <w:tcW w:w="1320" w:type="dxa"/>
            <w:vAlign w:val="bottom"/>
            <w:tcBorders>
              <w:bottom w:val="single" w:sz="8" w:color="auto"/>
              <w:right w:val="single" w:sz="8" w:color="auto"/>
            </w:tcBorders>
            <w:shd w:val="clear" w:color="auto" w:fill="CCEEFF"/>
          </w:tcPr>
          <w:p>
            <w:pPr>
              <w:jc w:val="right"/>
              <w:ind w:right="35"/>
              <w:spacing w:after="0" w:line="146" w:lineRule="exact"/>
              <w:rPr>
                <w:sz w:val="20"/>
                <w:szCs w:val="20"/>
                <w:color w:val="auto"/>
              </w:rPr>
            </w:pPr>
            <w:r>
              <w:rPr>
                <w:rFonts w:ascii="Arial" w:cs="Arial" w:eastAsia="Arial" w:hAnsi="Arial"/>
                <w:sz w:val="13"/>
                <w:szCs w:val="13"/>
                <w:color w:val="auto"/>
              </w:rPr>
              <w:t>5,339,215</w:t>
            </w:r>
          </w:p>
        </w:tc>
        <w:tc>
          <w:tcPr>
            <w:tcW w:w="1300" w:type="dxa"/>
            <w:vAlign w:val="bottom"/>
            <w:tcBorders>
              <w:bottom w:val="single" w:sz="8" w:color="auto"/>
              <w:right w:val="single" w:sz="8" w:color="auto"/>
            </w:tcBorders>
            <w:shd w:val="clear" w:color="auto" w:fill="CCEEFF"/>
          </w:tcPr>
          <w:p>
            <w:pPr>
              <w:jc w:val="right"/>
              <w:ind w:right="35"/>
              <w:spacing w:after="0" w:line="146" w:lineRule="exact"/>
              <w:rPr>
                <w:sz w:val="20"/>
                <w:szCs w:val="20"/>
                <w:color w:val="auto"/>
              </w:rPr>
            </w:pPr>
            <w:r>
              <w:rPr>
                <w:rFonts w:ascii="Arial" w:cs="Arial" w:eastAsia="Arial" w:hAnsi="Arial"/>
                <w:sz w:val="13"/>
                <w:szCs w:val="13"/>
                <w:color w:val="auto"/>
              </w:rPr>
              <w:t>1.0073</w:t>
            </w:r>
          </w:p>
        </w:tc>
        <w:tc>
          <w:tcPr>
            <w:tcW w:w="1120" w:type="dxa"/>
            <w:vAlign w:val="bottom"/>
            <w:tcBorders>
              <w:bottom w:val="single" w:sz="8" w:color="auto"/>
              <w:right w:val="single" w:sz="8" w:color="auto"/>
            </w:tcBorders>
            <w:shd w:val="clear" w:color="auto" w:fill="CCEEFF"/>
          </w:tcPr>
          <w:p>
            <w:pPr>
              <w:jc w:val="right"/>
              <w:ind w:right="35"/>
              <w:spacing w:after="0" w:line="146" w:lineRule="exact"/>
              <w:rPr>
                <w:sz w:val="20"/>
                <w:szCs w:val="20"/>
                <w:color w:val="auto"/>
              </w:rPr>
            </w:pPr>
            <w:r>
              <w:rPr>
                <w:rFonts w:ascii="Arial" w:cs="Arial" w:eastAsia="Arial" w:hAnsi="Arial"/>
                <w:sz w:val="13"/>
                <w:szCs w:val="13"/>
                <w:color w:val="auto"/>
              </w:rPr>
              <w:t>5,375,473</w:t>
            </w:r>
          </w:p>
        </w:tc>
        <w:tc>
          <w:tcPr>
            <w:tcW w:w="180" w:type="dxa"/>
            <w:vAlign w:val="bottom"/>
            <w:tcBorders>
              <w:bottom w:val="single" w:sz="8" w:color="auto"/>
              <w:right w:val="single" w:sz="8" w:color="auto"/>
            </w:tcBorders>
            <w:shd w:val="clear" w:color="auto" w:fill="CCEEFF"/>
          </w:tcPr>
          <w:p>
            <w:pPr>
              <w:spacing w:after="0"/>
              <w:rPr>
                <w:sz w:val="12"/>
                <w:szCs w:val="12"/>
                <w:color w:val="auto"/>
              </w:rPr>
            </w:pPr>
          </w:p>
        </w:tc>
        <w:tc>
          <w:tcPr>
            <w:tcW w:w="1300" w:type="dxa"/>
            <w:vAlign w:val="bottom"/>
            <w:tcBorders>
              <w:bottom w:val="single" w:sz="8" w:color="auto"/>
              <w:right w:val="single" w:sz="8" w:color="auto"/>
            </w:tcBorders>
            <w:shd w:val="clear" w:color="auto" w:fill="CCEEFF"/>
          </w:tcPr>
          <w:p>
            <w:pPr>
              <w:jc w:val="right"/>
              <w:ind w:right="15"/>
              <w:spacing w:after="0" w:line="146" w:lineRule="exact"/>
              <w:rPr>
                <w:sz w:val="20"/>
                <w:szCs w:val="20"/>
                <w:color w:val="auto"/>
              </w:rPr>
            </w:pPr>
            <w:r>
              <w:rPr>
                <w:rFonts w:ascii="Arial" w:cs="Arial" w:eastAsia="Arial" w:hAnsi="Arial"/>
                <w:sz w:val="13"/>
                <w:szCs w:val="13"/>
                <w:color w:val="auto"/>
              </w:rPr>
              <w:t>5,339,215</w:t>
            </w:r>
          </w:p>
        </w:tc>
        <w:tc>
          <w:tcPr>
            <w:tcW w:w="1120" w:type="dxa"/>
            <w:vAlign w:val="bottom"/>
            <w:tcBorders>
              <w:bottom w:val="single" w:sz="8" w:color="auto"/>
              <w:right w:val="single" w:sz="8" w:color="auto"/>
            </w:tcBorders>
            <w:shd w:val="clear" w:color="auto" w:fill="CCEEFF"/>
          </w:tcPr>
          <w:p>
            <w:pPr>
              <w:jc w:val="right"/>
              <w:ind w:right="15"/>
              <w:spacing w:after="0" w:line="146" w:lineRule="exact"/>
              <w:rPr>
                <w:sz w:val="20"/>
                <w:szCs w:val="20"/>
                <w:color w:val="auto"/>
              </w:rPr>
            </w:pPr>
            <w:r>
              <w:rPr>
                <w:rFonts w:ascii="Arial" w:cs="Arial" w:eastAsia="Arial" w:hAnsi="Arial"/>
                <w:sz w:val="13"/>
                <w:szCs w:val="13"/>
                <w:color w:val="auto"/>
              </w:rPr>
              <w:t>1.0187</w:t>
            </w:r>
          </w:p>
        </w:tc>
        <w:tc>
          <w:tcPr>
            <w:tcW w:w="1320" w:type="dxa"/>
            <w:vAlign w:val="bottom"/>
            <w:tcBorders>
              <w:bottom w:val="single" w:sz="8" w:color="auto"/>
              <w:right w:val="single" w:sz="8" w:color="auto"/>
            </w:tcBorders>
            <w:shd w:val="clear" w:color="auto" w:fill="CCEEFF"/>
          </w:tcPr>
          <w:p>
            <w:pPr>
              <w:jc w:val="right"/>
              <w:ind w:right="35"/>
              <w:spacing w:after="0" w:line="146" w:lineRule="exact"/>
              <w:rPr>
                <w:sz w:val="20"/>
                <w:szCs w:val="20"/>
                <w:color w:val="auto"/>
              </w:rPr>
            </w:pPr>
            <w:r>
              <w:rPr>
                <w:rFonts w:ascii="Arial" w:cs="Arial" w:eastAsia="Arial" w:hAnsi="Arial"/>
                <w:sz w:val="13"/>
                <w:szCs w:val="13"/>
                <w:color w:val="auto"/>
              </w:rPr>
              <w:t>5,436,964</w:t>
            </w:r>
          </w:p>
        </w:tc>
      </w:tr>
      <w:tr>
        <w:trPr>
          <w:trHeight w:val="146"/>
        </w:trPr>
        <w:tc>
          <w:tcPr>
            <w:tcW w:w="2520" w:type="dxa"/>
            <w:vAlign w:val="bottom"/>
            <w:tcBorders>
              <w:left w:val="single" w:sz="8" w:color="auto"/>
              <w:bottom w:val="single" w:sz="8" w:color="auto"/>
              <w:right w:val="single" w:sz="8" w:color="auto"/>
            </w:tcBorders>
          </w:tcPr>
          <w:p>
            <w:pPr>
              <w:ind w:left="80"/>
              <w:spacing w:after="0" w:line="146" w:lineRule="exact"/>
              <w:rPr>
                <w:sz w:val="20"/>
                <w:szCs w:val="20"/>
                <w:color w:val="auto"/>
              </w:rPr>
            </w:pPr>
            <w:r>
              <w:rPr>
                <w:rFonts w:ascii="Arial" w:cs="Arial" w:eastAsia="Arial" w:hAnsi="Arial"/>
                <w:sz w:val="13"/>
                <w:szCs w:val="13"/>
                <w:color w:val="auto"/>
              </w:rPr>
              <w:t>Series m-2 Preferred Stock</w:t>
            </w:r>
          </w:p>
        </w:tc>
        <w:tc>
          <w:tcPr>
            <w:tcW w:w="1320" w:type="dxa"/>
            <w:vAlign w:val="bottom"/>
            <w:tcBorders>
              <w:bottom w:val="single" w:sz="8" w:color="auto"/>
              <w:right w:val="single" w:sz="8" w:color="auto"/>
            </w:tcBorders>
          </w:tcPr>
          <w:p>
            <w:pPr>
              <w:jc w:val="right"/>
              <w:ind w:right="35"/>
              <w:spacing w:after="0" w:line="146" w:lineRule="exact"/>
              <w:rPr>
                <w:sz w:val="20"/>
                <w:szCs w:val="20"/>
                <w:color w:val="auto"/>
              </w:rPr>
            </w:pPr>
            <w:r>
              <w:rPr>
                <w:rFonts w:ascii="Arial" w:cs="Arial" w:eastAsia="Arial" w:hAnsi="Arial"/>
                <w:sz w:val="13"/>
                <w:szCs w:val="13"/>
                <w:color w:val="auto"/>
              </w:rPr>
              <w:t>1,660,756</w:t>
            </w:r>
          </w:p>
        </w:tc>
        <w:tc>
          <w:tcPr>
            <w:tcW w:w="1300" w:type="dxa"/>
            <w:vAlign w:val="bottom"/>
            <w:tcBorders>
              <w:bottom w:val="single" w:sz="8" w:color="auto"/>
              <w:right w:val="single" w:sz="8" w:color="auto"/>
            </w:tcBorders>
          </w:tcPr>
          <w:p>
            <w:pPr>
              <w:jc w:val="right"/>
              <w:ind w:right="35"/>
              <w:spacing w:after="0" w:line="146" w:lineRule="exact"/>
              <w:rPr>
                <w:sz w:val="20"/>
                <w:szCs w:val="20"/>
                <w:color w:val="auto"/>
              </w:rPr>
            </w:pPr>
            <w:r>
              <w:rPr>
                <w:rFonts w:ascii="Arial" w:cs="Arial" w:eastAsia="Arial" w:hAnsi="Arial"/>
                <w:sz w:val="13"/>
                <w:szCs w:val="13"/>
                <w:color w:val="auto"/>
              </w:rPr>
              <w:t>1.0073</w:t>
            </w:r>
          </w:p>
        </w:tc>
        <w:tc>
          <w:tcPr>
            <w:tcW w:w="1120" w:type="dxa"/>
            <w:vAlign w:val="bottom"/>
            <w:tcBorders>
              <w:bottom w:val="single" w:sz="8" w:color="auto"/>
              <w:right w:val="single" w:sz="8" w:color="auto"/>
            </w:tcBorders>
          </w:tcPr>
          <w:p>
            <w:pPr>
              <w:jc w:val="right"/>
              <w:ind w:right="35"/>
              <w:spacing w:after="0" w:line="146" w:lineRule="exact"/>
              <w:rPr>
                <w:sz w:val="20"/>
                <w:szCs w:val="20"/>
                <w:color w:val="auto"/>
              </w:rPr>
            </w:pPr>
            <w:r>
              <w:rPr>
                <w:rFonts w:ascii="Arial" w:cs="Arial" w:eastAsia="Arial" w:hAnsi="Arial"/>
                <w:sz w:val="13"/>
                <w:szCs w:val="13"/>
                <w:color w:val="auto"/>
              </w:rPr>
              <w:t>1,672,878</w:t>
            </w:r>
          </w:p>
        </w:tc>
        <w:tc>
          <w:tcPr>
            <w:tcW w:w="180" w:type="dxa"/>
            <w:vAlign w:val="bottom"/>
            <w:tcBorders>
              <w:bottom w:val="single" w:sz="8" w:color="auto"/>
              <w:right w:val="single" w:sz="8" w:color="auto"/>
            </w:tcBorders>
          </w:tcPr>
          <w:p>
            <w:pPr>
              <w:spacing w:after="0"/>
              <w:rPr>
                <w:sz w:val="12"/>
                <w:szCs w:val="12"/>
                <w:color w:val="auto"/>
              </w:rPr>
            </w:pPr>
          </w:p>
        </w:tc>
        <w:tc>
          <w:tcPr>
            <w:tcW w:w="1300" w:type="dxa"/>
            <w:vAlign w:val="bottom"/>
            <w:tcBorders>
              <w:bottom w:val="single" w:sz="8" w:color="auto"/>
              <w:right w:val="single" w:sz="8" w:color="auto"/>
            </w:tcBorders>
          </w:tcPr>
          <w:p>
            <w:pPr>
              <w:jc w:val="right"/>
              <w:ind w:right="15"/>
              <w:spacing w:after="0" w:line="146" w:lineRule="exact"/>
              <w:rPr>
                <w:sz w:val="20"/>
                <w:szCs w:val="20"/>
                <w:color w:val="auto"/>
              </w:rPr>
            </w:pPr>
            <w:r>
              <w:rPr>
                <w:rFonts w:ascii="Arial" w:cs="Arial" w:eastAsia="Arial" w:hAnsi="Arial"/>
                <w:sz w:val="13"/>
                <w:szCs w:val="13"/>
                <w:color w:val="auto"/>
              </w:rPr>
              <w:t>1,660,756</w:t>
            </w:r>
          </w:p>
        </w:tc>
        <w:tc>
          <w:tcPr>
            <w:tcW w:w="1120" w:type="dxa"/>
            <w:vAlign w:val="bottom"/>
            <w:tcBorders>
              <w:bottom w:val="single" w:sz="8" w:color="auto"/>
              <w:right w:val="single" w:sz="8" w:color="auto"/>
            </w:tcBorders>
          </w:tcPr>
          <w:p>
            <w:pPr>
              <w:jc w:val="right"/>
              <w:ind w:right="15"/>
              <w:spacing w:after="0" w:line="146" w:lineRule="exact"/>
              <w:rPr>
                <w:sz w:val="20"/>
                <w:szCs w:val="20"/>
                <w:color w:val="auto"/>
              </w:rPr>
            </w:pPr>
            <w:r>
              <w:rPr>
                <w:rFonts w:ascii="Arial" w:cs="Arial" w:eastAsia="Arial" w:hAnsi="Arial"/>
                <w:sz w:val="13"/>
                <w:szCs w:val="13"/>
                <w:color w:val="auto"/>
              </w:rPr>
              <w:t>1.0187</w:t>
            </w:r>
          </w:p>
        </w:tc>
        <w:tc>
          <w:tcPr>
            <w:tcW w:w="1320" w:type="dxa"/>
            <w:vAlign w:val="bottom"/>
            <w:tcBorders>
              <w:bottom w:val="single" w:sz="8" w:color="auto"/>
              <w:right w:val="single" w:sz="8" w:color="auto"/>
            </w:tcBorders>
          </w:tcPr>
          <w:p>
            <w:pPr>
              <w:jc w:val="right"/>
              <w:ind w:right="35"/>
              <w:spacing w:after="0" w:line="146" w:lineRule="exact"/>
              <w:rPr>
                <w:sz w:val="20"/>
                <w:szCs w:val="20"/>
                <w:color w:val="auto"/>
              </w:rPr>
            </w:pPr>
            <w:r>
              <w:rPr>
                <w:rFonts w:ascii="Arial" w:cs="Arial" w:eastAsia="Arial" w:hAnsi="Arial"/>
                <w:sz w:val="13"/>
                <w:szCs w:val="13"/>
                <w:color w:val="auto"/>
              </w:rPr>
              <w:t>1,691,810</w:t>
            </w:r>
          </w:p>
        </w:tc>
      </w:tr>
      <w:tr>
        <w:trPr>
          <w:trHeight w:val="146"/>
        </w:trPr>
        <w:tc>
          <w:tcPr>
            <w:tcW w:w="2520" w:type="dxa"/>
            <w:vAlign w:val="bottom"/>
            <w:tcBorders>
              <w:left w:val="single" w:sz="8" w:color="auto"/>
              <w:bottom w:val="single" w:sz="8" w:color="auto"/>
              <w:right w:val="single" w:sz="8" w:color="auto"/>
            </w:tcBorders>
            <w:shd w:val="clear" w:color="auto" w:fill="CCEEFF"/>
          </w:tcPr>
          <w:p>
            <w:pPr>
              <w:ind w:left="80"/>
              <w:spacing w:after="0" w:line="146" w:lineRule="exact"/>
              <w:rPr>
                <w:sz w:val="20"/>
                <w:szCs w:val="20"/>
                <w:color w:val="auto"/>
              </w:rPr>
            </w:pPr>
            <w:r>
              <w:rPr>
                <w:rFonts w:ascii="Arial" w:cs="Arial" w:eastAsia="Arial" w:hAnsi="Arial"/>
                <w:sz w:val="13"/>
                <w:szCs w:val="13"/>
                <w:color w:val="auto"/>
              </w:rPr>
              <w:t>Series S Preferred Stock</w:t>
            </w:r>
          </w:p>
        </w:tc>
        <w:tc>
          <w:tcPr>
            <w:tcW w:w="1320" w:type="dxa"/>
            <w:vAlign w:val="bottom"/>
            <w:tcBorders>
              <w:bottom w:val="single" w:sz="8" w:color="auto"/>
              <w:right w:val="single" w:sz="8" w:color="auto"/>
            </w:tcBorders>
            <w:shd w:val="clear" w:color="auto" w:fill="CCEEFF"/>
          </w:tcPr>
          <w:p>
            <w:pPr>
              <w:jc w:val="right"/>
              <w:ind w:right="35"/>
              <w:spacing w:after="0" w:line="146" w:lineRule="exact"/>
              <w:rPr>
                <w:sz w:val="20"/>
                <w:szCs w:val="20"/>
                <w:color w:val="auto"/>
              </w:rPr>
            </w:pPr>
            <w:r>
              <w:rPr>
                <w:rFonts w:ascii="Arial" w:cs="Arial" w:eastAsia="Arial" w:hAnsi="Arial"/>
                <w:sz w:val="13"/>
                <w:szCs w:val="13"/>
                <w:color w:val="auto"/>
              </w:rPr>
              <w:t>5,567,171</w:t>
            </w:r>
          </w:p>
        </w:tc>
        <w:tc>
          <w:tcPr>
            <w:tcW w:w="1300" w:type="dxa"/>
            <w:vAlign w:val="bottom"/>
            <w:tcBorders>
              <w:bottom w:val="single" w:sz="8" w:color="auto"/>
              <w:right w:val="single" w:sz="8" w:color="auto"/>
            </w:tcBorders>
            <w:shd w:val="clear" w:color="auto" w:fill="CCEEFF"/>
          </w:tcPr>
          <w:p>
            <w:pPr>
              <w:jc w:val="right"/>
              <w:ind w:right="35"/>
              <w:spacing w:after="0" w:line="146" w:lineRule="exact"/>
              <w:rPr>
                <w:sz w:val="20"/>
                <w:szCs w:val="20"/>
                <w:color w:val="auto"/>
              </w:rPr>
            </w:pPr>
            <w:r>
              <w:rPr>
                <w:rFonts w:ascii="Arial" w:cs="Arial" w:eastAsia="Arial" w:hAnsi="Arial"/>
                <w:sz w:val="13"/>
                <w:szCs w:val="13"/>
                <w:color w:val="auto"/>
              </w:rPr>
              <w:t>1.0406</w:t>
            </w:r>
          </w:p>
        </w:tc>
        <w:tc>
          <w:tcPr>
            <w:tcW w:w="1120" w:type="dxa"/>
            <w:vAlign w:val="bottom"/>
            <w:tcBorders>
              <w:bottom w:val="single" w:sz="8" w:color="auto"/>
              <w:right w:val="single" w:sz="8" w:color="auto"/>
            </w:tcBorders>
            <w:shd w:val="clear" w:color="auto" w:fill="CCEEFF"/>
          </w:tcPr>
          <w:p>
            <w:pPr>
              <w:jc w:val="right"/>
              <w:ind w:right="35"/>
              <w:spacing w:after="0" w:line="146" w:lineRule="exact"/>
              <w:rPr>
                <w:sz w:val="20"/>
                <w:szCs w:val="20"/>
                <w:color w:val="auto"/>
              </w:rPr>
            </w:pPr>
            <w:r>
              <w:rPr>
                <w:rFonts w:ascii="Arial" w:cs="Arial" w:eastAsia="Arial" w:hAnsi="Arial"/>
                <w:sz w:val="13"/>
                <w:szCs w:val="13"/>
                <w:color w:val="auto"/>
              </w:rPr>
              <w:t>5,789,947</w:t>
            </w:r>
          </w:p>
        </w:tc>
        <w:tc>
          <w:tcPr>
            <w:tcW w:w="180" w:type="dxa"/>
            <w:vAlign w:val="bottom"/>
            <w:tcBorders>
              <w:bottom w:val="single" w:sz="8" w:color="auto"/>
              <w:right w:val="single" w:sz="8" w:color="auto"/>
            </w:tcBorders>
            <w:shd w:val="clear" w:color="auto" w:fill="CCEEFF"/>
          </w:tcPr>
          <w:p>
            <w:pPr>
              <w:spacing w:after="0"/>
              <w:rPr>
                <w:sz w:val="12"/>
                <w:szCs w:val="12"/>
                <w:color w:val="auto"/>
              </w:rPr>
            </w:pPr>
          </w:p>
        </w:tc>
        <w:tc>
          <w:tcPr>
            <w:tcW w:w="1300" w:type="dxa"/>
            <w:vAlign w:val="bottom"/>
            <w:tcBorders>
              <w:bottom w:val="single" w:sz="8" w:color="auto"/>
              <w:right w:val="single" w:sz="8" w:color="auto"/>
            </w:tcBorders>
            <w:shd w:val="clear" w:color="auto" w:fill="CCEEFF"/>
          </w:tcPr>
          <w:p>
            <w:pPr>
              <w:jc w:val="right"/>
              <w:ind w:right="15"/>
              <w:spacing w:after="0" w:line="146" w:lineRule="exact"/>
              <w:rPr>
                <w:sz w:val="20"/>
                <w:szCs w:val="20"/>
                <w:color w:val="auto"/>
              </w:rPr>
            </w:pPr>
            <w:r>
              <w:rPr>
                <w:rFonts w:ascii="Arial" w:cs="Arial" w:eastAsia="Arial" w:hAnsi="Arial"/>
                <w:sz w:val="13"/>
                <w:szCs w:val="13"/>
                <w:color w:val="auto"/>
              </w:rPr>
              <w:t>5,587,152</w:t>
            </w:r>
          </w:p>
        </w:tc>
        <w:tc>
          <w:tcPr>
            <w:tcW w:w="1120" w:type="dxa"/>
            <w:vAlign w:val="bottom"/>
            <w:tcBorders>
              <w:bottom w:val="single" w:sz="8" w:color="auto"/>
              <w:right w:val="single" w:sz="8" w:color="auto"/>
            </w:tcBorders>
            <w:shd w:val="clear" w:color="auto" w:fill="CCEEFF"/>
          </w:tcPr>
          <w:p>
            <w:pPr>
              <w:jc w:val="right"/>
              <w:ind w:right="15"/>
              <w:spacing w:after="0" w:line="146" w:lineRule="exact"/>
              <w:rPr>
                <w:sz w:val="20"/>
                <w:szCs w:val="20"/>
                <w:color w:val="auto"/>
              </w:rPr>
            </w:pPr>
            <w:r>
              <w:rPr>
                <w:rFonts w:ascii="Arial" w:cs="Arial" w:eastAsia="Arial" w:hAnsi="Arial"/>
                <w:sz w:val="13"/>
                <w:szCs w:val="13"/>
                <w:color w:val="auto"/>
              </w:rPr>
              <w:t>1.1069</w:t>
            </w:r>
          </w:p>
        </w:tc>
        <w:tc>
          <w:tcPr>
            <w:tcW w:w="1320" w:type="dxa"/>
            <w:vAlign w:val="bottom"/>
            <w:tcBorders>
              <w:bottom w:val="single" w:sz="8" w:color="auto"/>
              <w:right w:val="single" w:sz="8" w:color="auto"/>
            </w:tcBorders>
            <w:shd w:val="clear" w:color="auto" w:fill="CCEEFF"/>
          </w:tcPr>
          <w:p>
            <w:pPr>
              <w:jc w:val="right"/>
              <w:ind w:right="35"/>
              <w:spacing w:after="0" w:line="146" w:lineRule="exact"/>
              <w:rPr>
                <w:sz w:val="20"/>
                <w:szCs w:val="20"/>
                <w:color w:val="auto"/>
              </w:rPr>
            </w:pPr>
            <w:r>
              <w:rPr>
                <w:rFonts w:ascii="Arial" w:cs="Arial" w:eastAsia="Arial" w:hAnsi="Arial"/>
                <w:sz w:val="13"/>
                <w:szCs w:val="13"/>
                <w:color w:val="auto"/>
              </w:rPr>
              <w:t>6,173,913</w:t>
            </w:r>
          </w:p>
        </w:tc>
      </w:tr>
    </w:tbl>
    <w:p>
      <w:pPr>
        <w:spacing w:after="0" w:line="167" w:lineRule="exact"/>
        <w:rPr>
          <w:sz w:val="20"/>
          <w:szCs w:val="20"/>
          <w:color w:val="auto"/>
        </w:rPr>
      </w:pPr>
    </w:p>
    <w:p>
      <w:pPr>
        <w:ind w:left="460" w:right="80" w:hanging="227"/>
        <w:spacing w:after="0" w:line="257" w:lineRule="auto"/>
        <w:tabs>
          <w:tab w:leader="none" w:pos="460" w:val="left"/>
        </w:tabs>
        <w:numPr>
          <w:ilvl w:val="0"/>
          <w:numId w:val="14"/>
        </w:numPr>
        <w:rPr>
          <w:rFonts w:ascii="Arial" w:cs="Arial" w:eastAsia="Arial" w:hAnsi="Arial"/>
          <w:sz w:val="13"/>
          <w:szCs w:val="13"/>
          <w:color w:val="auto"/>
        </w:rPr>
      </w:pPr>
      <w:r>
        <w:rPr>
          <w:rFonts w:ascii="Arial" w:cs="Arial" w:eastAsia="Arial" w:hAnsi="Arial"/>
          <w:sz w:val="13"/>
          <w:szCs w:val="13"/>
          <w:color w:val="auto"/>
        </w:rPr>
        <w:t>Does not include 3,906,112 shares issuable upon conversion of principal and interest accruable through December 31, 2021 on convertible notes issued after June 30, 2021. Subsequent to June 30, 2021, the effective cash price per share upon conversion of all convertible notes adjusted to $2.50.</w:t>
      </w:r>
    </w:p>
    <w:p>
      <w:pPr>
        <w:ind w:left="460" w:hanging="227"/>
        <w:spacing w:after="0"/>
        <w:tabs>
          <w:tab w:leader="none" w:pos="460" w:val="left"/>
        </w:tabs>
        <w:numPr>
          <w:ilvl w:val="0"/>
          <w:numId w:val="14"/>
        </w:numPr>
        <w:rPr>
          <w:rFonts w:ascii="Arial" w:cs="Arial" w:eastAsia="Arial" w:hAnsi="Arial"/>
          <w:sz w:val="13"/>
          <w:szCs w:val="13"/>
          <w:color w:val="auto"/>
        </w:rPr>
      </w:pPr>
      <w:r>
        <w:rPr>
          <w:rFonts w:ascii="Arial" w:cs="Arial" w:eastAsia="Arial" w:hAnsi="Arial"/>
          <w:sz w:val="13"/>
          <w:szCs w:val="13"/>
          <w:color w:val="auto"/>
        </w:rPr>
        <w:t>Does not include 458,734 shares accrued as dividends as of June 30, 2021 that were issued after that date.</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14"/>
        </w:numPr>
        <w:rPr>
          <w:rFonts w:ascii="Arial" w:cs="Arial" w:eastAsia="Arial" w:hAnsi="Arial"/>
          <w:sz w:val="12"/>
          <w:szCs w:val="12"/>
          <w:color w:val="auto"/>
        </w:rPr>
      </w:pPr>
      <w:r>
        <w:rPr>
          <w:rFonts w:ascii="Arial" w:cs="Arial" w:eastAsia="Arial" w:hAnsi="Arial"/>
          <w:sz w:val="12"/>
          <w:szCs w:val="12"/>
          <w:color w:val="auto"/>
        </w:rPr>
        <w:t>Does not include 1,916,100 warrants issued after June 30, 2021.</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Immediate dilution</w:t>
      </w:r>
    </w:p>
    <w:p>
      <w:pPr>
        <w:spacing w:after="0" w:line="167" w:lineRule="exact"/>
        <w:rPr>
          <w:sz w:val="20"/>
          <w:szCs w:val="20"/>
          <w:color w:val="auto"/>
        </w:rPr>
      </w:pPr>
    </w:p>
    <w:p>
      <w:pPr>
        <w:spacing w:after="0" w:line="258" w:lineRule="auto"/>
        <w:rPr>
          <w:sz w:val="20"/>
          <w:szCs w:val="20"/>
          <w:color w:val="auto"/>
        </w:rPr>
      </w:pPr>
      <w:r>
        <w:rPr>
          <w:rFonts w:ascii="Arial" w:cs="Arial" w:eastAsia="Arial" w:hAnsi="Arial"/>
          <w:sz w:val="13"/>
          <w:szCs w:val="13"/>
          <w:color w:val="auto"/>
        </w:rPr>
        <w:t>Dilution means a reduction in value, control, or earnings of the shares the investor owns. An early-stage company typically sells its shares (or grants options over its shares) to its founders and early employees at a very low cash cost because they are, in effect, putting their “sweat equity” into the Company. When the Company seeks cash investments from outside investors, like you, the new investors typically pay a much larger sum for their shares than the founders or earlier investors, which means that the cash value of your stake is diluted because all the shares are worth the same amount, and you paid more than earlier investors for your shares.</w:t>
      </w:r>
    </w:p>
    <w:p>
      <w:pPr>
        <w:spacing w:after="0" w:line="139" w:lineRule="exact"/>
        <w:rPr>
          <w:sz w:val="20"/>
          <w:szCs w:val="20"/>
          <w:color w:val="auto"/>
        </w:rPr>
      </w:pPr>
    </w:p>
    <w:p>
      <w:pPr>
        <w:ind w:right="100"/>
        <w:spacing w:after="0" w:line="258" w:lineRule="auto"/>
        <w:rPr>
          <w:sz w:val="20"/>
          <w:szCs w:val="20"/>
          <w:color w:val="auto"/>
        </w:rPr>
      </w:pPr>
      <w:r>
        <w:rPr>
          <w:rFonts w:ascii="Arial" w:cs="Arial" w:eastAsia="Arial" w:hAnsi="Arial"/>
          <w:sz w:val="13"/>
          <w:szCs w:val="13"/>
          <w:color w:val="auto"/>
        </w:rPr>
        <w:t>After giving effect to our sale of the maximum offering amount of $40,000,000 in securities and assuming all outstanding shares of Preferred Stock convert to Common Stock, with an estimated issuance cost of $4,000,000, our pro forma as-adjusted net tangible book value as of June 30, 2021 would be approximately $29,096,000, or $0.70 per share. At an offering price of $10.00 per share, this represents an immediate dilution in net tangible book value of $9.30 per share to investors in this offering, as illustrated in the following table, which details the range of possible outcomes from the offering assuming the sale of 100%, 75%, 50% and 25% of the available shares.</w:t>
      </w:r>
    </w:p>
    <w:p>
      <w:pPr>
        <w:spacing w:after="0" w:line="135" w:lineRule="exact"/>
        <w:rPr>
          <w:sz w:val="20"/>
          <w:szCs w:val="20"/>
          <w:color w:val="auto"/>
        </w:rPr>
      </w:pPr>
    </w:p>
    <w:tbl>
      <w:tblPr>
        <w:tblLayout w:type="fixed"/>
        <w:tblInd w:w="0" w:type="dxa"/>
        <w:tblCellMar>
          <w:top w:w="0" w:type="dxa"/>
          <w:left w:w="0" w:type="dxa"/>
          <w:bottom w:w="0" w:type="dxa"/>
          <w:right w:w="0" w:type="dxa"/>
        </w:tblCellMar>
      </w:tblPr>
      <w:tr>
        <w:trPr>
          <w:trHeight w:val="156"/>
        </w:trPr>
        <w:tc>
          <w:tcPr>
            <w:tcW w:w="526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120" w:type="dxa"/>
            <w:vAlign w:val="bottom"/>
            <w:gridSpan w:val="2"/>
          </w:tcPr>
          <w:p>
            <w:pPr>
              <w:jc w:val="right"/>
              <w:ind w:right="520"/>
              <w:spacing w:after="0"/>
              <w:rPr>
                <w:sz w:val="20"/>
                <w:szCs w:val="20"/>
                <w:color w:val="auto"/>
              </w:rPr>
            </w:pPr>
            <w:r>
              <w:rPr>
                <w:rFonts w:ascii="Arial" w:cs="Arial" w:eastAsia="Arial" w:hAnsi="Arial"/>
                <w:sz w:val="13"/>
                <w:szCs w:val="13"/>
                <w:b w:val="1"/>
                <w:bCs w:val="1"/>
                <w:color w:val="auto"/>
              </w:rPr>
              <w:t>100% of</w:t>
            </w: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240" w:type="dxa"/>
            <w:vAlign w:val="bottom"/>
            <w:gridSpan w:val="2"/>
          </w:tcPr>
          <w:p>
            <w:pPr>
              <w:jc w:val="right"/>
              <w:ind w:right="640"/>
              <w:spacing w:after="0"/>
              <w:rPr>
                <w:sz w:val="20"/>
                <w:szCs w:val="20"/>
                <w:color w:val="auto"/>
              </w:rPr>
            </w:pPr>
            <w:r>
              <w:rPr>
                <w:rFonts w:ascii="Arial" w:cs="Arial" w:eastAsia="Arial" w:hAnsi="Arial"/>
                <w:sz w:val="13"/>
                <w:szCs w:val="13"/>
                <w:b w:val="1"/>
                <w:bCs w:val="1"/>
                <w:color w:val="auto"/>
              </w:rPr>
              <w:t>75% of</w:t>
            </w:r>
          </w:p>
        </w:tc>
        <w:tc>
          <w:tcPr>
            <w:tcW w:w="120" w:type="dxa"/>
            <w:vAlign w:val="bottom"/>
          </w:tcPr>
          <w:p>
            <w:pPr>
              <w:spacing w:after="0"/>
              <w:rPr>
                <w:sz w:val="13"/>
                <w:szCs w:val="13"/>
                <w:color w:val="auto"/>
              </w:rPr>
            </w:pPr>
          </w:p>
        </w:tc>
        <w:tc>
          <w:tcPr>
            <w:tcW w:w="1220" w:type="dxa"/>
            <w:vAlign w:val="bottom"/>
            <w:gridSpan w:val="2"/>
          </w:tcPr>
          <w:p>
            <w:pPr>
              <w:jc w:val="right"/>
              <w:ind w:right="640"/>
              <w:spacing w:after="0"/>
              <w:rPr>
                <w:sz w:val="20"/>
                <w:szCs w:val="20"/>
                <w:color w:val="auto"/>
              </w:rPr>
            </w:pPr>
            <w:r>
              <w:rPr>
                <w:rFonts w:ascii="Arial" w:cs="Arial" w:eastAsia="Arial" w:hAnsi="Arial"/>
                <w:sz w:val="13"/>
                <w:szCs w:val="13"/>
                <w:b w:val="1"/>
                <w:bCs w:val="1"/>
                <w:color w:val="auto"/>
              </w:rPr>
              <w:t>50% of</w:t>
            </w:r>
          </w:p>
        </w:tc>
        <w:tc>
          <w:tcPr>
            <w:tcW w:w="120" w:type="dxa"/>
            <w:vAlign w:val="bottom"/>
          </w:tcPr>
          <w:p>
            <w:pPr>
              <w:spacing w:after="0"/>
              <w:rPr>
                <w:sz w:val="13"/>
                <w:szCs w:val="13"/>
                <w:color w:val="auto"/>
              </w:rPr>
            </w:pPr>
          </w:p>
        </w:tc>
        <w:tc>
          <w:tcPr>
            <w:tcW w:w="1000" w:type="dxa"/>
            <w:vAlign w:val="bottom"/>
            <w:gridSpan w:val="2"/>
          </w:tcPr>
          <w:p>
            <w:pPr>
              <w:jc w:val="right"/>
              <w:ind w:right="420"/>
              <w:spacing w:after="0"/>
              <w:rPr>
                <w:sz w:val="20"/>
                <w:szCs w:val="20"/>
                <w:color w:val="auto"/>
              </w:rPr>
            </w:pPr>
            <w:r>
              <w:rPr>
                <w:rFonts w:ascii="Arial" w:cs="Arial" w:eastAsia="Arial" w:hAnsi="Arial"/>
                <w:sz w:val="13"/>
                <w:szCs w:val="13"/>
                <w:b w:val="1"/>
                <w:bCs w:val="1"/>
                <w:color w:val="auto"/>
              </w:rPr>
              <w:t>25% of</w:t>
            </w:r>
          </w:p>
        </w:tc>
      </w:tr>
      <w:tr>
        <w:trPr>
          <w:trHeight w:val="169"/>
        </w:trPr>
        <w:tc>
          <w:tcPr>
            <w:tcW w:w="5260" w:type="dxa"/>
            <w:vAlign w:val="bottom"/>
          </w:tcPr>
          <w:p>
            <w:pPr>
              <w:spacing w:after="0"/>
              <w:rPr>
                <w:sz w:val="20"/>
                <w:szCs w:val="20"/>
                <w:color w:val="auto"/>
              </w:rPr>
            </w:pPr>
            <w:r>
              <w:rPr>
                <w:rFonts w:ascii="Arial" w:cs="Arial" w:eastAsia="Arial" w:hAnsi="Arial"/>
                <w:sz w:val="13"/>
                <w:szCs w:val="13"/>
                <w:b w:val="1"/>
                <w:bCs w:val="1"/>
                <w:color w:val="auto"/>
              </w:rPr>
              <w:t>Funding Level</w:t>
            </w:r>
          </w:p>
        </w:tc>
        <w:tc>
          <w:tcPr>
            <w:tcW w:w="6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120" w:type="dxa"/>
            <w:vAlign w:val="bottom"/>
            <w:gridSpan w:val="2"/>
          </w:tcPr>
          <w:p>
            <w:pPr>
              <w:jc w:val="right"/>
              <w:ind w:right="420"/>
              <w:spacing w:after="0"/>
              <w:rPr>
                <w:sz w:val="20"/>
                <w:szCs w:val="20"/>
                <w:color w:val="auto"/>
              </w:rPr>
            </w:pPr>
            <w:r>
              <w:rPr>
                <w:rFonts w:ascii="Arial" w:cs="Arial" w:eastAsia="Arial" w:hAnsi="Arial"/>
                <w:sz w:val="13"/>
                <w:szCs w:val="13"/>
                <w:b w:val="1"/>
                <w:bCs w:val="1"/>
                <w:color w:val="auto"/>
                <w:w w:val="90"/>
              </w:rPr>
              <w:t>Shares Sold</w:t>
            </w: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240" w:type="dxa"/>
            <w:vAlign w:val="bottom"/>
            <w:gridSpan w:val="2"/>
          </w:tcPr>
          <w:p>
            <w:pPr>
              <w:jc w:val="right"/>
              <w:ind w:right="520"/>
              <w:spacing w:after="0"/>
              <w:rPr>
                <w:sz w:val="20"/>
                <w:szCs w:val="20"/>
                <w:color w:val="auto"/>
              </w:rPr>
            </w:pPr>
            <w:r>
              <w:rPr>
                <w:rFonts w:ascii="Arial" w:cs="Arial" w:eastAsia="Arial" w:hAnsi="Arial"/>
                <w:sz w:val="13"/>
                <w:szCs w:val="13"/>
                <w:b w:val="1"/>
                <w:bCs w:val="1"/>
                <w:color w:val="auto"/>
                <w:w w:val="93"/>
              </w:rPr>
              <w:t>Shares Sold</w:t>
            </w:r>
          </w:p>
        </w:tc>
        <w:tc>
          <w:tcPr>
            <w:tcW w:w="120" w:type="dxa"/>
            <w:vAlign w:val="bottom"/>
          </w:tcPr>
          <w:p>
            <w:pPr>
              <w:spacing w:after="0"/>
              <w:rPr>
                <w:sz w:val="14"/>
                <w:szCs w:val="14"/>
                <w:color w:val="auto"/>
              </w:rPr>
            </w:pPr>
          </w:p>
        </w:tc>
        <w:tc>
          <w:tcPr>
            <w:tcW w:w="1220" w:type="dxa"/>
            <w:vAlign w:val="bottom"/>
            <w:gridSpan w:val="2"/>
          </w:tcPr>
          <w:p>
            <w:pPr>
              <w:jc w:val="right"/>
              <w:ind w:right="520"/>
              <w:spacing w:after="0"/>
              <w:rPr>
                <w:sz w:val="20"/>
                <w:szCs w:val="20"/>
                <w:color w:val="auto"/>
              </w:rPr>
            </w:pPr>
            <w:r>
              <w:rPr>
                <w:rFonts w:ascii="Arial" w:cs="Arial" w:eastAsia="Arial" w:hAnsi="Arial"/>
                <w:sz w:val="13"/>
                <w:szCs w:val="13"/>
                <w:b w:val="1"/>
                <w:bCs w:val="1"/>
                <w:color w:val="auto"/>
                <w:w w:val="90"/>
              </w:rPr>
              <w:t>Shares Sold</w:t>
            </w:r>
          </w:p>
        </w:tc>
        <w:tc>
          <w:tcPr>
            <w:tcW w:w="120" w:type="dxa"/>
            <w:vAlign w:val="bottom"/>
          </w:tcPr>
          <w:p>
            <w:pPr>
              <w:spacing w:after="0"/>
              <w:rPr>
                <w:sz w:val="14"/>
                <w:szCs w:val="14"/>
                <w:color w:val="auto"/>
              </w:rPr>
            </w:pPr>
          </w:p>
        </w:tc>
        <w:tc>
          <w:tcPr>
            <w:tcW w:w="1000" w:type="dxa"/>
            <w:vAlign w:val="bottom"/>
            <w:gridSpan w:val="2"/>
          </w:tcPr>
          <w:p>
            <w:pPr>
              <w:jc w:val="right"/>
              <w:ind w:right="280"/>
              <w:spacing w:after="0"/>
              <w:rPr>
                <w:sz w:val="20"/>
                <w:szCs w:val="20"/>
                <w:color w:val="auto"/>
              </w:rPr>
            </w:pPr>
            <w:r>
              <w:rPr>
                <w:rFonts w:ascii="Arial" w:cs="Arial" w:eastAsia="Arial" w:hAnsi="Arial"/>
                <w:sz w:val="13"/>
                <w:szCs w:val="13"/>
                <w:b w:val="1"/>
                <w:bCs w:val="1"/>
                <w:color w:val="auto"/>
                <w:w w:val="93"/>
              </w:rPr>
              <w:t>Shares Sold</w:t>
            </w:r>
          </w:p>
        </w:tc>
      </w:tr>
      <w:tr>
        <w:trPr>
          <w:trHeight w:val="147"/>
        </w:trPr>
        <w:tc>
          <w:tcPr>
            <w:tcW w:w="5260" w:type="dxa"/>
            <w:vAlign w:val="bottom"/>
            <w:tcBorders>
              <w:top w:val="single" w:sz="8" w:color="auto"/>
            </w:tcBorders>
            <w:shd w:val="clear" w:color="auto" w:fill="CCEEFF"/>
          </w:tcPr>
          <w:p>
            <w:pPr>
              <w:spacing w:after="0" w:line="147" w:lineRule="exact"/>
              <w:rPr>
                <w:sz w:val="20"/>
                <w:szCs w:val="20"/>
                <w:color w:val="auto"/>
              </w:rPr>
            </w:pPr>
            <w:r>
              <w:rPr>
                <w:rFonts w:ascii="Arial" w:cs="Arial" w:eastAsia="Arial" w:hAnsi="Arial"/>
                <w:sz w:val="13"/>
                <w:szCs w:val="13"/>
                <w:color w:val="auto"/>
              </w:rPr>
              <w:t>Offering Price</w:t>
            </w:r>
          </w:p>
        </w:tc>
        <w:tc>
          <w:tcPr>
            <w:tcW w:w="620" w:type="dxa"/>
            <w:vAlign w:val="bottom"/>
            <w:tcBorders>
              <w:top w:val="single" w:sz="8" w:color="auto"/>
            </w:tcBorders>
            <w:shd w:val="clear" w:color="auto" w:fill="CCEEFF"/>
          </w:tcPr>
          <w:p>
            <w:pPr>
              <w:spacing w:after="0"/>
              <w:rPr>
                <w:sz w:val="12"/>
                <w:szCs w:val="12"/>
                <w:color w:val="auto"/>
              </w:rPr>
            </w:pPr>
          </w:p>
        </w:tc>
        <w:tc>
          <w:tcPr>
            <w:tcW w:w="22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w w:val="82"/>
              </w:rPr>
              <w:t>$</w:t>
            </w:r>
          </w:p>
        </w:tc>
        <w:tc>
          <w:tcPr>
            <w:tcW w:w="88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10.00</w:t>
            </w:r>
          </w:p>
        </w:tc>
        <w:tc>
          <w:tcPr>
            <w:tcW w:w="2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w w:val="82"/>
              </w:rPr>
              <w:t>$</w:t>
            </w:r>
          </w:p>
        </w:tc>
        <w:tc>
          <w:tcPr>
            <w:tcW w:w="90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10.00</w:t>
            </w:r>
          </w:p>
        </w:tc>
        <w:tc>
          <w:tcPr>
            <w:tcW w:w="34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auto"/>
            </w:tcBorders>
            <w:shd w:val="clear" w:color="auto" w:fill="CCEEFF"/>
          </w:tcPr>
          <w:p>
            <w:pPr>
              <w:jc w:val="right"/>
              <w:ind w:right="11"/>
              <w:spacing w:after="0"/>
              <w:rPr>
                <w:sz w:val="20"/>
                <w:szCs w:val="20"/>
                <w:color w:val="auto"/>
              </w:rPr>
            </w:pPr>
            <w:r>
              <w:rPr>
                <w:rFonts w:ascii="Arial" w:cs="Arial" w:eastAsia="Arial" w:hAnsi="Arial"/>
                <w:sz w:val="10"/>
                <w:szCs w:val="10"/>
                <w:color w:val="auto"/>
                <w:w w:val="71"/>
              </w:rPr>
              <w:t>$</w:t>
            </w:r>
          </w:p>
        </w:tc>
        <w:tc>
          <w:tcPr>
            <w:tcW w:w="88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10.00</w:t>
            </w:r>
          </w:p>
        </w:tc>
        <w:tc>
          <w:tcPr>
            <w:tcW w:w="34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w w:val="82"/>
              </w:rPr>
              <w:t>$</w:t>
            </w:r>
          </w:p>
        </w:tc>
        <w:tc>
          <w:tcPr>
            <w:tcW w:w="90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10.00</w:t>
            </w:r>
          </w:p>
        </w:tc>
        <w:tc>
          <w:tcPr>
            <w:tcW w:w="100" w:type="dxa"/>
            <w:vAlign w:val="bottom"/>
            <w:tcBorders>
              <w:top w:val="single" w:sz="8" w:color="CCEEFF"/>
            </w:tcBorders>
            <w:shd w:val="clear" w:color="auto" w:fill="CCEEFF"/>
          </w:tcPr>
          <w:p>
            <w:pPr>
              <w:spacing w:after="0"/>
              <w:rPr>
                <w:sz w:val="12"/>
                <w:szCs w:val="12"/>
                <w:color w:val="auto"/>
              </w:rPr>
            </w:pPr>
          </w:p>
        </w:tc>
      </w:tr>
      <w:tr>
        <w:trPr>
          <w:trHeight w:val="156"/>
        </w:trPr>
        <w:tc>
          <w:tcPr>
            <w:tcW w:w="5260" w:type="dxa"/>
            <w:vAlign w:val="bottom"/>
          </w:tcPr>
          <w:p>
            <w:pPr>
              <w:ind w:left="120"/>
              <w:spacing w:after="0"/>
              <w:rPr>
                <w:sz w:val="20"/>
                <w:szCs w:val="20"/>
                <w:color w:val="auto"/>
              </w:rPr>
            </w:pPr>
            <w:r>
              <w:rPr>
                <w:rFonts w:ascii="Arial" w:cs="Arial" w:eastAsia="Arial" w:hAnsi="Arial"/>
                <w:sz w:val="13"/>
                <w:szCs w:val="13"/>
                <w:color w:val="auto"/>
              </w:rPr>
              <w:t>Pro forma net tangible book value per Common Share Equivalent before the offering</w:t>
            </w:r>
          </w:p>
        </w:tc>
        <w:tc>
          <w:tcPr>
            <w:tcW w:w="980" w:type="dxa"/>
            <w:vAlign w:val="bottom"/>
            <w:gridSpan w:val="3"/>
          </w:tcPr>
          <w:p>
            <w:pPr>
              <w:jc w:val="right"/>
              <w:spacing w:after="0"/>
              <w:rPr>
                <w:sz w:val="20"/>
                <w:szCs w:val="20"/>
                <w:color w:val="auto"/>
              </w:rPr>
            </w:pPr>
            <w:r>
              <w:rPr>
                <w:rFonts w:ascii="Arial" w:cs="Arial" w:eastAsia="Arial" w:hAnsi="Arial"/>
                <w:sz w:val="13"/>
                <w:szCs w:val="13"/>
                <w:color w:val="auto"/>
              </w:rPr>
              <w:t>$</w:t>
            </w:r>
          </w:p>
        </w:tc>
        <w:tc>
          <w:tcPr>
            <w:tcW w:w="1120" w:type="dxa"/>
            <w:vAlign w:val="bottom"/>
            <w:gridSpan w:val="2"/>
          </w:tcPr>
          <w:p>
            <w:pPr>
              <w:jc w:val="right"/>
              <w:ind w:right="200"/>
              <w:spacing w:after="0"/>
              <w:rPr>
                <w:sz w:val="20"/>
                <w:szCs w:val="20"/>
                <w:color w:val="auto"/>
              </w:rPr>
            </w:pPr>
            <w:r>
              <w:rPr>
                <w:rFonts w:ascii="Arial" w:cs="Arial" w:eastAsia="Arial" w:hAnsi="Arial"/>
                <w:sz w:val="13"/>
                <w:szCs w:val="13"/>
                <w:color w:val="auto"/>
              </w:rPr>
              <w:t>(0.18)</w:t>
            </w:r>
          </w:p>
        </w:tc>
        <w:tc>
          <w:tcPr>
            <w:tcW w:w="220" w:type="dxa"/>
            <w:vAlign w:val="bottom"/>
            <w:gridSpan w:val="2"/>
          </w:tcPr>
          <w:p>
            <w:pPr>
              <w:jc w:val="right"/>
              <w:spacing w:after="0"/>
              <w:rPr>
                <w:sz w:val="20"/>
                <w:szCs w:val="20"/>
                <w:color w:val="auto"/>
              </w:rPr>
            </w:pPr>
            <w:r>
              <w:rPr>
                <w:rFonts w:ascii="Arial" w:cs="Arial" w:eastAsia="Arial" w:hAnsi="Arial"/>
                <w:sz w:val="13"/>
                <w:szCs w:val="13"/>
                <w:color w:val="auto"/>
              </w:rPr>
              <w:t>$</w:t>
            </w:r>
          </w:p>
        </w:tc>
        <w:tc>
          <w:tcPr>
            <w:tcW w:w="1240" w:type="dxa"/>
            <w:vAlign w:val="bottom"/>
            <w:gridSpan w:val="2"/>
          </w:tcPr>
          <w:p>
            <w:pPr>
              <w:jc w:val="right"/>
              <w:ind w:right="300"/>
              <w:spacing w:after="0"/>
              <w:rPr>
                <w:sz w:val="20"/>
                <w:szCs w:val="20"/>
                <w:color w:val="auto"/>
              </w:rPr>
            </w:pPr>
            <w:r>
              <w:rPr>
                <w:rFonts w:ascii="Arial" w:cs="Arial" w:eastAsia="Arial" w:hAnsi="Arial"/>
                <w:sz w:val="13"/>
                <w:szCs w:val="13"/>
                <w:color w:val="auto"/>
              </w:rPr>
              <w:t>(0.18)</w:t>
            </w:r>
          </w:p>
        </w:tc>
        <w:tc>
          <w:tcPr>
            <w:tcW w:w="120" w:type="dxa"/>
            <w:vAlign w:val="bottom"/>
          </w:tcPr>
          <w:p>
            <w:pPr>
              <w:jc w:val="right"/>
              <w:ind w:right="11"/>
              <w:spacing w:after="0"/>
              <w:rPr>
                <w:sz w:val="20"/>
                <w:szCs w:val="20"/>
                <w:color w:val="auto"/>
              </w:rPr>
            </w:pPr>
            <w:r>
              <w:rPr>
                <w:rFonts w:ascii="Arial" w:cs="Arial" w:eastAsia="Arial" w:hAnsi="Arial"/>
                <w:sz w:val="10"/>
                <w:szCs w:val="10"/>
                <w:color w:val="auto"/>
                <w:w w:val="71"/>
              </w:rPr>
              <w:t>$</w:t>
            </w:r>
          </w:p>
        </w:tc>
        <w:tc>
          <w:tcPr>
            <w:tcW w:w="1220" w:type="dxa"/>
            <w:vAlign w:val="bottom"/>
            <w:gridSpan w:val="2"/>
          </w:tcPr>
          <w:p>
            <w:pPr>
              <w:jc w:val="right"/>
              <w:ind w:right="300"/>
              <w:spacing w:after="0"/>
              <w:rPr>
                <w:sz w:val="20"/>
                <w:szCs w:val="20"/>
                <w:color w:val="auto"/>
              </w:rPr>
            </w:pPr>
            <w:r>
              <w:rPr>
                <w:rFonts w:ascii="Arial" w:cs="Arial" w:eastAsia="Arial" w:hAnsi="Arial"/>
                <w:sz w:val="13"/>
                <w:szCs w:val="13"/>
                <w:color w:val="auto"/>
              </w:rPr>
              <w:t>(0.18)</w:t>
            </w:r>
          </w:p>
        </w:tc>
        <w:tc>
          <w:tcPr>
            <w:tcW w:w="120" w:type="dxa"/>
            <w:vAlign w:val="bottom"/>
          </w:tcPr>
          <w:p>
            <w:pPr>
              <w:jc w:val="right"/>
              <w:spacing w:after="0"/>
              <w:rPr>
                <w:sz w:val="20"/>
                <w:szCs w:val="20"/>
                <w:color w:val="auto"/>
              </w:rPr>
            </w:pPr>
            <w:r>
              <w:rPr>
                <w:rFonts w:ascii="Arial" w:cs="Arial" w:eastAsia="Arial" w:hAnsi="Arial"/>
                <w:sz w:val="13"/>
                <w:szCs w:val="13"/>
                <w:color w:val="auto"/>
                <w:w w:val="82"/>
              </w:rPr>
              <w:t>$</w:t>
            </w:r>
          </w:p>
        </w:tc>
        <w:tc>
          <w:tcPr>
            <w:tcW w:w="1000" w:type="dxa"/>
            <w:vAlign w:val="bottom"/>
            <w:gridSpan w:val="2"/>
          </w:tcPr>
          <w:p>
            <w:pPr>
              <w:jc w:val="right"/>
              <w:ind w:right="60"/>
              <w:spacing w:after="0"/>
              <w:rPr>
                <w:sz w:val="20"/>
                <w:szCs w:val="20"/>
                <w:color w:val="auto"/>
              </w:rPr>
            </w:pPr>
            <w:r>
              <w:rPr>
                <w:rFonts w:ascii="Arial" w:cs="Arial" w:eastAsia="Arial" w:hAnsi="Arial"/>
                <w:sz w:val="13"/>
                <w:szCs w:val="13"/>
                <w:color w:val="auto"/>
              </w:rPr>
              <w:t>(0.18)</w:t>
            </w:r>
          </w:p>
        </w:tc>
      </w:tr>
      <w:tr>
        <w:trPr>
          <w:trHeight w:val="156"/>
        </w:trPr>
        <w:tc>
          <w:tcPr>
            <w:tcW w:w="5260" w:type="dxa"/>
            <w:vAlign w:val="bottom"/>
            <w:shd w:val="clear" w:color="auto" w:fill="CCEEFF"/>
          </w:tcPr>
          <w:p>
            <w:pPr>
              <w:spacing w:after="0"/>
              <w:rPr>
                <w:sz w:val="20"/>
                <w:szCs w:val="20"/>
                <w:color w:val="auto"/>
              </w:rPr>
            </w:pPr>
            <w:r>
              <w:rPr>
                <w:rFonts w:ascii="Arial" w:cs="Arial" w:eastAsia="Arial" w:hAnsi="Arial"/>
                <w:sz w:val="13"/>
                <w:szCs w:val="13"/>
                <w:color w:val="auto"/>
                <w:w w:val="96"/>
              </w:rPr>
              <w:t>Pro forma as adjusted net tangible book value per Common Share Equivalent after the offering</w:t>
            </w:r>
          </w:p>
        </w:tc>
        <w:tc>
          <w:tcPr>
            <w:tcW w:w="980" w:type="dxa"/>
            <w:vAlign w:val="bottom"/>
            <w:gridSpan w:val="3"/>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112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0.70</w:t>
            </w:r>
          </w:p>
        </w:tc>
        <w:tc>
          <w:tcPr>
            <w:tcW w:w="220" w:type="dxa"/>
            <w:vAlign w:val="bottom"/>
            <w:gridSpan w:val="2"/>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1240" w:type="dxa"/>
            <w:vAlign w:val="bottom"/>
            <w:gridSpan w:val="2"/>
            <w:shd w:val="clear" w:color="auto" w:fill="CCEEFF"/>
          </w:tcPr>
          <w:p>
            <w:pPr>
              <w:jc w:val="right"/>
              <w:ind w:right="340"/>
              <w:spacing w:after="0"/>
              <w:rPr>
                <w:sz w:val="20"/>
                <w:szCs w:val="20"/>
                <w:color w:val="auto"/>
              </w:rPr>
            </w:pPr>
            <w:r>
              <w:rPr>
                <w:rFonts w:ascii="Arial" w:cs="Arial" w:eastAsia="Arial" w:hAnsi="Arial"/>
                <w:sz w:val="13"/>
                <w:szCs w:val="13"/>
                <w:color w:val="auto"/>
              </w:rPr>
              <w:t>0.49</w:t>
            </w:r>
          </w:p>
        </w:tc>
        <w:tc>
          <w:tcPr>
            <w:tcW w:w="120" w:type="dxa"/>
            <w:vAlign w:val="bottom"/>
            <w:shd w:val="clear" w:color="auto" w:fill="CCEEFF"/>
          </w:tcPr>
          <w:p>
            <w:pPr>
              <w:jc w:val="right"/>
              <w:ind w:right="11"/>
              <w:spacing w:after="0"/>
              <w:rPr>
                <w:sz w:val="20"/>
                <w:szCs w:val="20"/>
                <w:color w:val="auto"/>
              </w:rPr>
            </w:pPr>
            <w:r>
              <w:rPr>
                <w:rFonts w:ascii="Arial" w:cs="Arial" w:eastAsia="Arial" w:hAnsi="Arial"/>
                <w:sz w:val="10"/>
                <w:szCs w:val="10"/>
                <w:color w:val="auto"/>
                <w:w w:val="71"/>
              </w:rPr>
              <w:t>$</w:t>
            </w:r>
          </w:p>
        </w:tc>
        <w:tc>
          <w:tcPr>
            <w:tcW w:w="1220" w:type="dxa"/>
            <w:vAlign w:val="bottom"/>
            <w:gridSpan w:val="2"/>
            <w:shd w:val="clear" w:color="auto" w:fill="CCEEFF"/>
          </w:tcPr>
          <w:p>
            <w:pPr>
              <w:jc w:val="right"/>
              <w:ind w:right="340"/>
              <w:spacing w:after="0"/>
              <w:rPr>
                <w:sz w:val="20"/>
                <w:szCs w:val="20"/>
                <w:color w:val="auto"/>
              </w:rPr>
            </w:pPr>
            <w:r>
              <w:rPr>
                <w:rFonts w:ascii="Arial" w:cs="Arial" w:eastAsia="Arial" w:hAnsi="Arial"/>
                <w:sz w:val="13"/>
                <w:szCs w:val="13"/>
                <w:color w:val="auto"/>
              </w:rPr>
              <w:t>0.26</w:t>
            </w:r>
          </w:p>
        </w:tc>
        <w:tc>
          <w:tcPr>
            <w:tcW w:w="120" w:type="dxa"/>
            <w:vAlign w:val="bottom"/>
            <w:shd w:val="clear" w:color="auto" w:fill="CCEEFF"/>
          </w:tcPr>
          <w:p>
            <w:pPr>
              <w:jc w:val="right"/>
              <w:spacing w:after="0"/>
              <w:rPr>
                <w:sz w:val="20"/>
                <w:szCs w:val="20"/>
                <w:color w:val="auto"/>
              </w:rPr>
            </w:pPr>
            <w:r>
              <w:rPr>
                <w:rFonts w:ascii="Arial" w:cs="Arial" w:eastAsia="Arial" w:hAnsi="Arial"/>
                <w:sz w:val="13"/>
                <w:szCs w:val="13"/>
                <w:color w:val="auto"/>
                <w:w w:val="82"/>
              </w:rPr>
              <w:t>$</w:t>
            </w:r>
          </w:p>
        </w:tc>
        <w:tc>
          <w:tcPr>
            <w:tcW w:w="100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0.03</w:t>
            </w:r>
          </w:p>
        </w:tc>
      </w:tr>
      <w:tr>
        <w:trPr>
          <w:trHeight w:val="156"/>
        </w:trPr>
        <w:tc>
          <w:tcPr>
            <w:tcW w:w="5260" w:type="dxa"/>
            <w:vAlign w:val="bottom"/>
          </w:tcPr>
          <w:p>
            <w:pPr>
              <w:spacing w:after="0"/>
              <w:rPr>
                <w:sz w:val="20"/>
                <w:szCs w:val="20"/>
                <w:color w:val="auto"/>
              </w:rPr>
            </w:pPr>
            <w:r>
              <w:rPr>
                <w:rFonts w:ascii="Arial" w:cs="Arial" w:eastAsia="Arial" w:hAnsi="Arial"/>
                <w:sz w:val="13"/>
                <w:szCs w:val="13"/>
                <w:color w:val="auto"/>
              </w:rPr>
              <w:t>Dilution to investors participating in this offering</w:t>
            </w:r>
          </w:p>
        </w:tc>
        <w:tc>
          <w:tcPr>
            <w:tcW w:w="980" w:type="dxa"/>
            <w:vAlign w:val="bottom"/>
            <w:gridSpan w:val="3"/>
          </w:tcPr>
          <w:p>
            <w:pPr>
              <w:jc w:val="right"/>
              <w:spacing w:after="0"/>
              <w:rPr>
                <w:sz w:val="20"/>
                <w:szCs w:val="20"/>
                <w:color w:val="auto"/>
              </w:rPr>
            </w:pPr>
            <w:r>
              <w:rPr>
                <w:rFonts w:ascii="Arial" w:cs="Arial" w:eastAsia="Arial" w:hAnsi="Arial"/>
                <w:sz w:val="13"/>
                <w:szCs w:val="13"/>
                <w:color w:val="auto"/>
              </w:rPr>
              <w:t>$</w:t>
            </w:r>
          </w:p>
        </w:tc>
        <w:tc>
          <w:tcPr>
            <w:tcW w:w="1120" w:type="dxa"/>
            <w:vAlign w:val="bottom"/>
            <w:gridSpan w:val="2"/>
          </w:tcPr>
          <w:p>
            <w:pPr>
              <w:jc w:val="right"/>
              <w:ind w:right="240"/>
              <w:spacing w:after="0"/>
              <w:rPr>
                <w:sz w:val="20"/>
                <w:szCs w:val="20"/>
                <w:color w:val="auto"/>
              </w:rPr>
            </w:pPr>
            <w:r>
              <w:rPr>
                <w:rFonts w:ascii="Arial" w:cs="Arial" w:eastAsia="Arial" w:hAnsi="Arial"/>
                <w:sz w:val="13"/>
                <w:szCs w:val="13"/>
                <w:color w:val="auto"/>
              </w:rPr>
              <w:t>9.30</w:t>
            </w:r>
          </w:p>
        </w:tc>
        <w:tc>
          <w:tcPr>
            <w:tcW w:w="220" w:type="dxa"/>
            <w:vAlign w:val="bottom"/>
            <w:gridSpan w:val="2"/>
          </w:tcPr>
          <w:p>
            <w:pPr>
              <w:jc w:val="right"/>
              <w:spacing w:after="0"/>
              <w:rPr>
                <w:sz w:val="20"/>
                <w:szCs w:val="20"/>
                <w:color w:val="auto"/>
              </w:rPr>
            </w:pPr>
            <w:r>
              <w:rPr>
                <w:rFonts w:ascii="Arial" w:cs="Arial" w:eastAsia="Arial" w:hAnsi="Arial"/>
                <w:sz w:val="13"/>
                <w:szCs w:val="13"/>
                <w:color w:val="auto"/>
              </w:rPr>
              <w:t>$</w:t>
            </w:r>
          </w:p>
        </w:tc>
        <w:tc>
          <w:tcPr>
            <w:tcW w:w="1240" w:type="dxa"/>
            <w:vAlign w:val="bottom"/>
            <w:gridSpan w:val="2"/>
          </w:tcPr>
          <w:p>
            <w:pPr>
              <w:jc w:val="right"/>
              <w:ind w:right="340"/>
              <w:spacing w:after="0"/>
              <w:rPr>
                <w:sz w:val="20"/>
                <w:szCs w:val="20"/>
                <w:color w:val="auto"/>
              </w:rPr>
            </w:pPr>
            <w:r>
              <w:rPr>
                <w:rFonts w:ascii="Arial" w:cs="Arial" w:eastAsia="Arial" w:hAnsi="Arial"/>
                <w:sz w:val="13"/>
                <w:szCs w:val="13"/>
                <w:color w:val="auto"/>
              </w:rPr>
              <w:t>9.51</w:t>
            </w:r>
          </w:p>
        </w:tc>
        <w:tc>
          <w:tcPr>
            <w:tcW w:w="120" w:type="dxa"/>
            <w:vAlign w:val="bottom"/>
          </w:tcPr>
          <w:p>
            <w:pPr>
              <w:jc w:val="right"/>
              <w:ind w:right="11"/>
              <w:spacing w:after="0"/>
              <w:rPr>
                <w:sz w:val="20"/>
                <w:szCs w:val="20"/>
                <w:color w:val="auto"/>
              </w:rPr>
            </w:pPr>
            <w:r>
              <w:rPr>
                <w:rFonts w:ascii="Arial" w:cs="Arial" w:eastAsia="Arial" w:hAnsi="Arial"/>
                <w:sz w:val="10"/>
                <w:szCs w:val="10"/>
                <w:color w:val="auto"/>
                <w:w w:val="71"/>
              </w:rPr>
              <w:t>$</w:t>
            </w:r>
          </w:p>
        </w:tc>
        <w:tc>
          <w:tcPr>
            <w:tcW w:w="1220" w:type="dxa"/>
            <w:vAlign w:val="bottom"/>
            <w:gridSpan w:val="2"/>
          </w:tcPr>
          <w:p>
            <w:pPr>
              <w:jc w:val="right"/>
              <w:ind w:right="340"/>
              <w:spacing w:after="0"/>
              <w:rPr>
                <w:sz w:val="20"/>
                <w:szCs w:val="20"/>
                <w:color w:val="auto"/>
              </w:rPr>
            </w:pPr>
            <w:r>
              <w:rPr>
                <w:rFonts w:ascii="Arial" w:cs="Arial" w:eastAsia="Arial" w:hAnsi="Arial"/>
                <w:sz w:val="13"/>
                <w:szCs w:val="13"/>
                <w:color w:val="auto"/>
              </w:rPr>
              <w:t>9.74</w:t>
            </w:r>
          </w:p>
        </w:tc>
        <w:tc>
          <w:tcPr>
            <w:tcW w:w="120" w:type="dxa"/>
            <w:vAlign w:val="bottom"/>
          </w:tcPr>
          <w:p>
            <w:pPr>
              <w:jc w:val="right"/>
              <w:spacing w:after="0"/>
              <w:rPr>
                <w:sz w:val="20"/>
                <w:szCs w:val="20"/>
                <w:color w:val="auto"/>
              </w:rPr>
            </w:pPr>
            <w:r>
              <w:rPr>
                <w:rFonts w:ascii="Arial" w:cs="Arial" w:eastAsia="Arial" w:hAnsi="Arial"/>
                <w:sz w:val="13"/>
                <w:szCs w:val="13"/>
                <w:color w:val="auto"/>
                <w:w w:val="82"/>
              </w:rPr>
              <w:t>$</w:t>
            </w:r>
          </w:p>
        </w:tc>
        <w:tc>
          <w:tcPr>
            <w:tcW w:w="1000" w:type="dxa"/>
            <w:vAlign w:val="bottom"/>
            <w:gridSpan w:val="2"/>
          </w:tcPr>
          <w:p>
            <w:pPr>
              <w:jc w:val="right"/>
              <w:ind w:right="100"/>
              <w:spacing w:after="0"/>
              <w:rPr>
                <w:sz w:val="20"/>
                <w:szCs w:val="20"/>
                <w:color w:val="auto"/>
              </w:rPr>
            </w:pPr>
            <w:r>
              <w:rPr>
                <w:rFonts w:ascii="Arial" w:cs="Arial" w:eastAsia="Arial" w:hAnsi="Arial"/>
                <w:sz w:val="13"/>
                <w:szCs w:val="13"/>
                <w:color w:val="auto"/>
              </w:rPr>
              <w:t>9.97</w:t>
            </w:r>
          </w:p>
        </w:tc>
      </w:tr>
      <w:tr>
        <w:trPr>
          <w:trHeight w:val="156"/>
        </w:trPr>
        <w:tc>
          <w:tcPr>
            <w:tcW w:w="5260" w:type="dxa"/>
            <w:vAlign w:val="bottom"/>
            <w:shd w:val="clear" w:color="auto" w:fill="CCEEFF"/>
          </w:tcPr>
          <w:p>
            <w:pPr>
              <w:spacing w:after="0"/>
              <w:rPr>
                <w:sz w:val="20"/>
                <w:szCs w:val="20"/>
                <w:color w:val="auto"/>
              </w:rPr>
            </w:pPr>
            <w:r>
              <w:rPr>
                <w:rFonts w:ascii="Arial" w:cs="Arial" w:eastAsia="Arial" w:hAnsi="Arial"/>
                <w:sz w:val="13"/>
                <w:szCs w:val="13"/>
                <w:color w:val="auto"/>
              </w:rPr>
              <w:t>Dilution as a percentage of the offering price</w:t>
            </w:r>
          </w:p>
        </w:tc>
        <w:tc>
          <w:tcPr>
            <w:tcW w:w="62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120" w:type="dxa"/>
            <w:vAlign w:val="bottom"/>
            <w:gridSpan w:val="2"/>
            <w:shd w:val="clear" w:color="auto" w:fill="CCEEFF"/>
          </w:tcPr>
          <w:p>
            <w:pPr>
              <w:jc w:val="right"/>
              <w:ind w:right="120"/>
              <w:spacing w:after="0"/>
              <w:rPr>
                <w:sz w:val="20"/>
                <w:szCs w:val="20"/>
                <w:color w:val="auto"/>
              </w:rPr>
            </w:pPr>
            <w:r>
              <w:rPr>
                <w:rFonts w:ascii="Arial" w:cs="Arial" w:eastAsia="Arial" w:hAnsi="Arial"/>
                <w:sz w:val="13"/>
                <w:szCs w:val="13"/>
                <w:color w:val="auto"/>
              </w:rPr>
              <w:t>93.0%</w:t>
            </w: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124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95.1%</w:t>
            </w:r>
          </w:p>
        </w:tc>
        <w:tc>
          <w:tcPr>
            <w:tcW w:w="120" w:type="dxa"/>
            <w:vAlign w:val="bottom"/>
            <w:shd w:val="clear" w:color="auto" w:fill="CCEEFF"/>
          </w:tcPr>
          <w:p>
            <w:pPr>
              <w:spacing w:after="0"/>
              <w:rPr>
                <w:sz w:val="13"/>
                <w:szCs w:val="13"/>
                <w:color w:val="auto"/>
              </w:rPr>
            </w:pPr>
          </w:p>
        </w:tc>
        <w:tc>
          <w:tcPr>
            <w:tcW w:w="12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97.4%</w:t>
            </w:r>
          </w:p>
        </w:tc>
        <w:tc>
          <w:tcPr>
            <w:tcW w:w="120" w:type="dxa"/>
            <w:vAlign w:val="bottom"/>
            <w:shd w:val="clear" w:color="auto" w:fill="CCEEFF"/>
          </w:tcPr>
          <w:p>
            <w:pPr>
              <w:spacing w:after="0"/>
              <w:rPr>
                <w:sz w:val="13"/>
                <w:szCs w:val="13"/>
                <w:color w:val="auto"/>
              </w:rPr>
            </w:pPr>
          </w:p>
        </w:tc>
        <w:tc>
          <w:tcPr>
            <w:tcW w:w="1000" w:type="dxa"/>
            <w:vAlign w:val="bottom"/>
            <w:gridSpan w:val="2"/>
            <w:shd w:val="clear" w:color="auto" w:fill="CCEEFF"/>
          </w:tcPr>
          <w:p>
            <w:pPr>
              <w:jc w:val="right"/>
              <w:spacing w:after="0"/>
              <w:rPr>
                <w:sz w:val="20"/>
                <w:szCs w:val="20"/>
                <w:color w:val="auto"/>
              </w:rPr>
            </w:pPr>
            <w:r>
              <w:rPr>
                <w:rFonts w:ascii="Arial" w:cs="Arial" w:eastAsia="Arial" w:hAnsi="Arial"/>
                <w:sz w:val="13"/>
                <w:szCs w:val="13"/>
                <w:color w:val="auto"/>
              </w:rPr>
              <w:t>99.7%</w:t>
            </w:r>
          </w:p>
        </w:tc>
      </w:tr>
      <w:tr>
        <w:trPr>
          <w:trHeight w:val="469"/>
        </w:trPr>
        <w:tc>
          <w:tcPr>
            <w:tcW w:w="526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jc w:val="right"/>
              <w:ind w:right="75"/>
              <w:spacing w:after="0"/>
              <w:rPr>
                <w:sz w:val="20"/>
                <w:szCs w:val="20"/>
                <w:color w:val="auto"/>
              </w:rPr>
            </w:pPr>
            <w:r>
              <w:rPr>
                <w:rFonts w:ascii="Arial" w:cs="Arial" w:eastAsia="Arial" w:hAnsi="Arial"/>
                <w:sz w:val="13"/>
                <w:szCs w:val="13"/>
                <w:color w:val="auto"/>
              </w:rPr>
              <w:t>17</w:t>
            </w:r>
          </w:p>
        </w:tc>
        <w:tc>
          <w:tcPr>
            <w:tcW w:w="22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r>
    </w:tbl>
    <w:p>
      <w:pPr>
        <w:sectPr>
          <w:pgSz w:w="11900" w:h="16838" w:orient="portrait"/>
          <w:cols w:equalWidth="0" w:num="1">
            <w:col w:w="11280"/>
          </w:cols>
          <w:pgMar w:left="300" w:top="717" w:right="319" w:bottom="1440" w:gutter="0" w:footer="0" w:header="0"/>
        </w:sectPr>
      </w:pPr>
    </w:p>
    <w:bookmarkStart w:id="20" w:name="page21"/>
    <w:bookmarkEnd w:id="20"/>
    <w:p>
      <w:pPr>
        <w:spacing w:after="0"/>
        <w:rPr>
          <w:sz w:val="20"/>
          <w:szCs w:val="20"/>
          <w:color w:val="auto"/>
        </w:rPr>
      </w:pPr>
      <w:r>
        <w:rPr>
          <w:rFonts w:ascii="Arial" w:cs="Arial" w:eastAsia="Arial" w:hAnsi="Arial"/>
          <w:sz w:val="11"/>
          <w:szCs w:val="11"/>
          <w:color w:val="auto"/>
        </w:rPr>
        <w:t>The pro forma as adjusted net tangible book value per share after the offering, assuming the sale of the maximum offering amount of the available shares, is calculated as follows:</w:t>
      </w:r>
    </w:p>
    <w:p>
      <w:pPr>
        <w:sectPr>
          <w:pgSz w:w="11900" w:h="16838" w:orient="portrait"/>
          <w:cols w:equalWidth="0" w:num="1">
            <w:col w:w="11280"/>
          </w:cols>
          <w:pgMar w:left="300" w:top="698" w:right="319" w:bottom="1440" w:gutter="0" w:footer="0" w:header="0"/>
        </w:sectPr>
      </w:pPr>
    </w:p>
    <w:p>
      <w:pPr>
        <w:spacing w:after="0" w:line="200" w:lineRule="exact"/>
        <w:rPr>
          <w:sz w:val="20"/>
          <w:szCs w:val="20"/>
          <w:color w:val="auto"/>
        </w:rPr>
      </w:pPr>
    </w:p>
    <w:p>
      <w:pPr>
        <w:spacing w:after="0" w:line="309" w:lineRule="exact"/>
        <w:rPr>
          <w:sz w:val="20"/>
          <w:szCs w:val="20"/>
          <w:color w:val="auto"/>
        </w:rPr>
      </w:pPr>
    </w:p>
    <w:p>
      <w:pPr>
        <w:spacing w:after="0"/>
        <w:rPr>
          <w:sz w:val="20"/>
          <w:szCs w:val="20"/>
          <w:color w:val="auto"/>
        </w:rPr>
      </w:pPr>
      <w:r>
        <w:rPr>
          <w:rFonts w:ascii="Arial" w:cs="Arial" w:eastAsia="Arial" w:hAnsi="Arial"/>
          <w:sz w:val="13"/>
          <w:szCs w:val="13"/>
          <w:color w:val="auto"/>
        </w:rPr>
        <w:t>Numerator: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-94615</wp:posOffset>
            </wp:positionV>
            <wp:extent cx="7170420" cy="1054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70420" cy="105410"/>
                    </a:xfrm>
                    <a:prstGeom prst="rect">
                      <a:avLst/>
                    </a:prstGeom>
                    <a:noFill/>
                  </pic:spPr>
                </pic:pic>
              </a:graphicData>
            </a:graphic>
          </wp:anchor>
        </w:drawing>
      </w:r>
    </w:p>
    <w:p>
      <w:pPr>
        <w:spacing w:after="0"/>
        <w:rPr>
          <w:sz w:val="20"/>
          <w:szCs w:val="20"/>
          <w:color w:val="auto"/>
        </w:rPr>
      </w:pPr>
      <w:r>
        <w:rPr>
          <w:rFonts w:ascii="Arial" w:cs="Arial" w:eastAsia="Arial" w:hAnsi="Arial"/>
          <w:sz w:val="13"/>
          <w:szCs w:val="13"/>
          <w:color w:val="auto"/>
        </w:rPr>
        <w:t>Net tangible book value as of June 30, 2021</w:t>
      </w:r>
    </w:p>
    <w:p>
      <w:pPr>
        <w:spacing w:after="0" w:line="7" w:lineRule="exact"/>
        <w:rPr>
          <w:sz w:val="20"/>
          <w:szCs w:val="20"/>
          <w:color w:val="auto"/>
        </w:rPr>
      </w:pPr>
    </w:p>
    <w:p>
      <w:pPr>
        <w:spacing w:after="0"/>
        <w:rPr>
          <w:sz w:val="20"/>
          <w:szCs w:val="20"/>
          <w:color w:val="auto"/>
        </w:rPr>
      </w:pPr>
      <w:r>
        <w:rPr>
          <w:rFonts w:ascii="Arial" w:cs="Arial" w:eastAsia="Arial" w:hAnsi="Arial"/>
          <w:sz w:val="13"/>
          <w:szCs w:val="13"/>
          <w:color w:val="auto"/>
        </w:rPr>
        <w:t>Add: Net proceeds from this offering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-93345</wp:posOffset>
            </wp:positionV>
            <wp:extent cx="7170420" cy="1054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70420" cy="105410"/>
                    </a:xfrm>
                    <a:prstGeom prst="rect">
                      <a:avLst/>
                    </a:prstGeom>
                    <a:noFill/>
                  </pic:spPr>
                </pic:pic>
              </a:graphicData>
            </a:graphic>
          </wp:anchor>
        </w:drawing>
      </w:r>
    </w:p>
    <w:p>
      <w:pPr>
        <w:ind w:left="40"/>
        <w:spacing w:after="0"/>
        <w:rPr>
          <w:sz w:val="20"/>
          <w:szCs w:val="20"/>
          <w:color w:val="auto"/>
        </w:rPr>
      </w:pPr>
      <w:r>
        <w:rPr>
          <w:rFonts w:ascii="Arial" w:cs="Arial" w:eastAsia="Arial" w:hAnsi="Arial"/>
          <w:sz w:val="11"/>
          <w:szCs w:val="11"/>
          <w:color w:val="auto"/>
        </w:rPr>
        <w:t>Pro forma as adjusted net tangible book value after the offering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43180</wp:posOffset>
            </wp:positionV>
            <wp:extent cx="7170420" cy="11176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70420" cy="111760"/>
                    </a:xfrm>
                    <a:prstGeom prst="rect">
                      <a:avLst/>
                    </a:prstGeom>
                    <a:noFill/>
                  </pic:spPr>
                </pic:pic>
              </a:graphicData>
            </a:graphic>
          </wp:anchor>
        </w:drawing>
      </w:r>
    </w:p>
    <w:p>
      <w:pPr>
        <w:spacing w:after="0" w:line="59" w:lineRule="exact"/>
        <w:rPr>
          <w:sz w:val="20"/>
          <w:szCs w:val="20"/>
          <w:color w:val="auto"/>
        </w:rPr>
      </w:pPr>
    </w:p>
    <w:p>
      <w:pPr>
        <w:spacing w:after="0"/>
        <w:rPr>
          <w:sz w:val="20"/>
          <w:szCs w:val="20"/>
          <w:color w:val="auto"/>
        </w:rPr>
      </w:pPr>
      <w:r>
        <w:rPr>
          <w:rFonts w:ascii="Arial" w:cs="Arial" w:eastAsia="Arial" w:hAnsi="Arial"/>
          <w:sz w:val="13"/>
          <w:szCs w:val="13"/>
          <w:color w:val="auto"/>
        </w:rPr>
        <w:t>Denominator:</w:t>
      </w:r>
    </w:p>
    <w:p>
      <w:pPr>
        <w:spacing w:after="0" w:line="15" w:lineRule="exact"/>
        <w:rPr>
          <w:sz w:val="20"/>
          <w:szCs w:val="20"/>
          <w:color w:val="auto"/>
        </w:rPr>
      </w:pPr>
    </w:p>
    <w:p>
      <w:pPr>
        <w:spacing w:after="0"/>
        <w:rPr>
          <w:sz w:val="20"/>
          <w:szCs w:val="20"/>
          <w:color w:val="auto"/>
        </w:rPr>
      </w:pPr>
      <w:r>
        <w:rPr>
          <w:rFonts w:ascii="Arial" w:cs="Arial" w:eastAsia="Arial" w:hAnsi="Arial"/>
          <w:sz w:val="13"/>
          <w:szCs w:val="13"/>
          <w:color w:val="auto"/>
        </w:rPr>
        <w:t>Issued Common Share Equivalents (see above)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5080</wp:posOffset>
            </wp:positionV>
            <wp:extent cx="7170420" cy="9906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70420" cy="990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162" w:lineRule="exact"/>
        <w:rPr>
          <w:sz w:val="20"/>
          <w:szCs w:val="20"/>
          <w:color w:val="auto"/>
        </w:rPr>
      </w:pPr>
    </w:p>
    <w:p>
      <w:pPr>
        <w:ind w:left="574"/>
        <w:spacing w:after="0"/>
        <w:rPr>
          <w:sz w:val="20"/>
          <w:szCs w:val="20"/>
          <w:color w:val="auto"/>
        </w:rPr>
      </w:pPr>
      <w:r>
        <w:rPr>
          <w:rFonts w:ascii="Arial" w:cs="Arial" w:eastAsia="Arial" w:hAnsi="Arial"/>
          <w:sz w:val="13"/>
          <w:szCs w:val="13"/>
          <w:b w:val="1"/>
          <w:bCs w:val="1"/>
          <w:color w:val="auto"/>
        </w:rPr>
        <w:t>As of</w:t>
      </w:r>
    </w:p>
    <w:p>
      <w:pPr>
        <w:spacing w:after="0" w:line="19" w:lineRule="exact"/>
        <w:rPr>
          <w:sz w:val="20"/>
          <w:szCs w:val="20"/>
          <w:color w:val="auto"/>
        </w:rPr>
      </w:pPr>
    </w:p>
    <w:p>
      <w:pPr>
        <w:ind w:left="354"/>
        <w:spacing w:after="0"/>
        <w:rPr>
          <w:sz w:val="20"/>
          <w:szCs w:val="20"/>
          <w:color w:val="auto"/>
        </w:rPr>
      </w:pPr>
      <w:r>
        <w:rPr>
          <w:rFonts w:ascii="Arial" w:cs="Arial" w:eastAsia="Arial" w:hAnsi="Arial"/>
          <w:sz w:val="13"/>
          <w:szCs w:val="13"/>
          <w:b w:val="1"/>
          <w:bCs w:val="1"/>
          <w:color w:val="auto"/>
        </w:rPr>
        <w:t>June 30, 2021</w:t>
      </w:r>
    </w:p>
    <w:p>
      <w:pPr>
        <w:spacing w:after="0" w:line="165" w:lineRule="exact"/>
        <w:rPr>
          <w:sz w:val="20"/>
          <w:szCs w:val="20"/>
          <w:color w:val="auto"/>
        </w:rPr>
      </w:pPr>
    </w:p>
    <w:p>
      <w:pPr>
        <w:ind w:left="894" w:hanging="894"/>
        <w:spacing w:after="0"/>
        <w:tabs>
          <w:tab w:leader="none" w:pos="894" w:val="left"/>
        </w:tabs>
        <w:numPr>
          <w:ilvl w:val="0"/>
          <w:numId w:val="15"/>
        </w:numPr>
        <w:rPr>
          <w:rFonts w:ascii="Arial" w:cs="Arial" w:eastAsia="Arial" w:hAnsi="Arial"/>
          <w:sz w:val="11"/>
          <w:szCs w:val="11"/>
          <w:color w:val="auto"/>
        </w:rPr>
      </w:pPr>
      <w:r>
        <w:rPr>
          <w:rFonts w:ascii="Arial" w:cs="Arial" w:eastAsia="Arial" w:hAnsi="Arial"/>
          <w:sz w:val="11"/>
          <w:szCs w:val="11"/>
          <w:color w:val="auto"/>
        </w:rPr>
        <w:t>(6,904,318)</w:t>
      </w:r>
    </w:p>
    <w:p>
      <w:pPr>
        <w:spacing w:after="0" w:line="39" w:lineRule="exact"/>
        <w:rPr>
          <w:rFonts w:ascii="Arial" w:cs="Arial" w:eastAsia="Arial" w:hAnsi="Arial"/>
          <w:sz w:val="11"/>
          <w:szCs w:val="11"/>
          <w:color w:val="auto"/>
        </w:rPr>
      </w:pPr>
    </w:p>
    <w:p>
      <w:pPr>
        <w:ind w:left="874"/>
        <w:spacing w:after="0"/>
        <w:rPr>
          <w:rFonts w:ascii="Arial" w:cs="Arial" w:eastAsia="Arial" w:hAnsi="Arial"/>
          <w:sz w:val="11"/>
          <w:szCs w:val="11"/>
          <w:color w:val="auto"/>
        </w:rPr>
      </w:pPr>
      <w:r>
        <w:rPr>
          <w:rFonts w:ascii="Arial" w:cs="Arial" w:eastAsia="Arial" w:hAnsi="Arial"/>
          <w:sz w:val="12"/>
          <w:szCs w:val="12"/>
          <w:color w:val="auto"/>
        </w:rPr>
        <w:t>36,000,000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925195" cy="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925195" cy="6350"/>
                    </a:xfrm>
                    <a:prstGeom prst="rect">
                      <a:avLst/>
                    </a:prstGeom>
                    <a:noFill/>
                  </pic:spPr>
                </pic:pic>
              </a:graphicData>
            </a:graphic>
          </wp:anchor>
        </w:drawing>
      </w:r>
    </w:p>
    <w:p>
      <w:pPr>
        <w:spacing w:after="0" w:line="18" w:lineRule="exact"/>
        <w:rPr>
          <w:sz w:val="20"/>
          <w:szCs w:val="20"/>
          <w:color w:val="auto"/>
        </w:rPr>
      </w:pPr>
    </w:p>
    <w:p>
      <w:pPr>
        <w:ind w:left="874" w:hanging="874"/>
        <w:spacing w:after="0"/>
        <w:tabs>
          <w:tab w:leader="none" w:pos="874" w:val="left"/>
        </w:tabs>
        <w:numPr>
          <w:ilvl w:val="0"/>
          <w:numId w:val="16"/>
        </w:numPr>
        <w:rPr>
          <w:rFonts w:ascii="Arial" w:cs="Arial" w:eastAsia="Arial" w:hAnsi="Arial"/>
          <w:sz w:val="12"/>
          <w:szCs w:val="12"/>
          <w:color w:val="auto"/>
        </w:rPr>
      </w:pPr>
      <w:r>
        <w:rPr>
          <w:rFonts w:ascii="Arial" w:cs="Arial" w:eastAsia="Arial" w:hAnsi="Arial"/>
          <w:sz w:val="12"/>
          <w:szCs w:val="12"/>
          <w:color w:val="auto"/>
        </w:rPr>
        <w:t>29,095,682</w:t>
      </w:r>
    </w:p>
    <w:p>
      <w:pPr>
        <w:spacing w:after="0" w:line="204" w:lineRule="exact"/>
        <w:rPr>
          <w:rFonts w:ascii="Arial" w:cs="Arial" w:eastAsia="Arial" w:hAnsi="Arial"/>
          <w:sz w:val="12"/>
          <w:szCs w:val="12"/>
          <w:color w:val="auto"/>
        </w:rPr>
      </w:pPr>
    </w:p>
    <w:p>
      <w:pPr>
        <w:ind w:left="874"/>
        <w:spacing w:after="0"/>
        <w:rPr>
          <w:rFonts w:ascii="Arial" w:cs="Arial" w:eastAsia="Arial" w:hAnsi="Arial"/>
          <w:sz w:val="12"/>
          <w:szCs w:val="12"/>
          <w:color w:val="auto"/>
        </w:rPr>
      </w:pPr>
      <w:r>
        <w:rPr>
          <w:rFonts w:ascii="Arial" w:cs="Arial" w:eastAsia="Arial" w:hAnsi="Arial"/>
          <w:sz w:val="12"/>
          <w:szCs w:val="12"/>
          <w:color w:val="auto"/>
        </w:rPr>
        <w:t>37,795,283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-199390</wp:posOffset>
            </wp:positionV>
            <wp:extent cx="925195" cy="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925195" cy="6350"/>
                    </a:xfrm>
                    <a:prstGeom prst="rect">
                      <a:avLst/>
                    </a:prstGeom>
                    <a:noFill/>
                  </pic:spPr>
                </pic:pic>
              </a:graphicData>
            </a:graphic>
          </wp:anchor>
        </w:drawing>
      </w:r>
    </w:p>
    <w:p>
      <w:pPr>
        <w:spacing w:after="0" w:line="175" w:lineRule="exact"/>
        <w:rPr>
          <w:sz w:val="20"/>
          <w:szCs w:val="20"/>
          <w:color w:val="auto"/>
        </w:rPr>
      </w:pPr>
    </w:p>
    <w:p>
      <w:pPr>
        <w:sectPr>
          <w:pgSz w:w="11900" w:h="16838" w:orient="portrait"/>
          <w:cols w:equalWidth="0" w:num="2">
            <w:col w:w="9006" w:space="720"/>
            <w:col w:w="1554"/>
          </w:cols>
          <w:pgMar w:left="300" w:top="698" w:right="319" w:bottom="1440" w:gutter="0" w:footer="0" w:header="0"/>
          <w:type w:val="continuous"/>
        </w:sectPr>
      </w:pPr>
    </w:p>
    <w:p>
      <w:pPr>
        <w:spacing w:after="0"/>
        <w:rPr>
          <w:sz w:val="20"/>
          <w:szCs w:val="20"/>
          <w:color w:val="auto"/>
        </w:rPr>
      </w:pPr>
      <w:r>
        <w:rPr>
          <w:rFonts w:ascii="Arial" w:cs="Arial" w:eastAsia="Arial" w:hAnsi="Arial"/>
          <w:sz w:val="12"/>
          <w:szCs w:val="12"/>
          <w:color w:val="auto"/>
        </w:rPr>
        <w:t>Add: Assumed number of shares to be sold in this offering, assuming $40 million raised</w:t>
      </w:r>
    </w:p>
    <w:p>
      <w:pPr>
        <w:spacing w:after="0" w:line="28" w:lineRule="exact"/>
        <w:rPr>
          <w:sz w:val="20"/>
          <w:szCs w:val="20"/>
          <w:color w:val="auto"/>
        </w:rPr>
      </w:pPr>
    </w:p>
    <w:p>
      <w:pPr>
        <w:spacing w:after="0"/>
        <w:rPr>
          <w:sz w:val="20"/>
          <w:szCs w:val="20"/>
          <w:color w:val="auto"/>
        </w:rPr>
      </w:pPr>
      <w:r>
        <w:rPr>
          <w:rFonts w:ascii="Arial" w:cs="Arial" w:eastAsia="Arial" w:hAnsi="Arial"/>
          <w:sz w:val="13"/>
          <w:szCs w:val="13"/>
          <w:color w:val="auto"/>
        </w:rPr>
        <w:t>Total pro forma as adjusted issued common share equivalents after the offering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-88900</wp:posOffset>
            </wp:positionV>
            <wp:extent cx="7170420" cy="1181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70420" cy="118110"/>
                    </a:xfrm>
                    <a:prstGeom prst="rect">
                      <a:avLst/>
                    </a:prstGeom>
                    <a:noFill/>
                  </pic:spPr>
                </pic:pic>
              </a:graphicData>
            </a:graphic>
          </wp:anchor>
        </w:drawing>
      </w:r>
    </w:p>
    <w:p>
      <w:pPr>
        <w:spacing w:after="0" w:line="26" w:lineRule="exact"/>
        <w:rPr>
          <w:sz w:val="20"/>
          <w:szCs w:val="20"/>
          <w:color w:val="auto"/>
        </w:rPr>
      </w:pPr>
    </w:p>
    <w:p>
      <w:pPr>
        <w:spacing w:after="0"/>
        <w:rPr>
          <w:sz w:val="20"/>
          <w:szCs w:val="20"/>
          <w:color w:val="auto"/>
        </w:rPr>
      </w:pPr>
      <w:r>
        <w:rPr>
          <w:rFonts w:ascii="Arial" w:cs="Arial" w:eastAsia="Arial" w:hAnsi="Arial"/>
          <w:sz w:val="11"/>
          <w:szCs w:val="11"/>
          <w:color w:val="auto"/>
        </w:rPr>
        <w:t>Pro forma as adjusted net tangible book value per common share equivalent after the offering</w:t>
      </w:r>
    </w:p>
    <w:p>
      <w:pPr>
        <w:spacing w:after="0" w:line="20" w:lineRule="exact"/>
        <w:rPr>
          <w:sz w:val="20"/>
          <w:szCs w:val="20"/>
          <w:color w:val="auto"/>
        </w:rPr>
      </w:pPr>
      <w:r>
        <w:rPr>
          <w:sz w:val="20"/>
          <w:szCs w:val="20"/>
          <w:color w:val="auto"/>
        </w:rPr>
        <w:br w:type="column"/>
      </w:r>
    </w:p>
    <w:p>
      <w:pPr>
        <w:jc w:val="right"/>
        <w:ind w:right="100"/>
        <w:spacing w:after="0"/>
        <w:rPr>
          <w:sz w:val="20"/>
          <w:szCs w:val="20"/>
          <w:color w:val="auto"/>
        </w:rPr>
      </w:pPr>
      <w:r>
        <w:rPr>
          <w:rFonts w:ascii="Arial" w:cs="Arial" w:eastAsia="Arial" w:hAnsi="Arial"/>
          <w:sz w:val="13"/>
          <w:szCs w:val="13"/>
          <w:color w:val="auto"/>
        </w:rPr>
        <w:t>4,000,000</w:t>
      </w:r>
    </w:p>
    <w:p>
      <w:pPr>
        <w:spacing w:after="0" w:line="26" w:lineRule="exact"/>
        <w:rPr>
          <w:sz w:val="20"/>
          <w:szCs w:val="20"/>
          <w:color w:val="auto"/>
        </w:rPr>
      </w:pPr>
    </w:p>
    <w:p>
      <w:pPr>
        <w:jc w:val="right"/>
        <w:ind w:right="100"/>
        <w:spacing w:after="0"/>
        <w:rPr>
          <w:sz w:val="20"/>
          <w:szCs w:val="20"/>
          <w:color w:val="auto"/>
        </w:rPr>
      </w:pPr>
      <w:r>
        <w:rPr>
          <w:rFonts w:ascii="Arial" w:cs="Arial" w:eastAsia="Arial" w:hAnsi="Arial"/>
          <w:sz w:val="13"/>
          <w:szCs w:val="13"/>
          <w:color w:val="auto"/>
        </w:rPr>
        <w:t>41,795,283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22225</wp:posOffset>
            </wp:positionV>
            <wp:extent cx="925195" cy="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925195" cy="6350"/>
                    </a:xfrm>
                    <a:prstGeom prst="rect">
                      <a:avLst/>
                    </a:prstGeom>
                    <a:noFill/>
                  </pic:spPr>
                </pic:pic>
              </a:graphicData>
            </a:graphic>
          </wp:anchor>
        </w:drawing>
      </w:r>
    </w:p>
    <w:p>
      <w:pPr>
        <w:spacing w:after="0" w:line="16" w:lineRule="exact"/>
        <w:rPr>
          <w:sz w:val="20"/>
          <w:szCs w:val="20"/>
          <w:color w:val="auto"/>
        </w:rPr>
      </w:pPr>
    </w:p>
    <w:p>
      <w:pPr>
        <w:ind w:left="1240" w:hanging="1234"/>
        <w:spacing w:after="0"/>
        <w:tabs>
          <w:tab w:leader="none" w:pos="1240" w:val="left"/>
        </w:tabs>
        <w:numPr>
          <w:ilvl w:val="0"/>
          <w:numId w:val="17"/>
        </w:numPr>
        <w:rPr>
          <w:rFonts w:ascii="Arial" w:cs="Arial" w:eastAsia="Arial" w:hAnsi="Arial"/>
          <w:sz w:val="11"/>
          <w:szCs w:val="11"/>
          <w:color w:val="auto"/>
        </w:rPr>
      </w:pPr>
      <w:r>
        <w:rPr>
          <w:rFonts w:ascii="Arial" w:cs="Arial" w:eastAsia="Arial" w:hAnsi="Arial"/>
          <w:sz w:val="11"/>
          <w:szCs w:val="11"/>
          <w:color w:val="auto"/>
        </w:rPr>
        <w:t>0.70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24765</wp:posOffset>
            </wp:positionV>
            <wp:extent cx="925195" cy="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925195" cy="6350"/>
                    </a:xfrm>
                    <a:prstGeom prst="rect">
                      <a:avLst/>
                    </a:prstGeom>
                    <a:noFill/>
                  </pic:spPr>
                </pic:pic>
              </a:graphicData>
            </a:graphic>
          </wp:anchor>
        </w:drawing>
      </w:r>
    </w:p>
    <w:p>
      <w:pPr>
        <w:spacing w:after="0" w:line="196" w:lineRule="exact"/>
        <w:rPr>
          <w:sz w:val="20"/>
          <w:szCs w:val="20"/>
          <w:color w:val="auto"/>
        </w:rPr>
      </w:pPr>
    </w:p>
    <w:p>
      <w:pPr>
        <w:sectPr>
          <w:pgSz w:w="11900" w:h="16838" w:orient="portrait"/>
          <w:cols w:equalWidth="0" w:num="2">
            <w:col w:w="9000" w:space="720"/>
            <w:col w:w="1560"/>
          </w:cols>
          <w:pgMar w:left="300" w:top="698" w:right="319" w:bottom="1440" w:gutter="0" w:footer="0" w:header="0"/>
          <w:type w:val="continuous"/>
        </w:sectPr>
      </w:pPr>
    </w:p>
    <w:p>
      <w:pPr>
        <w:spacing w:after="0"/>
        <w:rPr>
          <w:sz w:val="20"/>
          <w:szCs w:val="20"/>
          <w:color w:val="auto"/>
        </w:rPr>
      </w:pPr>
      <w:r>
        <w:rPr>
          <w:rFonts w:ascii="Arial" w:cs="Arial" w:eastAsia="Arial" w:hAnsi="Arial"/>
          <w:sz w:val="13"/>
          <w:szCs w:val="13"/>
          <w:i w:val="1"/>
          <w:iCs w:val="1"/>
          <w:color w:val="auto"/>
        </w:rPr>
        <w:t>Future dilution</w:t>
      </w:r>
    </w:p>
    <w:p>
      <w:pPr>
        <w:spacing w:after="0" w:line="163" w:lineRule="exact"/>
        <w:rPr>
          <w:sz w:val="20"/>
          <w:szCs w:val="20"/>
          <w:color w:val="auto"/>
        </w:rPr>
      </w:pPr>
    </w:p>
    <w:p>
      <w:pPr>
        <w:ind w:right="40"/>
        <w:spacing w:after="0" w:line="258" w:lineRule="auto"/>
        <w:rPr>
          <w:sz w:val="20"/>
          <w:szCs w:val="20"/>
          <w:color w:val="auto"/>
        </w:rPr>
      </w:pPr>
      <w:r>
        <w:rPr>
          <w:rFonts w:ascii="Arial" w:cs="Arial" w:eastAsia="Arial" w:hAnsi="Arial"/>
          <w:sz w:val="13"/>
          <w:szCs w:val="13"/>
          <w:color w:val="auto"/>
        </w:rPr>
        <w:t>Another important way of looking at dilution is the dilution that happens due to future actions by the Company. The investor’s stake in a company could be diluted due to the company issuing additional shares. In other words, when the company issues more shares, the percentage of the company that you own will go down, even though the value of the company may go up. You will own a smaller piece of a larger company. This increase in number of shares outstanding could result from a stock offering (such as an initial public offering, another crowdfunding round, a venture capital round, angel investment), employees exercising stock options, or by conversion of certain instruments (e.g. convertible bonds, preferred shares or warrants) into stock.</w:t>
      </w:r>
    </w:p>
    <w:p>
      <w:pPr>
        <w:spacing w:after="0" w:line="139" w:lineRule="exact"/>
        <w:rPr>
          <w:sz w:val="20"/>
          <w:szCs w:val="20"/>
          <w:color w:val="auto"/>
        </w:rPr>
      </w:pPr>
    </w:p>
    <w:p>
      <w:pPr>
        <w:ind w:right="120"/>
        <w:spacing w:after="0" w:line="262" w:lineRule="auto"/>
        <w:rPr>
          <w:sz w:val="20"/>
          <w:szCs w:val="20"/>
          <w:color w:val="auto"/>
        </w:rPr>
      </w:pPr>
      <w:r>
        <w:rPr>
          <w:rFonts w:ascii="Arial" w:cs="Arial" w:eastAsia="Arial" w:hAnsi="Arial"/>
          <w:sz w:val="13"/>
          <w:szCs w:val="13"/>
          <w:color w:val="auto"/>
        </w:rPr>
        <w:t>If the company decides to issue more shares, an investor could experience value dilution, with each share being worth less than before, and control dilution, with the total percentage an investor owns being less than before. There may also be earnings dilution, with a reduction in the amount earned per share (though this typically occurs only if the company offers dividends, and most early-stage companies are unlikely to offer dividends, preferring to invest any earnings into the company).</w:t>
      </w:r>
    </w:p>
    <w:p>
      <w:pPr>
        <w:spacing w:after="0" w:line="136" w:lineRule="exact"/>
        <w:rPr>
          <w:sz w:val="20"/>
          <w:szCs w:val="20"/>
          <w:color w:val="auto"/>
        </w:rPr>
      </w:pPr>
    </w:p>
    <w:p>
      <w:pPr>
        <w:ind w:right="80"/>
        <w:spacing w:after="0" w:line="274" w:lineRule="auto"/>
        <w:rPr>
          <w:sz w:val="20"/>
          <w:szCs w:val="20"/>
          <w:color w:val="auto"/>
        </w:rPr>
      </w:pPr>
      <w:r>
        <w:rPr>
          <w:rFonts w:ascii="Arial" w:cs="Arial" w:eastAsia="Arial" w:hAnsi="Arial"/>
          <w:sz w:val="13"/>
          <w:szCs w:val="13"/>
          <w:color w:val="auto"/>
        </w:rPr>
        <w:t>The type of dilution that hurts early-stage investors most occurs when the company sells more shares in a “down round,” meaning at a lower valuation than in earlier offerings. An example of how this might occur is as follows (numbers are for illustrative purposes only):</w:t>
      </w:r>
    </w:p>
    <w:p>
      <w:pPr>
        <w:spacing w:after="0" w:line="128" w:lineRule="exact"/>
        <w:rPr>
          <w:sz w:val="20"/>
          <w:szCs w:val="20"/>
          <w:color w:val="auto"/>
        </w:rPr>
      </w:pPr>
    </w:p>
    <w:p>
      <w:pPr>
        <w:ind w:left="460" w:hanging="227"/>
        <w:spacing w:after="0"/>
        <w:tabs>
          <w:tab w:leader="none" w:pos="460" w:val="left"/>
        </w:tabs>
        <w:numPr>
          <w:ilvl w:val="0"/>
          <w:numId w:val="18"/>
        </w:numPr>
        <w:rPr>
          <w:rFonts w:ascii="Arial" w:cs="Arial" w:eastAsia="Arial" w:hAnsi="Arial"/>
          <w:sz w:val="13"/>
          <w:szCs w:val="13"/>
          <w:color w:val="auto"/>
        </w:rPr>
      </w:pPr>
      <w:r>
        <w:rPr>
          <w:rFonts w:ascii="Arial" w:cs="Arial" w:eastAsia="Arial" w:hAnsi="Arial"/>
          <w:sz w:val="13"/>
          <w:szCs w:val="13"/>
          <w:color w:val="auto"/>
        </w:rPr>
        <w:t>In June 2018 Jane invests $20,000 for shares that represent 2% of a company valued at $1 million.</w:t>
      </w:r>
    </w:p>
    <w:p>
      <w:pPr>
        <w:spacing w:after="0" w:line="14" w:lineRule="exact"/>
        <w:rPr>
          <w:rFonts w:ascii="Arial" w:cs="Arial" w:eastAsia="Arial" w:hAnsi="Arial"/>
          <w:sz w:val="13"/>
          <w:szCs w:val="13"/>
          <w:color w:val="auto"/>
        </w:rPr>
      </w:pPr>
    </w:p>
    <w:p>
      <w:pPr>
        <w:ind w:left="460" w:right="80" w:hanging="227"/>
        <w:spacing w:after="0" w:line="251" w:lineRule="auto"/>
        <w:tabs>
          <w:tab w:leader="none" w:pos="460" w:val="left"/>
        </w:tabs>
        <w:numPr>
          <w:ilvl w:val="0"/>
          <w:numId w:val="18"/>
        </w:numPr>
        <w:rPr>
          <w:rFonts w:ascii="Arial" w:cs="Arial" w:eastAsia="Arial" w:hAnsi="Arial"/>
          <w:sz w:val="13"/>
          <w:szCs w:val="13"/>
          <w:color w:val="auto"/>
        </w:rPr>
      </w:pPr>
      <w:r>
        <w:rPr>
          <w:rFonts w:ascii="Arial" w:cs="Arial" w:eastAsia="Arial" w:hAnsi="Arial"/>
          <w:sz w:val="13"/>
          <w:szCs w:val="13"/>
          <w:color w:val="auto"/>
        </w:rPr>
        <w:t>In December the company is doing very well and sells $5 million in shares to venture capitalists on a valuation (before the new investment) of $10 million. Jane now owns only 1.3% of the company but her stake is worth $200,000.</w:t>
      </w:r>
    </w:p>
    <w:p>
      <w:pPr>
        <w:ind w:left="460" w:right="180" w:hanging="227"/>
        <w:spacing w:after="0" w:line="262" w:lineRule="auto"/>
        <w:tabs>
          <w:tab w:leader="none" w:pos="460" w:val="left"/>
        </w:tabs>
        <w:numPr>
          <w:ilvl w:val="0"/>
          <w:numId w:val="18"/>
        </w:numPr>
        <w:rPr>
          <w:rFonts w:ascii="Arial" w:cs="Arial" w:eastAsia="Arial" w:hAnsi="Arial"/>
          <w:sz w:val="13"/>
          <w:szCs w:val="13"/>
          <w:color w:val="auto"/>
        </w:rPr>
      </w:pPr>
      <w:r>
        <w:rPr>
          <w:rFonts w:ascii="Arial" w:cs="Arial" w:eastAsia="Arial" w:hAnsi="Arial"/>
          <w:sz w:val="13"/>
          <w:szCs w:val="13"/>
          <w:color w:val="auto"/>
        </w:rPr>
        <w:t>In June 2019 the company has run into serious problems and in order to stay afloat it raises $1 million at a valuation of only $2 million (the “down round”). Jane now owns only 0.89% of the company and her stake is worth only $26,660.</w:t>
      </w:r>
    </w:p>
    <w:p>
      <w:pPr>
        <w:spacing w:after="0" w:line="135" w:lineRule="exact"/>
        <w:rPr>
          <w:sz w:val="20"/>
          <w:szCs w:val="20"/>
          <w:color w:val="auto"/>
        </w:rPr>
      </w:pPr>
    </w:p>
    <w:p>
      <w:pPr>
        <w:ind w:right="20"/>
        <w:spacing w:after="0" w:line="283" w:lineRule="auto"/>
        <w:rPr>
          <w:sz w:val="20"/>
          <w:szCs w:val="20"/>
          <w:color w:val="auto"/>
        </w:rPr>
      </w:pPr>
      <w:r>
        <w:rPr>
          <w:rFonts w:ascii="Arial" w:cs="Arial" w:eastAsia="Arial" w:hAnsi="Arial"/>
          <w:sz w:val="12"/>
          <w:szCs w:val="12"/>
          <w:color w:val="auto"/>
        </w:rPr>
        <w:t>This type of dilution might also happen upon conversion of convertible notes into shares. Typically, the terms of convertible notes issued by early-stage companies provide that in the event of another round of financing, the holders of the convertible notes get to convert their notes into equity at a “discount” to the price paid by the new investors, i.e., they get more shares than the new investors would for the same price. Additionally, convertible notes may have a “price cap” on the conversion price, which effectively acts as a share price ceiling. Either way, the holders of the convertible notes get more shares for their money than new investors. In the event that the financing is a “down round” the holders of the convertible notes will dilute existing equity holders, and even more than the new investors do, because they get more shares for their money. Investors should pay careful attention to the amount of convertible notes that the company has issued (and may issue in the future, and the terms of those notes.</w:t>
      </w:r>
    </w:p>
    <w:p>
      <w:pPr>
        <w:spacing w:after="0" w:line="125"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If you are making an investment expecting to own a certain percentage of the Company or expecting each share to hold a certain amount of value, it’s important to realize how the value of those shares can decrease by actions taken by the Company. Dilution can make drastic changes to the value of each share, ownership percentage, voting control, and earnings per share.</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DIVIDEND POLICY</w:t>
      </w:r>
    </w:p>
    <w:p>
      <w:pPr>
        <w:spacing w:after="0" w:line="167" w:lineRule="exact"/>
        <w:rPr>
          <w:sz w:val="20"/>
          <w:szCs w:val="20"/>
          <w:color w:val="auto"/>
        </w:rPr>
      </w:pPr>
    </w:p>
    <w:p>
      <w:pPr>
        <w:ind w:right="20"/>
        <w:spacing w:after="0" w:line="287" w:lineRule="auto"/>
        <w:rPr>
          <w:sz w:val="20"/>
          <w:szCs w:val="20"/>
          <w:color w:val="auto"/>
        </w:rPr>
      </w:pPr>
      <w:r>
        <w:rPr>
          <w:rFonts w:ascii="Arial" w:cs="Arial" w:eastAsia="Arial" w:hAnsi="Arial"/>
          <w:sz w:val="12"/>
          <w:szCs w:val="12"/>
          <w:color w:val="auto"/>
        </w:rPr>
        <w:t>We have never declared or paid cash dividends on our common stock since our incorporation in 2013. We currently intend to retain all available funds and any future earnings for use in the operation of our business and do not anticipate paying any cash dividends on our common stock in the foreseeable future. We may also enter into credit agreements or other borrowing arrangements in the future that will restrict our ability to declare or pay cash dividends on our common stock. Any future determination to declare dividends will be made at the discretion of our board of directors and will depend on our financial condition, operating results, capital requirements, contractual restrictions, general business conditions and other factors that our board of directors may deem relevant.</w:t>
      </w:r>
    </w:p>
    <w:p>
      <w:pPr>
        <w:spacing w:after="0" w:line="278"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type w:val="continuous"/>
        </w:sectPr>
      </w:pPr>
    </w:p>
    <w:bookmarkStart w:id="21" w:name="page22"/>
    <w:bookmarkEnd w:id="21"/>
    <w:p>
      <w:pPr>
        <w:spacing w:after="0"/>
        <w:rPr>
          <w:sz w:val="20"/>
          <w:szCs w:val="20"/>
          <w:color w:val="auto"/>
        </w:rPr>
      </w:pPr>
      <w:r>
        <w:rPr>
          <w:rFonts w:ascii="Arial" w:cs="Arial" w:eastAsia="Arial" w:hAnsi="Arial"/>
          <w:sz w:val="13"/>
          <w:szCs w:val="13"/>
          <w:b w:val="1"/>
          <w:bCs w:val="1"/>
          <w:color w:val="auto"/>
        </w:rPr>
        <w:t>USE OF PROCEEDS</w:t>
      </w:r>
    </w:p>
    <w:p>
      <w:pPr>
        <w:spacing w:after="0" w:line="167" w:lineRule="exact"/>
        <w:rPr>
          <w:sz w:val="20"/>
          <w:szCs w:val="20"/>
          <w:color w:val="auto"/>
        </w:rPr>
      </w:pPr>
    </w:p>
    <w:p>
      <w:pPr>
        <w:spacing w:after="0"/>
        <w:rPr>
          <w:sz w:val="20"/>
          <w:szCs w:val="20"/>
          <w:color w:val="auto"/>
        </w:rPr>
      </w:pPr>
      <w:r>
        <w:rPr>
          <w:rFonts w:ascii="Arial" w:cs="Arial" w:eastAsia="Arial" w:hAnsi="Arial"/>
          <w:sz w:val="12"/>
          <w:szCs w:val="12"/>
          <w:color w:val="auto"/>
        </w:rPr>
        <w:t>The net proceeds of a fully subscribed $40,000,000 offering, after estimated total offering expenses and commissions will be approximately $36,000,000. Knightscope plans to use these proceeds as follows:</w:t>
      </w:r>
    </w:p>
    <w:p>
      <w:pPr>
        <w:spacing w:after="0" w:line="184" w:lineRule="exact"/>
        <w:rPr>
          <w:sz w:val="20"/>
          <w:szCs w:val="20"/>
          <w:color w:val="auto"/>
        </w:rPr>
      </w:pPr>
    </w:p>
    <w:tbl>
      <w:tblPr>
        <w:tblLayout w:type="fixed"/>
        <w:tblInd w:w="0" w:type="dxa"/>
        <w:tblCellMar>
          <w:top w:w="0" w:type="dxa"/>
          <w:left w:w="0" w:type="dxa"/>
          <w:bottom w:w="0" w:type="dxa"/>
          <w:right w:w="0" w:type="dxa"/>
        </w:tblCellMar>
      </w:tblPr>
      <w:tr>
        <w:trPr>
          <w:trHeight w:val="156"/>
        </w:trPr>
        <w:tc>
          <w:tcPr>
            <w:tcW w:w="6360" w:type="dxa"/>
            <w:vAlign w:val="bottom"/>
            <w:shd w:val="clear" w:color="auto" w:fill="CCEEFF"/>
          </w:tcPr>
          <w:p>
            <w:pPr>
              <w:spacing w:after="0"/>
              <w:rPr>
                <w:sz w:val="20"/>
                <w:szCs w:val="20"/>
                <w:color w:val="auto"/>
              </w:rPr>
            </w:pPr>
            <w:r>
              <w:rPr>
                <w:rFonts w:ascii="Arial" w:cs="Arial" w:eastAsia="Arial" w:hAnsi="Arial"/>
                <w:sz w:val="13"/>
                <w:szCs w:val="13"/>
                <w:color w:val="auto"/>
              </w:rPr>
              <w:t>New Technology Development</w:t>
            </w:r>
          </w:p>
        </w:tc>
        <w:tc>
          <w:tcPr>
            <w:tcW w:w="3940" w:type="dxa"/>
            <w:vAlign w:val="bottom"/>
            <w:gridSpan w:val="2"/>
            <w:shd w:val="clear" w:color="auto" w:fill="CCEEFF"/>
          </w:tcPr>
          <w:p>
            <w:pPr>
              <w:jc w:val="right"/>
              <w:ind w:right="251"/>
              <w:spacing w:after="0"/>
              <w:rPr>
                <w:sz w:val="20"/>
                <w:szCs w:val="20"/>
                <w:color w:val="auto"/>
              </w:rPr>
            </w:pPr>
            <w:r>
              <w:rPr>
                <w:rFonts w:ascii="Arial" w:cs="Arial" w:eastAsia="Arial" w:hAnsi="Arial"/>
                <w:sz w:val="13"/>
                <w:szCs w:val="13"/>
                <w:color w:val="auto"/>
              </w:rPr>
              <w:t>$</w:t>
            </w:r>
          </w:p>
        </w:tc>
        <w:tc>
          <w:tcPr>
            <w:tcW w:w="98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15,000,000</w:t>
            </w:r>
          </w:p>
        </w:tc>
      </w:tr>
      <w:tr>
        <w:trPr>
          <w:trHeight w:val="156"/>
        </w:trPr>
        <w:tc>
          <w:tcPr>
            <w:tcW w:w="6360" w:type="dxa"/>
            <w:vAlign w:val="bottom"/>
          </w:tcPr>
          <w:p>
            <w:pPr>
              <w:spacing w:after="0"/>
              <w:rPr>
                <w:sz w:val="20"/>
                <w:szCs w:val="20"/>
                <w:color w:val="auto"/>
              </w:rPr>
            </w:pPr>
            <w:r>
              <w:rPr>
                <w:rFonts w:ascii="Arial" w:cs="Arial" w:eastAsia="Arial" w:hAnsi="Arial"/>
                <w:sz w:val="13"/>
                <w:szCs w:val="13"/>
                <w:color w:val="auto"/>
              </w:rPr>
              <w:t>New Machines-in-Network</w:t>
            </w:r>
          </w:p>
        </w:tc>
        <w:tc>
          <w:tcPr>
            <w:tcW w:w="3940" w:type="dxa"/>
            <w:vAlign w:val="bottom"/>
            <w:gridSpan w:val="2"/>
          </w:tcPr>
          <w:p>
            <w:pPr>
              <w:jc w:val="right"/>
              <w:ind w:right="251"/>
              <w:spacing w:after="0"/>
              <w:rPr>
                <w:sz w:val="20"/>
                <w:szCs w:val="20"/>
                <w:color w:val="auto"/>
              </w:rPr>
            </w:pPr>
            <w:r>
              <w:rPr>
                <w:rFonts w:ascii="Arial" w:cs="Arial" w:eastAsia="Arial" w:hAnsi="Arial"/>
                <w:sz w:val="13"/>
                <w:szCs w:val="13"/>
                <w:color w:val="auto"/>
              </w:rPr>
              <w:t>$</w:t>
            </w:r>
          </w:p>
        </w:tc>
        <w:tc>
          <w:tcPr>
            <w:tcW w:w="980" w:type="dxa"/>
            <w:vAlign w:val="bottom"/>
            <w:gridSpan w:val="2"/>
          </w:tcPr>
          <w:p>
            <w:pPr>
              <w:jc w:val="right"/>
              <w:ind w:right="100"/>
              <w:spacing w:after="0"/>
              <w:rPr>
                <w:sz w:val="20"/>
                <w:szCs w:val="20"/>
                <w:color w:val="auto"/>
              </w:rPr>
            </w:pPr>
            <w:r>
              <w:rPr>
                <w:rFonts w:ascii="Arial" w:cs="Arial" w:eastAsia="Arial" w:hAnsi="Arial"/>
                <w:sz w:val="13"/>
                <w:szCs w:val="13"/>
                <w:color w:val="auto"/>
              </w:rPr>
              <w:t>15,000,000</w:t>
            </w:r>
          </w:p>
        </w:tc>
      </w:tr>
      <w:tr>
        <w:trPr>
          <w:trHeight w:val="156"/>
        </w:trPr>
        <w:tc>
          <w:tcPr>
            <w:tcW w:w="6360" w:type="dxa"/>
            <w:vAlign w:val="bottom"/>
            <w:shd w:val="clear" w:color="auto" w:fill="CCEEFF"/>
          </w:tcPr>
          <w:p>
            <w:pPr>
              <w:spacing w:after="0"/>
              <w:rPr>
                <w:sz w:val="20"/>
                <w:szCs w:val="20"/>
                <w:color w:val="auto"/>
              </w:rPr>
            </w:pPr>
            <w:r>
              <w:rPr>
                <w:rFonts w:ascii="Arial" w:cs="Arial" w:eastAsia="Arial" w:hAnsi="Arial"/>
                <w:sz w:val="13"/>
                <w:szCs w:val="13"/>
                <w:color w:val="auto"/>
              </w:rPr>
              <w:t>General Corporate and Business Purposes (“SG&amp;A”)</w:t>
            </w:r>
          </w:p>
        </w:tc>
        <w:tc>
          <w:tcPr>
            <w:tcW w:w="3940" w:type="dxa"/>
            <w:vAlign w:val="bottom"/>
            <w:gridSpan w:val="2"/>
            <w:shd w:val="clear" w:color="auto" w:fill="CCEEFF"/>
          </w:tcPr>
          <w:p>
            <w:pPr>
              <w:jc w:val="right"/>
              <w:ind w:right="251"/>
              <w:spacing w:after="0"/>
              <w:rPr>
                <w:sz w:val="20"/>
                <w:szCs w:val="20"/>
                <w:color w:val="auto"/>
              </w:rPr>
            </w:pPr>
            <w:r>
              <w:rPr>
                <w:rFonts w:ascii="Arial" w:cs="Arial" w:eastAsia="Arial" w:hAnsi="Arial"/>
                <w:sz w:val="13"/>
                <w:szCs w:val="13"/>
                <w:color w:val="auto"/>
              </w:rPr>
              <w:t>$</w:t>
            </w:r>
          </w:p>
        </w:tc>
        <w:tc>
          <w:tcPr>
            <w:tcW w:w="8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6,000,000</w:t>
            </w:r>
          </w:p>
        </w:tc>
        <w:tc>
          <w:tcPr>
            <w:tcW w:w="100" w:type="dxa"/>
            <w:vAlign w:val="bottom"/>
            <w:shd w:val="clear" w:color="auto" w:fill="CCEEFF"/>
          </w:tcPr>
          <w:p>
            <w:pPr>
              <w:spacing w:after="0"/>
              <w:rPr>
                <w:sz w:val="13"/>
                <w:szCs w:val="13"/>
                <w:color w:val="auto"/>
              </w:rPr>
            </w:pPr>
          </w:p>
        </w:tc>
      </w:tr>
      <w:tr>
        <w:trPr>
          <w:trHeight w:val="165"/>
        </w:trPr>
        <w:tc>
          <w:tcPr>
            <w:tcW w:w="6360" w:type="dxa"/>
            <w:vAlign w:val="bottom"/>
          </w:tcPr>
          <w:p>
            <w:pPr>
              <w:spacing w:after="0"/>
              <w:rPr>
                <w:sz w:val="20"/>
                <w:szCs w:val="20"/>
                <w:color w:val="auto"/>
              </w:rPr>
            </w:pPr>
            <w:r>
              <w:rPr>
                <w:rFonts w:ascii="Arial" w:cs="Arial" w:eastAsia="Arial" w:hAnsi="Arial"/>
                <w:sz w:val="13"/>
                <w:szCs w:val="13"/>
                <w:color w:val="auto"/>
              </w:rPr>
              <w:t>Offering Expenses and Commissions</w:t>
            </w:r>
          </w:p>
        </w:tc>
        <w:tc>
          <w:tcPr>
            <w:tcW w:w="3940" w:type="dxa"/>
            <w:vAlign w:val="bottom"/>
            <w:gridSpan w:val="2"/>
          </w:tcPr>
          <w:p>
            <w:pPr>
              <w:jc w:val="right"/>
              <w:ind w:right="251"/>
              <w:spacing w:after="0"/>
              <w:rPr>
                <w:sz w:val="20"/>
                <w:szCs w:val="20"/>
                <w:color w:val="auto"/>
              </w:rPr>
            </w:pPr>
            <w:r>
              <w:rPr>
                <w:rFonts w:ascii="Arial" w:cs="Arial" w:eastAsia="Arial" w:hAnsi="Arial"/>
                <w:sz w:val="13"/>
                <w:szCs w:val="13"/>
                <w:color w:val="auto"/>
              </w:rPr>
              <w:t>$</w:t>
            </w:r>
          </w:p>
        </w:tc>
        <w:tc>
          <w:tcPr>
            <w:tcW w:w="880" w:type="dxa"/>
            <w:vAlign w:val="bottom"/>
          </w:tcPr>
          <w:p>
            <w:pPr>
              <w:jc w:val="right"/>
              <w:spacing w:after="0"/>
              <w:rPr>
                <w:sz w:val="20"/>
                <w:szCs w:val="20"/>
                <w:color w:val="auto"/>
              </w:rPr>
            </w:pPr>
            <w:r>
              <w:rPr>
                <w:rFonts w:ascii="Arial" w:cs="Arial" w:eastAsia="Arial" w:hAnsi="Arial"/>
                <w:sz w:val="13"/>
                <w:szCs w:val="13"/>
                <w:color w:val="auto"/>
              </w:rPr>
              <w:t>4,000,000</w:t>
            </w:r>
          </w:p>
        </w:tc>
        <w:tc>
          <w:tcPr>
            <w:tcW w:w="100" w:type="dxa"/>
            <w:vAlign w:val="bottom"/>
          </w:tcPr>
          <w:p>
            <w:pPr>
              <w:spacing w:after="0"/>
              <w:rPr>
                <w:sz w:val="14"/>
                <w:szCs w:val="14"/>
                <w:color w:val="auto"/>
              </w:rPr>
            </w:pPr>
          </w:p>
        </w:tc>
      </w:tr>
      <w:tr>
        <w:trPr>
          <w:trHeight w:val="147"/>
        </w:trPr>
        <w:tc>
          <w:tcPr>
            <w:tcW w:w="6360" w:type="dxa"/>
            <w:vAlign w:val="bottom"/>
            <w:tcBorders>
              <w:top w:val="single" w:sz="8" w:color="CCEEFF"/>
            </w:tcBorders>
            <w:shd w:val="clear" w:color="auto" w:fill="CCEEFF"/>
          </w:tcPr>
          <w:p>
            <w:pPr>
              <w:spacing w:after="0" w:line="148" w:lineRule="exact"/>
              <w:rPr>
                <w:sz w:val="20"/>
                <w:szCs w:val="20"/>
                <w:color w:val="auto"/>
              </w:rPr>
            </w:pPr>
            <w:r>
              <w:rPr>
                <w:rFonts w:ascii="Arial" w:cs="Arial" w:eastAsia="Arial" w:hAnsi="Arial"/>
                <w:sz w:val="13"/>
                <w:szCs w:val="13"/>
                <w:b w:val="1"/>
                <w:bCs w:val="1"/>
                <w:color w:val="auto"/>
              </w:rPr>
              <w:t>TOTAL</w:t>
            </w:r>
          </w:p>
        </w:tc>
        <w:tc>
          <w:tcPr>
            <w:tcW w:w="3580" w:type="dxa"/>
            <w:vAlign w:val="bottom"/>
            <w:tcBorders>
              <w:top w:val="single" w:sz="8" w:color="CCEEFF"/>
            </w:tcBorders>
            <w:shd w:val="clear" w:color="auto" w:fill="CCEEFF"/>
          </w:tcPr>
          <w:p>
            <w:pPr>
              <w:spacing w:after="0"/>
              <w:rPr>
                <w:sz w:val="12"/>
                <w:szCs w:val="12"/>
                <w:color w:val="auto"/>
              </w:rPr>
            </w:pPr>
          </w:p>
        </w:tc>
        <w:tc>
          <w:tcPr>
            <w:tcW w:w="360" w:type="dxa"/>
            <w:vAlign w:val="bottom"/>
            <w:tcBorders>
              <w:top w:val="single" w:sz="8" w:color="auto"/>
            </w:tcBorders>
            <w:shd w:val="clear" w:color="auto" w:fill="CCEEFF"/>
          </w:tcPr>
          <w:p>
            <w:pPr>
              <w:jc w:val="right"/>
              <w:ind w:right="251"/>
              <w:spacing w:after="0"/>
              <w:rPr>
                <w:sz w:val="20"/>
                <w:szCs w:val="20"/>
                <w:color w:val="auto"/>
              </w:rPr>
            </w:pPr>
            <w:r>
              <w:rPr>
                <w:rFonts w:ascii="Arial" w:cs="Arial" w:eastAsia="Arial" w:hAnsi="Arial"/>
                <w:sz w:val="10"/>
                <w:szCs w:val="10"/>
                <w:b w:val="1"/>
                <w:bCs w:val="1"/>
                <w:color w:val="auto"/>
                <w:w w:val="71"/>
              </w:rPr>
              <w:t>$</w:t>
            </w:r>
          </w:p>
        </w:tc>
        <w:tc>
          <w:tcPr>
            <w:tcW w:w="880" w:type="dxa"/>
            <w:vAlign w:val="bottom"/>
            <w:tcBorders>
              <w:top w:val="single" w:sz="8" w:color="auto"/>
            </w:tcBorders>
            <w:shd w:val="clear" w:color="auto" w:fill="CCEEFF"/>
          </w:tcPr>
          <w:p>
            <w:pPr>
              <w:jc w:val="right"/>
              <w:spacing w:after="0" w:line="148" w:lineRule="exact"/>
              <w:rPr>
                <w:sz w:val="20"/>
                <w:szCs w:val="20"/>
                <w:color w:val="auto"/>
              </w:rPr>
            </w:pPr>
            <w:r>
              <w:rPr>
                <w:rFonts w:ascii="Arial" w:cs="Arial" w:eastAsia="Arial" w:hAnsi="Arial"/>
                <w:sz w:val="13"/>
                <w:szCs w:val="13"/>
                <w:b w:val="1"/>
                <w:bCs w:val="1"/>
                <w:color w:val="auto"/>
              </w:rPr>
              <w:t>40,000,000</w:t>
            </w:r>
          </w:p>
        </w:tc>
        <w:tc>
          <w:tcPr>
            <w:tcW w:w="100" w:type="dxa"/>
            <w:vAlign w:val="bottom"/>
            <w:tcBorders>
              <w:top w:val="single" w:sz="8" w:color="CCEEFF"/>
            </w:tcBorders>
            <w:shd w:val="clear" w:color="auto" w:fill="CCEEFF"/>
          </w:tcPr>
          <w:p>
            <w:pPr>
              <w:spacing w:after="0"/>
              <w:rPr>
                <w:sz w:val="12"/>
                <w:szCs w:val="12"/>
                <w:color w:val="auto"/>
              </w:rPr>
            </w:pPr>
          </w:p>
        </w:tc>
      </w:tr>
    </w:tbl>
    <w:p>
      <w:pPr>
        <w:spacing w:after="0" w:line="148" w:lineRule="exact"/>
        <w:rPr>
          <w:sz w:val="20"/>
          <w:szCs w:val="20"/>
          <w:color w:val="auto"/>
        </w:rPr>
      </w:pPr>
    </w:p>
    <w:p>
      <w:pPr>
        <w:ind w:left="460" w:right="280" w:hanging="227"/>
        <w:spacing w:after="0" w:line="274" w:lineRule="auto"/>
        <w:tabs>
          <w:tab w:leader="none" w:pos="460" w:val="left"/>
        </w:tabs>
        <w:numPr>
          <w:ilvl w:val="0"/>
          <w:numId w:val="19"/>
        </w:numPr>
        <w:rPr>
          <w:rFonts w:ascii="Arial" w:cs="Arial" w:eastAsia="Arial" w:hAnsi="Arial"/>
          <w:sz w:val="13"/>
          <w:szCs w:val="13"/>
          <w:color w:val="auto"/>
        </w:rPr>
      </w:pPr>
      <w:r>
        <w:rPr>
          <w:rFonts w:ascii="Arial" w:cs="Arial" w:eastAsia="Arial" w:hAnsi="Arial"/>
          <w:sz w:val="13"/>
          <w:szCs w:val="13"/>
          <w:color w:val="auto"/>
        </w:rPr>
        <w:t>Approximately $15,000,000 of the net proceeds will be used for new technology development, to fund additional product development of new versions of the ASRs, technological upgrades, systems and process improvements.</w:t>
      </w:r>
    </w:p>
    <w:p>
      <w:pPr>
        <w:spacing w:after="0" w:line="127" w:lineRule="exact"/>
        <w:rPr>
          <w:rFonts w:ascii="Arial" w:cs="Arial" w:eastAsia="Arial" w:hAnsi="Arial"/>
          <w:sz w:val="13"/>
          <w:szCs w:val="13"/>
          <w:color w:val="auto"/>
        </w:rPr>
      </w:pPr>
    </w:p>
    <w:p>
      <w:pPr>
        <w:ind w:left="460" w:right="240" w:hanging="227"/>
        <w:spacing w:after="0" w:line="274" w:lineRule="auto"/>
        <w:tabs>
          <w:tab w:leader="none" w:pos="460" w:val="left"/>
        </w:tabs>
        <w:numPr>
          <w:ilvl w:val="0"/>
          <w:numId w:val="19"/>
        </w:numPr>
        <w:rPr>
          <w:rFonts w:ascii="Arial" w:cs="Arial" w:eastAsia="Arial" w:hAnsi="Arial"/>
          <w:sz w:val="13"/>
          <w:szCs w:val="13"/>
          <w:color w:val="auto"/>
        </w:rPr>
      </w:pPr>
      <w:r>
        <w:rPr>
          <w:rFonts w:ascii="Arial" w:cs="Arial" w:eastAsia="Arial" w:hAnsi="Arial"/>
          <w:sz w:val="13"/>
          <w:szCs w:val="13"/>
          <w:color w:val="auto"/>
        </w:rPr>
        <w:t>Approximately $15,000,000 of the net proceeds will be used to fund the manufacture of additional K1, K3, and K5 ASRs and related investments in SG&amp;A to support the expansion nationwide. The total includes additional expenses related to technological upgrades, system improvements, infrastructure and production.</w:t>
      </w:r>
    </w:p>
    <w:p>
      <w:pPr>
        <w:spacing w:after="0" w:line="127" w:lineRule="exact"/>
        <w:rPr>
          <w:rFonts w:ascii="Arial" w:cs="Arial" w:eastAsia="Arial" w:hAnsi="Arial"/>
          <w:sz w:val="13"/>
          <w:szCs w:val="13"/>
          <w:color w:val="auto"/>
        </w:rPr>
      </w:pPr>
    </w:p>
    <w:p>
      <w:pPr>
        <w:ind w:left="460" w:hanging="227"/>
        <w:spacing w:after="0"/>
        <w:tabs>
          <w:tab w:leader="none" w:pos="460" w:val="left"/>
        </w:tabs>
        <w:numPr>
          <w:ilvl w:val="0"/>
          <w:numId w:val="19"/>
        </w:numPr>
        <w:rPr>
          <w:rFonts w:ascii="Arial" w:cs="Arial" w:eastAsia="Arial" w:hAnsi="Arial"/>
          <w:sz w:val="13"/>
          <w:szCs w:val="13"/>
          <w:color w:val="auto"/>
        </w:rPr>
      </w:pPr>
      <w:r>
        <w:rPr>
          <w:rFonts w:ascii="Arial" w:cs="Arial" w:eastAsia="Arial" w:hAnsi="Arial"/>
          <w:sz w:val="13"/>
          <w:szCs w:val="13"/>
          <w:color w:val="auto"/>
        </w:rPr>
        <w:t>Approximately $6,000,000 of the net proceeds will be used for SG&amp;A, a portion of which may be used to pay employee and executive compensation.</w:t>
      </w:r>
    </w:p>
    <w:p>
      <w:pPr>
        <w:spacing w:after="0" w:line="163" w:lineRule="exact"/>
        <w:rPr>
          <w:sz w:val="20"/>
          <w:szCs w:val="20"/>
          <w:color w:val="auto"/>
        </w:rPr>
      </w:pPr>
    </w:p>
    <w:p>
      <w:pPr>
        <w:ind w:right="620"/>
        <w:spacing w:after="0" w:line="317" w:lineRule="auto"/>
        <w:rPr>
          <w:sz w:val="20"/>
          <w:szCs w:val="20"/>
          <w:color w:val="auto"/>
        </w:rPr>
      </w:pPr>
      <w:r>
        <w:rPr>
          <w:rFonts w:ascii="Arial" w:cs="Arial" w:eastAsia="Arial" w:hAnsi="Arial"/>
          <w:sz w:val="12"/>
          <w:szCs w:val="12"/>
          <w:color w:val="auto"/>
        </w:rPr>
        <w:t>If the offering size were to be at 75% of our target proceeds, at $30,000,000 in the aggregate, then we estimate that the net proceeds to the Company would be approximately $27,000,000. In such an event, Knightscope would adjust its use of proceeds by limiting the speed of growth, delaying or canceling key initiatives and maintaining a smaller number of employees.</w:t>
      </w:r>
    </w:p>
    <w:p>
      <w:pPr>
        <w:spacing w:after="0" w:line="105" w:lineRule="exact"/>
        <w:rPr>
          <w:sz w:val="20"/>
          <w:szCs w:val="20"/>
          <w:color w:val="auto"/>
        </w:rPr>
      </w:pPr>
    </w:p>
    <w:p>
      <w:pPr>
        <w:ind w:right="620"/>
        <w:spacing w:after="0" w:line="317" w:lineRule="auto"/>
        <w:rPr>
          <w:sz w:val="20"/>
          <w:szCs w:val="20"/>
          <w:color w:val="auto"/>
        </w:rPr>
      </w:pPr>
      <w:r>
        <w:rPr>
          <w:rFonts w:ascii="Arial" w:cs="Arial" w:eastAsia="Arial" w:hAnsi="Arial"/>
          <w:sz w:val="12"/>
          <w:szCs w:val="12"/>
          <w:color w:val="auto"/>
        </w:rPr>
        <w:t>If the offering size were to be at 50% of our target proceeds, at $20,000,000 in the aggregate, then we estimate that the net proceeds to the Company would be approximately $17,000,000. In such an event, Knightscope would adjust its use of proceeds by limiting the speed of growth, delaying or canceling key initiatives and maintaining a smaller number of employees.</w:t>
      </w:r>
    </w:p>
    <w:p>
      <w:pPr>
        <w:spacing w:after="0" w:line="105"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If the offering size were to be at 25% of our target proceeds, at $10,000,000 in the aggregate, then we estimate that the net proceeds to the Company would be approximately $8,000,000. In such an event, Knightscope would adjust its use of proceeds by limiting the speed of growth, delaying or canceling key initiatives and maintaining a smaller number of employees.</w:t>
      </w:r>
    </w:p>
    <w:p>
      <w:pPr>
        <w:spacing w:after="0" w:line="128" w:lineRule="exact"/>
        <w:rPr>
          <w:sz w:val="20"/>
          <w:szCs w:val="20"/>
          <w:color w:val="auto"/>
        </w:rPr>
      </w:pPr>
    </w:p>
    <w:p>
      <w:pPr>
        <w:ind w:right="20"/>
        <w:spacing w:after="0" w:line="274" w:lineRule="auto"/>
        <w:rPr>
          <w:sz w:val="20"/>
          <w:szCs w:val="20"/>
          <w:color w:val="auto"/>
        </w:rPr>
      </w:pPr>
      <w:r>
        <w:rPr>
          <w:rFonts w:ascii="Arial" w:cs="Arial" w:eastAsia="Arial" w:hAnsi="Arial"/>
          <w:sz w:val="13"/>
          <w:szCs w:val="13"/>
          <w:color w:val="auto"/>
        </w:rPr>
        <w:t>Because the offering is a “best efforts” offering without a required minimum offering amount, we may close the offering without sufficient funds for all the intended purposes set out above. There is no arrangement to return funds to subscribers if all of the securities offered are not sold.</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The Company reserves the right to change the above use of proceeds without notice if management believes it is in the best interests of the Company.</w:t>
      </w:r>
    </w:p>
    <w:p>
      <w:pPr>
        <w:spacing w:after="0" w:line="324"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22" w:name="page23"/>
    <w:bookmarkEnd w:id="22"/>
    <w:p>
      <w:pPr>
        <w:spacing w:after="0"/>
        <w:rPr>
          <w:sz w:val="20"/>
          <w:szCs w:val="20"/>
          <w:color w:val="auto"/>
        </w:rPr>
      </w:pPr>
      <w:r>
        <w:rPr>
          <w:rFonts w:ascii="Arial" w:cs="Arial" w:eastAsia="Arial" w:hAnsi="Arial"/>
          <w:sz w:val="13"/>
          <w:szCs w:val="13"/>
          <w:b w:val="1"/>
          <w:bCs w:val="1"/>
          <w:color w:val="auto"/>
        </w:rPr>
        <w:t>THE COMPANY’S BUSINESS</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Overview</w:t>
      </w:r>
    </w:p>
    <w:p>
      <w:pPr>
        <w:spacing w:after="0" w:line="163" w:lineRule="exact"/>
        <w:rPr>
          <w:sz w:val="20"/>
          <w:szCs w:val="20"/>
          <w:color w:val="auto"/>
        </w:rPr>
      </w:pPr>
    </w:p>
    <w:p>
      <w:pPr>
        <w:spacing w:after="0" w:line="287" w:lineRule="auto"/>
        <w:rPr>
          <w:sz w:val="20"/>
          <w:szCs w:val="20"/>
          <w:color w:val="auto"/>
        </w:rPr>
      </w:pPr>
      <w:r>
        <w:rPr>
          <w:rFonts w:ascii="Arial" w:cs="Arial" w:eastAsia="Arial" w:hAnsi="Arial"/>
          <w:sz w:val="12"/>
          <w:szCs w:val="12"/>
          <w:color w:val="auto"/>
        </w:rPr>
        <w:t>Knightscope, Inc. was founded in Mountain View, California in April 2013 and has since developed revolutionary Autonomous Security Robots (“ASRs”) with real-time on-site data collection and analysis and an interface, primarily through funding from both strategic and private investors. Knightscope currently offers three products: (1) the K5 ASR (“K5”) for outdoor usage, (2) the K3 ASR (“K3”) for indoor usage, and (3) the K1 ASR (“K1”) for stationary usage indoors or outdoors. The Company also provides access to the Knightscope Security Operations Center (“KSOC”) to all its clients, a browser-based interface that allows clients real-time data access. The Company works continuously to improve and upgrade the ASRs and KSOC, and their precise specifications may change over time.</w:t>
      </w:r>
    </w:p>
    <w:p>
      <w:pPr>
        <w:spacing w:after="0" w:line="122" w:lineRule="exact"/>
        <w:rPr>
          <w:sz w:val="20"/>
          <w:szCs w:val="20"/>
          <w:color w:val="auto"/>
        </w:rPr>
      </w:pPr>
    </w:p>
    <w:p>
      <w:pPr>
        <w:ind w:right="80"/>
        <w:spacing w:after="0" w:line="283" w:lineRule="auto"/>
        <w:rPr>
          <w:sz w:val="20"/>
          <w:szCs w:val="20"/>
          <w:color w:val="auto"/>
        </w:rPr>
      </w:pPr>
      <w:r>
        <w:rPr>
          <w:rFonts w:ascii="Arial" w:cs="Arial" w:eastAsia="Arial" w:hAnsi="Arial"/>
          <w:sz w:val="12"/>
          <w:szCs w:val="12"/>
          <w:color w:val="auto"/>
        </w:rPr>
        <w:t>The first version of the Company’s flagship K5 was completed in December 2013 and the first version of the K3 was completed in June 2016. The Company began producing the first K1 units during March 2018. The initial proof-of-concept for Knightscope’s products and services occurred in May 2015 and we received our first paid order in June 2015. Currently, the Company operates on a Machine-as-a-Service (“MaaS”) business model. Depending on the ASR model and/or selected offering package, we have recognized recurring monthly revenues ranging between $3,300 and $8,150 per ASR, which includes the ASR rental as well as maintenance, service, support, data transfer, KSOC access, docking stations and unlimited software, firmware and select hardware upgrades. In 2021, the Company added “Knightscope+” remote monitoring as an optional service that can be bundled into its MaaS subscriptions, primarily for clients that operate without a fully staffed 24/7 Security Operations Center (“SOC”).</w:t>
      </w:r>
    </w:p>
    <w:p>
      <w:pPr>
        <w:spacing w:after="0" w:line="125" w:lineRule="exact"/>
        <w:rPr>
          <w:sz w:val="20"/>
          <w:szCs w:val="20"/>
          <w:color w:val="auto"/>
        </w:rPr>
      </w:pPr>
    </w:p>
    <w:p>
      <w:pPr>
        <w:ind w:right="100"/>
        <w:spacing w:after="0" w:line="262" w:lineRule="auto"/>
        <w:rPr>
          <w:sz w:val="20"/>
          <w:szCs w:val="20"/>
          <w:color w:val="auto"/>
        </w:rPr>
      </w:pPr>
      <w:r>
        <w:rPr>
          <w:rFonts w:ascii="Arial" w:cs="Arial" w:eastAsia="Arial" w:hAnsi="Arial"/>
          <w:sz w:val="13"/>
          <w:szCs w:val="13"/>
          <w:color w:val="auto"/>
        </w:rPr>
        <w:t>Our current primary focus is on the deployment and marketing of our core technologies. We continue to generate client orders for K1, K3 and K5 ASRs and our production of machines is expected to continue out of our primary corporate headquarters in Mountain View, California. We are also working on the development and eventual production of the K7 ASR (“K7”) for multi-terrain outdoor usage, which will be built on a four-wheel architecture and have the capability to operate in more difficult environments.</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ASRs</w:t>
      </w:r>
    </w:p>
    <w:p>
      <w:pPr>
        <w:spacing w:after="0" w:line="163" w:lineRule="exact"/>
        <w:rPr>
          <w:sz w:val="20"/>
          <w:szCs w:val="20"/>
          <w:color w:val="auto"/>
        </w:rPr>
      </w:pPr>
    </w:p>
    <w:p>
      <w:pPr>
        <w:ind w:right="120"/>
        <w:spacing w:after="0" w:line="283" w:lineRule="auto"/>
        <w:rPr>
          <w:sz w:val="20"/>
          <w:szCs w:val="20"/>
          <w:color w:val="auto"/>
        </w:rPr>
      </w:pPr>
      <w:r>
        <w:rPr>
          <w:rFonts w:ascii="Arial" w:cs="Arial" w:eastAsia="Arial" w:hAnsi="Arial"/>
          <w:sz w:val="12"/>
          <w:szCs w:val="12"/>
          <w:color w:val="auto"/>
        </w:rPr>
        <w:t>The K3 and K5 are designed to roam a geo-fenced area autonomously by utilizing numerous sensors and lasers, either on a random basis or based on a particular patrolling algorithm. They can successfully navigate around people, vehicles and objects in dynamic indoor or outdoor environments. To do this, the ASRs employ several autonomous motion and self-driving technologies, including lasers, ultrasonic sensors, inertial measurement unit (“IMU”), and wheel encoders as well as a robust navigation software stack. Each ASR can generate 1 to 2 terabytes of data per week and over 90 terabytes of data per year, which is accessible for review and analysis via the KSOC. Clients can recall, review, and save the data for analysis, forensic or archival purposes. Each ASR can autonomously charge and recharge on a 24-hour basis, 7 days per week without human intervention. Clients may also utilize the patrol scheduler feature on the KSOC to schedule periodic or regular patrols during certain times for alternative patrol routes.</w:t>
      </w:r>
    </w:p>
    <w:p>
      <w:pPr>
        <w:spacing w:after="0" w:line="125" w:lineRule="exact"/>
        <w:rPr>
          <w:sz w:val="20"/>
          <w:szCs w:val="20"/>
          <w:color w:val="auto"/>
        </w:rPr>
      </w:pPr>
    </w:p>
    <w:p>
      <w:pPr>
        <w:spacing w:after="0"/>
        <w:rPr>
          <w:sz w:val="20"/>
          <w:szCs w:val="20"/>
          <w:color w:val="auto"/>
        </w:rPr>
      </w:pPr>
      <w:r>
        <w:rPr>
          <w:rFonts w:ascii="Arial" w:cs="Arial" w:eastAsia="Arial" w:hAnsi="Arial"/>
          <w:sz w:val="13"/>
          <w:szCs w:val="13"/>
          <w:color w:val="auto"/>
        </w:rPr>
        <w:t>The dimensions of the K5 are as follows:</w:t>
      </w:r>
    </w:p>
    <w:p>
      <w:pPr>
        <w:spacing w:after="0" w:line="163" w:lineRule="exact"/>
        <w:rPr>
          <w:sz w:val="20"/>
          <w:szCs w:val="20"/>
          <w:color w:val="auto"/>
        </w:rPr>
      </w:pPr>
    </w:p>
    <w:p>
      <w:pPr>
        <w:ind w:left="500" w:hanging="238"/>
        <w:spacing w:after="0"/>
        <w:tabs>
          <w:tab w:leader="none" w:pos="500" w:val="left"/>
        </w:tabs>
        <w:numPr>
          <w:ilvl w:val="0"/>
          <w:numId w:val="20"/>
        </w:numPr>
        <w:rPr>
          <w:rFonts w:ascii="Arial" w:cs="Arial" w:eastAsia="Arial" w:hAnsi="Arial"/>
          <w:sz w:val="13"/>
          <w:szCs w:val="13"/>
          <w:color w:val="auto"/>
        </w:rPr>
      </w:pPr>
      <w:r>
        <w:rPr>
          <w:rFonts w:ascii="Arial" w:cs="Arial" w:eastAsia="Arial" w:hAnsi="Arial"/>
          <w:sz w:val="13"/>
          <w:szCs w:val="13"/>
          <w:color w:val="auto"/>
        </w:rPr>
        <w:t>Height: 5 feet</w:t>
      </w:r>
    </w:p>
    <w:p>
      <w:pPr>
        <w:spacing w:after="0" w:line="14" w:lineRule="exact"/>
        <w:rPr>
          <w:rFonts w:ascii="Arial" w:cs="Arial" w:eastAsia="Arial" w:hAnsi="Arial"/>
          <w:sz w:val="13"/>
          <w:szCs w:val="13"/>
          <w:color w:val="auto"/>
        </w:rPr>
      </w:pPr>
    </w:p>
    <w:p>
      <w:pPr>
        <w:ind w:left="500" w:hanging="238"/>
        <w:spacing w:after="0"/>
        <w:tabs>
          <w:tab w:leader="none" w:pos="500" w:val="left"/>
        </w:tabs>
        <w:numPr>
          <w:ilvl w:val="0"/>
          <w:numId w:val="20"/>
        </w:numPr>
        <w:rPr>
          <w:rFonts w:ascii="Arial" w:cs="Arial" w:eastAsia="Arial" w:hAnsi="Arial"/>
          <w:sz w:val="13"/>
          <w:szCs w:val="13"/>
          <w:color w:val="auto"/>
        </w:rPr>
      </w:pPr>
      <w:r>
        <w:rPr>
          <w:rFonts w:ascii="Arial" w:cs="Arial" w:eastAsia="Arial" w:hAnsi="Arial"/>
          <w:sz w:val="13"/>
          <w:szCs w:val="13"/>
          <w:color w:val="auto"/>
        </w:rPr>
        <w:t>Width: 3 feet</w:t>
      </w:r>
    </w:p>
    <w:p>
      <w:pPr>
        <w:spacing w:after="0" w:line="6" w:lineRule="exact"/>
        <w:rPr>
          <w:rFonts w:ascii="Arial" w:cs="Arial" w:eastAsia="Arial" w:hAnsi="Arial"/>
          <w:sz w:val="13"/>
          <w:szCs w:val="13"/>
          <w:color w:val="auto"/>
        </w:rPr>
      </w:pPr>
    </w:p>
    <w:p>
      <w:pPr>
        <w:ind w:left="500" w:hanging="238"/>
        <w:spacing w:after="0"/>
        <w:tabs>
          <w:tab w:leader="none" w:pos="500" w:val="left"/>
        </w:tabs>
        <w:numPr>
          <w:ilvl w:val="0"/>
          <w:numId w:val="20"/>
        </w:numPr>
        <w:rPr>
          <w:rFonts w:ascii="Arial" w:cs="Arial" w:eastAsia="Arial" w:hAnsi="Arial"/>
          <w:sz w:val="13"/>
          <w:szCs w:val="13"/>
          <w:color w:val="auto"/>
        </w:rPr>
      </w:pPr>
      <w:r>
        <w:rPr>
          <w:rFonts w:ascii="Arial" w:cs="Arial" w:eastAsia="Arial" w:hAnsi="Arial"/>
          <w:sz w:val="13"/>
          <w:szCs w:val="13"/>
          <w:color w:val="auto"/>
        </w:rPr>
        <w:t>Weight: 398 pounds</w:t>
      </w:r>
    </w:p>
    <w:p>
      <w:pPr>
        <w:spacing w:after="0" w:line="156" w:lineRule="exact"/>
        <w:rPr>
          <w:sz w:val="20"/>
          <w:szCs w:val="20"/>
          <w:color w:val="auto"/>
        </w:rPr>
      </w:pPr>
    </w:p>
    <w:p>
      <w:pPr>
        <w:ind w:right="180"/>
        <w:spacing w:after="0" w:line="274" w:lineRule="auto"/>
        <w:rPr>
          <w:sz w:val="20"/>
          <w:szCs w:val="20"/>
          <w:color w:val="auto"/>
        </w:rPr>
      </w:pPr>
      <w:r>
        <w:rPr>
          <w:rFonts w:ascii="Arial" w:cs="Arial" w:eastAsia="Arial" w:hAnsi="Arial"/>
          <w:sz w:val="13"/>
          <w:szCs w:val="13"/>
          <w:color w:val="auto"/>
        </w:rPr>
        <w:t>The K5 is designed to be used primarily outdoors in such environments as open air malls, corporate campuses, hospitals, stadiums, retailers, warehouses, logistics facilities, college campuses, airports, train stations and multi-level parking structures. The K5’s advanced anomaly detection features include:</w:t>
      </w:r>
    </w:p>
    <w:p>
      <w:pPr>
        <w:spacing w:after="0" w:line="128" w:lineRule="exact"/>
        <w:rPr>
          <w:sz w:val="20"/>
          <w:szCs w:val="20"/>
          <w:color w:val="auto"/>
        </w:rPr>
      </w:pPr>
    </w:p>
    <w:p>
      <w:pPr>
        <w:ind w:left="460" w:hanging="227"/>
        <w:spacing w:after="0"/>
        <w:tabs>
          <w:tab w:leader="none" w:pos="460" w:val="left"/>
        </w:tabs>
        <w:numPr>
          <w:ilvl w:val="0"/>
          <w:numId w:val="21"/>
        </w:numPr>
        <w:rPr>
          <w:rFonts w:ascii="Arial" w:cs="Arial" w:eastAsia="Arial" w:hAnsi="Arial"/>
          <w:sz w:val="13"/>
          <w:szCs w:val="13"/>
          <w:color w:val="auto"/>
        </w:rPr>
      </w:pPr>
      <w:r>
        <w:rPr>
          <w:rFonts w:ascii="Arial" w:cs="Arial" w:eastAsia="Arial" w:hAnsi="Arial"/>
          <w:sz w:val="13"/>
          <w:szCs w:val="13"/>
          <w:color w:val="auto"/>
        </w:rPr>
        <w:t>360-degree high-definition night and day video capture positioned at eye-level;</w:t>
      </w:r>
    </w:p>
    <w:p>
      <w:pPr>
        <w:spacing w:after="0" w:line="14" w:lineRule="exact"/>
        <w:rPr>
          <w:rFonts w:ascii="Arial" w:cs="Arial" w:eastAsia="Arial" w:hAnsi="Arial"/>
          <w:sz w:val="13"/>
          <w:szCs w:val="13"/>
          <w:color w:val="auto"/>
        </w:rPr>
      </w:pPr>
    </w:p>
    <w:p>
      <w:pPr>
        <w:ind w:left="460" w:hanging="227"/>
        <w:spacing w:after="0"/>
        <w:tabs>
          <w:tab w:leader="none" w:pos="460" w:val="left"/>
        </w:tabs>
        <w:numPr>
          <w:ilvl w:val="0"/>
          <w:numId w:val="21"/>
        </w:numPr>
        <w:rPr>
          <w:rFonts w:ascii="Arial" w:cs="Arial" w:eastAsia="Arial" w:hAnsi="Arial"/>
          <w:sz w:val="13"/>
          <w:szCs w:val="13"/>
          <w:color w:val="auto"/>
        </w:rPr>
      </w:pPr>
      <w:r>
        <w:rPr>
          <w:rFonts w:ascii="Arial" w:cs="Arial" w:eastAsia="Arial" w:hAnsi="Arial"/>
          <w:sz w:val="13"/>
          <w:szCs w:val="13"/>
          <w:color w:val="auto"/>
        </w:rPr>
        <w:t>Live streaming and recorded high-definition video capabilities;</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21"/>
        </w:numPr>
        <w:rPr>
          <w:rFonts w:ascii="Arial" w:cs="Arial" w:eastAsia="Arial" w:hAnsi="Arial"/>
          <w:sz w:val="13"/>
          <w:szCs w:val="13"/>
          <w:color w:val="auto"/>
        </w:rPr>
      </w:pPr>
      <w:r>
        <w:rPr>
          <w:rFonts w:ascii="Arial" w:cs="Arial" w:eastAsia="Arial" w:hAnsi="Arial"/>
          <w:sz w:val="13"/>
          <w:szCs w:val="13"/>
          <w:color w:val="auto"/>
        </w:rPr>
        <w:t>Automatic license plate recognition;</w:t>
      </w:r>
    </w:p>
    <w:p>
      <w:pPr>
        <w:spacing w:after="0" w:line="6" w:lineRule="exact"/>
        <w:rPr>
          <w:rFonts w:ascii="Arial" w:cs="Arial" w:eastAsia="Arial" w:hAnsi="Arial"/>
          <w:sz w:val="13"/>
          <w:szCs w:val="13"/>
          <w:color w:val="auto"/>
        </w:rPr>
      </w:pPr>
    </w:p>
    <w:p>
      <w:pPr>
        <w:ind w:left="460" w:right="120" w:hanging="227"/>
        <w:spacing w:after="0" w:line="251" w:lineRule="auto"/>
        <w:tabs>
          <w:tab w:leader="none" w:pos="460" w:val="left"/>
        </w:tabs>
        <w:numPr>
          <w:ilvl w:val="0"/>
          <w:numId w:val="21"/>
        </w:numPr>
        <w:rPr>
          <w:rFonts w:ascii="Arial" w:cs="Arial" w:eastAsia="Arial" w:hAnsi="Arial"/>
          <w:sz w:val="13"/>
          <w:szCs w:val="13"/>
          <w:color w:val="auto"/>
        </w:rPr>
      </w:pPr>
      <w:r>
        <w:rPr>
          <w:rFonts w:ascii="Arial" w:cs="Arial" w:eastAsia="Arial" w:hAnsi="Arial"/>
          <w:sz w:val="13"/>
          <w:szCs w:val="13"/>
          <w:color w:val="auto"/>
        </w:rPr>
        <w:t>Parking meter feature, which assesses the top 10 vehicles and their “dwell time” in a particular location. If a vehicle is parked for more than 24 hours in the same location, a user can receive an alert or have the data flagged. The parking meter feature can also track the top 10 stationary vehicles in an area and accurate parking meter readout for each such vehicle;</w:t>
      </w:r>
    </w:p>
    <w:p>
      <w:pPr>
        <w:ind w:left="460" w:right="240" w:hanging="227"/>
        <w:spacing w:after="0" w:line="251" w:lineRule="auto"/>
        <w:tabs>
          <w:tab w:leader="none" w:pos="460" w:val="left"/>
        </w:tabs>
        <w:numPr>
          <w:ilvl w:val="0"/>
          <w:numId w:val="21"/>
        </w:numPr>
        <w:rPr>
          <w:rFonts w:ascii="Arial" w:cs="Arial" w:eastAsia="Arial" w:hAnsi="Arial"/>
          <w:sz w:val="13"/>
          <w:szCs w:val="13"/>
          <w:color w:val="auto"/>
        </w:rPr>
      </w:pPr>
      <w:r>
        <w:rPr>
          <w:rFonts w:ascii="Arial" w:cs="Arial" w:eastAsia="Arial" w:hAnsi="Arial"/>
          <w:sz w:val="13"/>
          <w:szCs w:val="13"/>
          <w:color w:val="auto"/>
        </w:rPr>
        <w:t>People detection, which can alert a user in real-time of people detected on their premises, together with 360-degree recorded high-definition video. A user can use the timestamp of the recording to search through other data detected to assess and better understand other conditions in the area patrolled by the ASR;</w:t>
      </w:r>
    </w:p>
    <w:p>
      <w:pPr>
        <w:ind w:left="460" w:hanging="227"/>
        <w:spacing w:after="0"/>
        <w:tabs>
          <w:tab w:leader="none" w:pos="460" w:val="left"/>
        </w:tabs>
        <w:numPr>
          <w:ilvl w:val="0"/>
          <w:numId w:val="21"/>
        </w:numPr>
        <w:rPr>
          <w:rFonts w:ascii="Arial" w:cs="Arial" w:eastAsia="Arial" w:hAnsi="Arial"/>
          <w:sz w:val="13"/>
          <w:szCs w:val="13"/>
          <w:color w:val="auto"/>
        </w:rPr>
      </w:pPr>
      <w:r>
        <w:rPr>
          <w:rFonts w:ascii="Arial" w:cs="Arial" w:eastAsia="Arial" w:hAnsi="Arial"/>
          <w:sz w:val="13"/>
          <w:szCs w:val="13"/>
          <w:color w:val="auto"/>
        </w:rPr>
        <w:t>Thermal imaging, which allows for triggered alerts based on temperature. For example, assisting with alerts regarding increased risks of fires;</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21"/>
        </w:numPr>
        <w:rPr>
          <w:rFonts w:ascii="Arial" w:cs="Arial" w:eastAsia="Arial" w:hAnsi="Arial"/>
          <w:sz w:val="13"/>
          <w:szCs w:val="13"/>
          <w:color w:val="auto"/>
        </w:rPr>
      </w:pPr>
      <w:r>
        <w:rPr>
          <w:rFonts w:ascii="Arial" w:cs="Arial" w:eastAsia="Arial" w:hAnsi="Arial"/>
          <w:sz w:val="13"/>
          <w:szCs w:val="13"/>
          <w:color w:val="auto"/>
        </w:rPr>
        <w:t>Two-way communication feature may be utilized for both public announcements and avoidance of human physical confrontations with dangerous individuals; and</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21"/>
        </w:numPr>
        <w:rPr>
          <w:rFonts w:ascii="Arial" w:cs="Arial" w:eastAsia="Arial" w:hAnsi="Arial"/>
          <w:sz w:val="13"/>
          <w:szCs w:val="13"/>
          <w:color w:val="auto"/>
        </w:rPr>
      </w:pPr>
      <w:r>
        <w:rPr>
          <w:rFonts w:ascii="Arial" w:cs="Arial" w:eastAsia="Arial" w:hAnsi="Arial"/>
          <w:sz w:val="13"/>
          <w:szCs w:val="13"/>
          <w:color w:val="auto"/>
        </w:rPr>
        <w:t>Signal detection can be utilized as a rogue router detector for sensitive locations such as a data center.</w:t>
      </w:r>
    </w:p>
    <w:p>
      <w:pPr>
        <w:spacing w:after="0" w:line="312"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23" w:name="page24"/>
    <w:bookmarkEnd w:id="23"/>
    <w:p>
      <w:pPr>
        <w:spacing w:after="0"/>
        <w:rPr>
          <w:sz w:val="20"/>
          <w:szCs w:val="20"/>
          <w:color w:val="auto"/>
        </w:rPr>
      </w:pPr>
      <w:r>
        <w:rPr>
          <w:rFonts w:ascii="Arial" w:cs="Arial" w:eastAsia="Arial" w:hAnsi="Arial"/>
          <w:sz w:val="13"/>
          <w:szCs w:val="13"/>
          <w:color w:val="auto"/>
        </w:rPr>
        <w:t>The dimensions of the K3 are as follows:</w:t>
      </w:r>
    </w:p>
    <w:p>
      <w:pPr>
        <w:spacing w:after="0" w:line="163" w:lineRule="exact"/>
        <w:rPr>
          <w:sz w:val="20"/>
          <w:szCs w:val="20"/>
          <w:color w:val="auto"/>
        </w:rPr>
      </w:pPr>
    </w:p>
    <w:p>
      <w:pPr>
        <w:ind w:left="460" w:hanging="227"/>
        <w:spacing w:after="0"/>
        <w:tabs>
          <w:tab w:leader="none" w:pos="460" w:val="left"/>
        </w:tabs>
        <w:numPr>
          <w:ilvl w:val="0"/>
          <w:numId w:val="22"/>
        </w:numPr>
        <w:rPr>
          <w:rFonts w:ascii="Arial" w:cs="Arial" w:eastAsia="Arial" w:hAnsi="Arial"/>
          <w:sz w:val="13"/>
          <w:szCs w:val="13"/>
          <w:color w:val="auto"/>
        </w:rPr>
      </w:pPr>
      <w:r>
        <w:rPr>
          <w:rFonts w:ascii="Arial" w:cs="Arial" w:eastAsia="Arial" w:hAnsi="Arial"/>
          <w:sz w:val="13"/>
          <w:szCs w:val="13"/>
          <w:color w:val="auto"/>
        </w:rPr>
        <w:t>Height: 4 feet</w:t>
      </w:r>
    </w:p>
    <w:p>
      <w:pPr>
        <w:spacing w:after="0" w:line="14" w:lineRule="exact"/>
        <w:rPr>
          <w:rFonts w:ascii="Arial" w:cs="Arial" w:eastAsia="Arial" w:hAnsi="Arial"/>
          <w:sz w:val="13"/>
          <w:szCs w:val="13"/>
          <w:color w:val="auto"/>
        </w:rPr>
      </w:pPr>
    </w:p>
    <w:p>
      <w:pPr>
        <w:ind w:left="460" w:hanging="227"/>
        <w:spacing w:after="0"/>
        <w:tabs>
          <w:tab w:leader="none" w:pos="460" w:val="left"/>
        </w:tabs>
        <w:numPr>
          <w:ilvl w:val="0"/>
          <w:numId w:val="22"/>
        </w:numPr>
        <w:rPr>
          <w:rFonts w:ascii="Arial" w:cs="Arial" w:eastAsia="Arial" w:hAnsi="Arial"/>
          <w:sz w:val="13"/>
          <w:szCs w:val="13"/>
          <w:color w:val="auto"/>
        </w:rPr>
      </w:pPr>
      <w:r>
        <w:rPr>
          <w:rFonts w:ascii="Arial" w:cs="Arial" w:eastAsia="Arial" w:hAnsi="Arial"/>
          <w:sz w:val="13"/>
          <w:szCs w:val="13"/>
          <w:color w:val="auto"/>
        </w:rPr>
        <w:t>Width: 2 feet</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22"/>
        </w:numPr>
        <w:rPr>
          <w:rFonts w:ascii="Arial" w:cs="Arial" w:eastAsia="Arial" w:hAnsi="Arial"/>
          <w:sz w:val="13"/>
          <w:szCs w:val="13"/>
          <w:color w:val="auto"/>
        </w:rPr>
      </w:pPr>
      <w:r>
        <w:rPr>
          <w:rFonts w:ascii="Arial" w:cs="Arial" w:eastAsia="Arial" w:hAnsi="Arial"/>
          <w:sz w:val="13"/>
          <w:szCs w:val="13"/>
          <w:color w:val="auto"/>
        </w:rPr>
        <w:t>Weight: 340 pounds</w:t>
      </w:r>
    </w:p>
    <w:p>
      <w:pPr>
        <w:spacing w:after="0" w:line="156" w:lineRule="exact"/>
        <w:rPr>
          <w:sz w:val="20"/>
          <w:szCs w:val="20"/>
          <w:color w:val="auto"/>
        </w:rPr>
      </w:pPr>
    </w:p>
    <w:p>
      <w:pPr>
        <w:spacing w:after="0" w:line="317" w:lineRule="auto"/>
        <w:rPr>
          <w:sz w:val="20"/>
          <w:szCs w:val="20"/>
          <w:color w:val="auto"/>
        </w:rPr>
      </w:pPr>
      <w:r>
        <w:rPr>
          <w:rFonts w:ascii="Arial" w:cs="Arial" w:eastAsia="Arial" w:hAnsi="Arial"/>
          <w:sz w:val="12"/>
          <w:szCs w:val="12"/>
          <w:color w:val="auto"/>
        </w:rPr>
        <w:t>The K3 is tailored for indoor usage, allowing it to autonomously navigate complex dynamic indoor environments such as an indoor mall, office building, manufacturing facility, hospital, stadium plaza, warehouse or school. It has the same suite of advanced anomaly detection capabilities as the K5, but the parking utilization, parking meter and license plate recognition features are turned off.</w:t>
      </w:r>
    </w:p>
    <w:p>
      <w:pPr>
        <w:spacing w:after="0" w:line="105" w:lineRule="exact"/>
        <w:rPr>
          <w:sz w:val="20"/>
          <w:szCs w:val="20"/>
          <w:color w:val="auto"/>
        </w:rPr>
      </w:pPr>
    </w:p>
    <w:p>
      <w:pPr>
        <w:ind w:right="40"/>
        <w:spacing w:after="0" w:line="274" w:lineRule="auto"/>
        <w:rPr>
          <w:sz w:val="20"/>
          <w:szCs w:val="20"/>
          <w:color w:val="auto"/>
        </w:rPr>
      </w:pPr>
      <w:r>
        <w:rPr>
          <w:rFonts w:ascii="Arial" w:cs="Arial" w:eastAsia="Arial" w:hAnsi="Arial"/>
          <w:sz w:val="13"/>
          <w:szCs w:val="13"/>
          <w:color w:val="auto"/>
        </w:rPr>
        <w:t>The ASRs include several communications features. The units can transfer data over both 4G LTE networks and Wi-Fi as well as future 5G capabilities. Each one has an available intercom that may be used for two-way communication with a security team. In addition, one or multiple units may be used as a live broadcast public address system or to deliver pre-recorded messages.</w:t>
      </w:r>
    </w:p>
    <w:p>
      <w:pPr>
        <w:spacing w:after="0" w:line="128" w:lineRule="exact"/>
        <w:rPr>
          <w:sz w:val="20"/>
          <w:szCs w:val="20"/>
          <w:color w:val="auto"/>
        </w:rPr>
      </w:pPr>
    </w:p>
    <w:p>
      <w:pPr>
        <w:ind w:right="360"/>
        <w:spacing w:after="0" w:line="317" w:lineRule="auto"/>
        <w:rPr>
          <w:sz w:val="20"/>
          <w:szCs w:val="20"/>
          <w:color w:val="auto"/>
        </w:rPr>
      </w:pPr>
      <w:r>
        <w:rPr>
          <w:rFonts w:ascii="Arial" w:cs="Arial" w:eastAsia="Arial" w:hAnsi="Arial"/>
          <w:sz w:val="12"/>
          <w:szCs w:val="12"/>
          <w:color w:val="auto"/>
        </w:rPr>
        <w:t>The ASRs run on rechargeable batteries. They are configured to patrol autonomously for approximately two to three hours, following which, without human intervention, the ASRs find and dock to a charging station, recharging for approximately 20 minutes or more before resuming patrol. The ASRs remain operational during the charging period, providing 24/7 uptime to clients.</w:t>
      </w:r>
    </w:p>
    <w:p>
      <w:pPr>
        <w:spacing w:after="0" w:line="105" w:lineRule="exact"/>
        <w:rPr>
          <w:sz w:val="20"/>
          <w:szCs w:val="20"/>
          <w:color w:val="auto"/>
        </w:rPr>
      </w:pPr>
    </w:p>
    <w:p>
      <w:pPr>
        <w:ind w:right="320"/>
        <w:spacing w:after="0" w:line="274" w:lineRule="auto"/>
        <w:rPr>
          <w:sz w:val="20"/>
          <w:szCs w:val="20"/>
          <w:color w:val="auto"/>
        </w:rPr>
      </w:pPr>
      <w:r>
        <w:rPr>
          <w:rFonts w:ascii="Arial" w:cs="Arial" w:eastAsia="Arial" w:hAnsi="Arial"/>
          <w:sz w:val="13"/>
          <w:szCs w:val="13"/>
          <w:color w:val="auto"/>
        </w:rPr>
        <w:t>The K1 carries all the relevant features from the K3 and K5 but in a stationary format. In 2020, the Company added elevated body temperature sensing capabilities to this model. The K1 can be used indoors or outdoors and especially at ingress/egress points for both people and vehicles.</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color w:val="auto"/>
        </w:rPr>
        <w:t>The dimensions of the K1 are as follows:</w:t>
      </w:r>
    </w:p>
    <w:p>
      <w:pPr>
        <w:spacing w:after="0" w:line="163" w:lineRule="exact"/>
        <w:rPr>
          <w:sz w:val="20"/>
          <w:szCs w:val="20"/>
          <w:color w:val="auto"/>
        </w:rPr>
      </w:pPr>
    </w:p>
    <w:p>
      <w:pPr>
        <w:ind w:left="460" w:hanging="227"/>
        <w:spacing w:after="0"/>
        <w:tabs>
          <w:tab w:leader="none" w:pos="460" w:val="left"/>
        </w:tabs>
        <w:numPr>
          <w:ilvl w:val="0"/>
          <w:numId w:val="23"/>
        </w:numPr>
        <w:rPr>
          <w:rFonts w:ascii="Arial" w:cs="Arial" w:eastAsia="Arial" w:hAnsi="Arial"/>
          <w:sz w:val="13"/>
          <w:szCs w:val="13"/>
          <w:color w:val="auto"/>
        </w:rPr>
      </w:pPr>
      <w:r>
        <w:rPr>
          <w:rFonts w:ascii="Arial" w:cs="Arial" w:eastAsia="Arial" w:hAnsi="Arial"/>
          <w:sz w:val="13"/>
          <w:szCs w:val="13"/>
          <w:color w:val="auto"/>
        </w:rPr>
        <w:t>Height: 5.75 feet</w:t>
      </w:r>
    </w:p>
    <w:p>
      <w:pPr>
        <w:spacing w:after="0" w:line="14" w:lineRule="exact"/>
        <w:rPr>
          <w:rFonts w:ascii="Arial" w:cs="Arial" w:eastAsia="Arial" w:hAnsi="Arial"/>
          <w:sz w:val="13"/>
          <w:szCs w:val="13"/>
          <w:color w:val="auto"/>
        </w:rPr>
      </w:pPr>
    </w:p>
    <w:p>
      <w:pPr>
        <w:ind w:left="460" w:hanging="227"/>
        <w:spacing w:after="0"/>
        <w:tabs>
          <w:tab w:leader="none" w:pos="460" w:val="left"/>
        </w:tabs>
        <w:numPr>
          <w:ilvl w:val="0"/>
          <w:numId w:val="23"/>
        </w:numPr>
        <w:rPr>
          <w:rFonts w:ascii="Arial" w:cs="Arial" w:eastAsia="Arial" w:hAnsi="Arial"/>
          <w:sz w:val="13"/>
          <w:szCs w:val="13"/>
          <w:color w:val="auto"/>
        </w:rPr>
      </w:pPr>
      <w:r>
        <w:rPr>
          <w:rFonts w:ascii="Arial" w:cs="Arial" w:eastAsia="Arial" w:hAnsi="Arial"/>
          <w:sz w:val="13"/>
          <w:szCs w:val="13"/>
          <w:color w:val="auto"/>
        </w:rPr>
        <w:t>Width: 2.7 feet</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23"/>
        </w:numPr>
        <w:rPr>
          <w:rFonts w:ascii="Arial" w:cs="Arial" w:eastAsia="Arial" w:hAnsi="Arial"/>
          <w:sz w:val="13"/>
          <w:szCs w:val="13"/>
          <w:color w:val="auto"/>
        </w:rPr>
      </w:pPr>
      <w:r>
        <w:rPr>
          <w:rFonts w:ascii="Arial" w:cs="Arial" w:eastAsia="Arial" w:hAnsi="Arial"/>
          <w:sz w:val="13"/>
          <w:szCs w:val="13"/>
          <w:color w:val="auto"/>
        </w:rPr>
        <w:t>Weight: 150 pounds</w:t>
      </w:r>
    </w:p>
    <w:p>
      <w:pPr>
        <w:spacing w:after="0" w:line="156"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KSOC</w:t>
      </w:r>
    </w:p>
    <w:p>
      <w:pPr>
        <w:spacing w:after="0" w:line="163" w:lineRule="exact"/>
        <w:rPr>
          <w:sz w:val="20"/>
          <w:szCs w:val="20"/>
          <w:color w:val="auto"/>
        </w:rPr>
      </w:pPr>
    </w:p>
    <w:p>
      <w:pPr>
        <w:ind w:right="40"/>
        <w:spacing w:after="0" w:line="262" w:lineRule="auto"/>
        <w:rPr>
          <w:sz w:val="20"/>
          <w:szCs w:val="20"/>
          <w:color w:val="auto"/>
        </w:rPr>
      </w:pPr>
      <w:r>
        <w:rPr>
          <w:rFonts w:ascii="Arial" w:cs="Arial" w:eastAsia="Arial" w:hAnsi="Arial"/>
          <w:sz w:val="13"/>
          <w:szCs w:val="13"/>
          <w:color w:val="auto"/>
        </w:rPr>
        <w:t>The KSOC is our intuitive, browser-based interface that, coupled with ASRs, provides security professionals with “smart mobile eyes and ears and voice – on the ground” Once alerted of an abnormal event, such as a person spotted during a specific time in a particular location, authorized users can view the live stream of data in the KSOC from each of the ASRs in the user’s network, accessing it from a security operations center or a remote laptop.</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Products in Development</w:t>
      </w:r>
    </w:p>
    <w:p>
      <w:pPr>
        <w:spacing w:after="0" w:line="165" w:lineRule="exact"/>
        <w:rPr>
          <w:sz w:val="20"/>
          <w:szCs w:val="20"/>
          <w:color w:val="auto"/>
        </w:rPr>
      </w:pPr>
    </w:p>
    <w:p>
      <w:pPr>
        <w:ind w:right="300"/>
        <w:spacing w:after="0" w:line="229" w:lineRule="auto"/>
        <w:rPr>
          <w:sz w:val="20"/>
          <w:szCs w:val="20"/>
          <w:color w:val="auto"/>
        </w:rPr>
      </w:pPr>
      <w:r>
        <w:rPr>
          <w:rFonts w:ascii="Arial" w:cs="Arial" w:eastAsia="Arial" w:hAnsi="Arial"/>
          <w:sz w:val="13"/>
          <w:szCs w:val="13"/>
          <w:color w:val="auto"/>
        </w:rPr>
        <w:t>The Company is in the process of developing the 5</w:t>
      </w:r>
      <w:r>
        <w:rPr>
          <w:rFonts w:ascii="Arial" w:cs="Arial" w:eastAsia="Arial" w:hAnsi="Arial"/>
          <w:sz w:val="21"/>
          <w:szCs w:val="21"/>
          <w:color w:val="auto"/>
          <w:vertAlign w:val="superscript"/>
        </w:rPr>
        <w:t>th</w:t>
      </w:r>
      <w:r>
        <w:rPr>
          <w:rFonts w:ascii="Arial" w:cs="Arial" w:eastAsia="Arial" w:hAnsi="Arial"/>
          <w:sz w:val="13"/>
          <w:szCs w:val="13"/>
          <w:color w:val="auto"/>
        </w:rPr>
        <w:t xml:space="preserve"> generation of the K5, which is planned for initial release during 2022, as well as the 2</w:t>
      </w:r>
      <w:r>
        <w:rPr>
          <w:rFonts w:ascii="Arial" w:cs="Arial" w:eastAsia="Arial" w:hAnsi="Arial"/>
          <w:sz w:val="21"/>
          <w:szCs w:val="21"/>
          <w:color w:val="auto"/>
          <w:vertAlign w:val="superscript"/>
        </w:rPr>
        <w:t>nd</w:t>
      </w:r>
      <w:r>
        <w:rPr>
          <w:rFonts w:ascii="Arial" w:cs="Arial" w:eastAsia="Arial" w:hAnsi="Arial"/>
          <w:sz w:val="13"/>
          <w:szCs w:val="13"/>
          <w:color w:val="auto"/>
        </w:rPr>
        <w:t xml:space="preserve"> generation K1. In addition, the K7 multi-terrain ASR is under development. The K7 is expected to have the same features as the K5, but to employ four wheels for use on more rugged outdoor terrain such as dirt, sand, and gravel. We expect that the K7 could be utilized at airfields, power utilities, borders, solar farms, wind farms or oil or gas fields. While this technology builds on a great deal of our technology stack, we anticipate that its development will require additional time before it can be launched into full-scale production.</w:t>
      </w:r>
    </w:p>
    <w:p>
      <w:pPr>
        <w:spacing w:after="0" w:line="151" w:lineRule="exact"/>
        <w:rPr>
          <w:sz w:val="20"/>
          <w:szCs w:val="20"/>
          <w:color w:val="auto"/>
        </w:rPr>
      </w:pPr>
    </w:p>
    <w:p>
      <w:pPr>
        <w:spacing w:after="0"/>
        <w:rPr>
          <w:sz w:val="20"/>
          <w:szCs w:val="20"/>
          <w:color w:val="auto"/>
        </w:rPr>
      </w:pPr>
      <w:r>
        <w:rPr>
          <w:rFonts w:ascii="Arial" w:cs="Arial" w:eastAsia="Arial" w:hAnsi="Arial"/>
          <w:sz w:val="13"/>
          <w:szCs w:val="13"/>
          <w:color w:val="auto"/>
        </w:rPr>
        <w:t>We are using existing working capital, in part, to finance the development of these new ASRs, capabilities and features.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Our current strategy is to focus on servicing the United States for the foreseeable future before considering global expansion.</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KNOC</w:t>
      </w:r>
    </w:p>
    <w:p>
      <w:pPr>
        <w:spacing w:after="0" w:line="163" w:lineRule="exact"/>
        <w:rPr>
          <w:sz w:val="20"/>
          <w:szCs w:val="20"/>
          <w:color w:val="auto"/>
        </w:rPr>
      </w:pPr>
    </w:p>
    <w:p>
      <w:pPr>
        <w:ind w:right="380"/>
        <w:spacing w:after="0" w:line="294" w:lineRule="auto"/>
        <w:rPr>
          <w:sz w:val="20"/>
          <w:szCs w:val="20"/>
          <w:color w:val="auto"/>
        </w:rPr>
      </w:pPr>
      <w:r>
        <w:rPr>
          <w:rFonts w:ascii="Arial" w:cs="Arial" w:eastAsia="Arial" w:hAnsi="Arial"/>
          <w:sz w:val="12"/>
          <w:szCs w:val="12"/>
          <w:color w:val="auto"/>
        </w:rPr>
        <w:t>The Company has built a custom set of tools that enables it to manage and monitor the network of ASRs operating in the field nationwide, which it refers to as the Knightscope Network Operations Center (“KNOC”). These tools allow our team to monitor the health of the ASRs down to the millisecond, with dozens of alerts related to critical indicators and statistics, including charging, software, navigation and temperatures. We also use the KNOC to execute over-the-air software upgrades, patches and other related items. The KNOC is staffed 24/7 by the Company in the U.S.</w:t>
      </w:r>
    </w:p>
    <w:p>
      <w:pPr>
        <w:spacing w:after="0" w:line="275" w:lineRule="exact"/>
        <w:rPr>
          <w:sz w:val="20"/>
          <w:szCs w:val="20"/>
          <w:color w:val="auto"/>
        </w:rPr>
      </w:pPr>
    </w:p>
    <w:p>
      <w:pPr>
        <w:jc w:val="center"/>
        <w:ind w:right="-139"/>
        <w:spacing w:after="0"/>
        <w:rPr>
          <w:sz w:val="20"/>
          <w:szCs w:val="20"/>
          <w:color w:val="auto"/>
        </w:rPr>
      </w:pPr>
      <w:r>
        <w:rPr>
          <w:rFonts w:ascii="Arial" w:cs="Arial" w:eastAsia="Arial" w:hAnsi="Arial"/>
          <w:sz w:val="13"/>
          <w:szCs w:val="13"/>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00"/>
          </w:cols>
          <w:pgMar w:left="300" w:top="698" w:right="399" w:bottom="1440" w:gutter="0" w:footer="0" w:header="0"/>
        </w:sectPr>
      </w:pPr>
    </w:p>
    <w:bookmarkStart w:id="24" w:name="page25"/>
    <w:bookmarkEnd w:id="24"/>
    <w:p>
      <w:pPr>
        <w:spacing w:after="0"/>
        <w:rPr>
          <w:sz w:val="20"/>
          <w:szCs w:val="20"/>
          <w:color w:val="auto"/>
        </w:rPr>
      </w:pPr>
      <w:r>
        <w:rPr>
          <w:rFonts w:ascii="Arial" w:cs="Arial" w:eastAsia="Arial" w:hAnsi="Arial"/>
          <w:sz w:val="13"/>
          <w:szCs w:val="13"/>
          <w:b w:val="1"/>
          <w:bCs w:val="1"/>
          <w:i w:val="1"/>
          <w:iCs w:val="1"/>
          <w:color w:val="auto"/>
        </w:rPr>
        <w:t>Market and Business Model</w:t>
      </w:r>
    </w:p>
    <w:p>
      <w:pPr>
        <w:spacing w:after="0" w:line="163" w:lineRule="exact"/>
        <w:rPr>
          <w:sz w:val="20"/>
          <w:szCs w:val="20"/>
          <w:color w:val="auto"/>
        </w:rPr>
      </w:pPr>
    </w:p>
    <w:p>
      <w:pPr>
        <w:ind w:right="240"/>
        <w:spacing w:after="0" w:line="274" w:lineRule="auto"/>
        <w:rPr>
          <w:sz w:val="20"/>
          <w:szCs w:val="20"/>
          <w:color w:val="auto"/>
        </w:rPr>
      </w:pPr>
      <w:r>
        <w:rPr>
          <w:rFonts w:ascii="Arial" w:cs="Arial" w:eastAsia="Arial" w:hAnsi="Arial"/>
          <w:sz w:val="13"/>
          <w:szCs w:val="13"/>
          <w:color w:val="auto"/>
        </w:rPr>
        <w:t>Knightscope’s products are designed to supplement the work of security professionals and are suitable for most environments that require security patrol coverage. In the United States there are more than 8,000 private security firms and over 19,000 law enforcement agencies – a fragmented marketplace that we believe offers numerous opportunities for disruption.</w:t>
      </w:r>
    </w:p>
    <w:p>
      <w:pPr>
        <w:spacing w:after="0" w:line="128"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We have used a large portion of our working capital to scale our production of ASRs to enable us to sell our MaaS offering to clients nationwide. With nationwide expansion in mind, we have partnered with one of our strategic investors, Konica Minolta, Inc., to train their technicians, which number over 2,000 across the United States, to service, maintain and support our machines-in-network and assist us with our nationwide scaling efforts.</w:t>
      </w:r>
    </w:p>
    <w:p>
      <w:pPr>
        <w:spacing w:after="0" w:line="136" w:lineRule="exact"/>
        <w:rPr>
          <w:sz w:val="20"/>
          <w:szCs w:val="20"/>
          <w:color w:val="auto"/>
        </w:rPr>
      </w:pPr>
    </w:p>
    <w:p>
      <w:pPr>
        <w:ind w:right="140"/>
        <w:spacing w:after="0" w:line="317" w:lineRule="auto"/>
        <w:rPr>
          <w:sz w:val="20"/>
          <w:szCs w:val="20"/>
          <w:color w:val="auto"/>
        </w:rPr>
      </w:pPr>
      <w:r>
        <w:rPr>
          <w:rFonts w:ascii="Arial" w:cs="Arial" w:eastAsia="Arial" w:hAnsi="Arial"/>
          <w:sz w:val="12"/>
          <w:szCs w:val="12"/>
          <w:color w:val="auto"/>
        </w:rPr>
        <w:t>Knightscope operates on a MaaS business model. We enter into annual subscription agreements that range in monthly revenues between $3,300 and $8,150 per ASR, depending on the ASR model and/or selected offering package. We believe that this price range offers a better economic proposition for our clients relative to a human guard or a mobile vehicle patrol unit operating 24/7.</w:t>
      </w:r>
    </w:p>
    <w:p>
      <w:pPr>
        <w:spacing w:after="0" w:line="105" w:lineRule="exact"/>
        <w:rPr>
          <w:sz w:val="20"/>
          <w:szCs w:val="20"/>
          <w:color w:val="auto"/>
        </w:rPr>
      </w:pPr>
    </w:p>
    <w:p>
      <w:pPr>
        <w:ind w:right="20"/>
        <w:spacing w:after="0" w:line="255" w:lineRule="auto"/>
        <w:rPr>
          <w:sz w:val="20"/>
          <w:szCs w:val="20"/>
          <w:color w:val="auto"/>
        </w:rPr>
      </w:pPr>
      <w:r>
        <w:rPr>
          <w:rFonts w:ascii="Arial" w:cs="Arial" w:eastAsia="Arial" w:hAnsi="Arial"/>
          <w:sz w:val="13"/>
          <w:szCs w:val="13"/>
          <w:color w:val="auto"/>
        </w:rPr>
        <w:t>We market our products at trade shows both live and virtual, including GSX, ISC West, ISC East as well as Company-sponsored private events and on-site private demonstrations during the pre-pandemic period. The Company has been able to successfully sell new contracts through virtual private demonstrations during the pandemic and is embarking on an innovative “Robot Roadshow” during the fourth quarter of 2021. The initiative entails a cross country tour of a physical “Pod” housing numerous ASRs providing a one-on-one hybrid offline/online selling technique with in-person robots and telepresence sales staff. Furthermore, we have significantly increased resources dedicated to achieving Authority-to-Operate ("ATO") from the Federal Risk and Authorization Management Program ("FedRamp"), targeted for the end 2022. The federal government adopted the Cloud First Policy, which requires all cloud service providers that hold federal data to be FedRamp certified. FedRamp compliance will enable federal agencies to do business with Knightscope.</w:t>
      </w:r>
    </w:p>
    <w:p>
      <w:pPr>
        <w:spacing w:after="0" w:line="142" w:lineRule="exact"/>
        <w:rPr>
          <w:sz w:val="20"/>
          <w:szCs w:val="20"/>
          <w:color w:val="auto"/>
        </w:rPr>
      </w:pPr>
    </w:p>
    <w:p>
      <w:pPr>
        <w:spacing w:after="0"/>
        <w:rPr>
          <w:sz w:val="20"/>
          <w:szCs w:val="20"/>
          <w:color w:val="auto"/>
        </w:rPr>
      </w:pPr>
      <w:r>
        <w:rPr>
          <w:rFonts w:ascii="Arial" w:cs="Arial" w:eastAsia="Arial" w:hAnsi="Arial"/>
          <w:sz w:val="13"/>
          <w:szCs w:val="13"/>
          <w:color w:val="auto"/>
        </w:rPr>
        <w:t>We regularly advertise in the media through various online and offline channels.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Competition</w:t>
      </w:r>
    </w:p>
    <w:p>
      <w:pPr>
        <w:spacing w:after="0" w:line="163" w:lineRule="exact"/>
        <w:rPr>
          <w:sz w:val="20"/>
          <w:szCs w:val="20"/>
          <w:color w:val="auto"/>
        </w:rPr>
      </w:pPr>
    </w:p>
    <w:p>
      <w:pPr>
        <w:spacing w:after="0" w:line="283" w:lineRule="auto"/>
        <w:rPr>
          <w:sz w:val="20"/>
          <w:szCs w:val="20"/>
          <w:color w:val="auto"/>
        </w:rPr>
      </w:pPr>
      <w:r>
        <w:rPr>
          <w:rFonts w:ascii="Arial" w:cs="Arial" w:eastAsia="Arial" w:hAnsi="Arial"/>
          <w:sz w:val="12"/>
          <w:szCs w:val="12"/>
          <w:color w:val="auto"/>
        </w:rPr>
        <w:t>At the moment, we are not aware of any direct competitors in the advanced physical security technology space that have viable commercial products in the United States, outdoors and indoors, at the same scale as Knightscope with actual paying clients. It is a common misconception among some people outside of the security industry that we compete against closed-circuit television (CCTV) providers. They are not, in fact, competitive products because cameras do not provide a physical presence, are typically used for forensics after an event, and do not offer a client the plethora of capabilities available in an ASR/KSOC combination. We believe that having these two types of systems working together provides a more holistic approach to promoting safety and reducing crime. While traditional human guards provide a closer comparator or competitor in some cases, we believe that utilizing our “Software+Hardware+Humans” approach is much more effective.</w:t>
      </w:r>
    </w:p>
    <w:p>
      <w:pPr>
        <w:spacing w:after="0" w:line="125" w:lineRule="exact"/>
        <w:rPr>
          <w:sz w:val="20"/>
          <w:szCs w:val="20"/>
          <w:color w:val="auto"/>
        </w:rPr>
      </w:pPr>
    </w:p>
    <w:p>
      <w:pPr>
        <w:spacing w:after="0" w:line="283" w:lineRule="auto"/>
        <w:rPr>
          <w:sz w:val="20"/>
          <w:szCs w:val="20"/>
          <w:color w:val="auto"/>
        </w:rPr>
      </w:pPr>
      <w:r>
        <w:rPr>
          <w:rFonts w:ascii="Arial" w:cs="Arial" w:eastAsia="Arial" w:hAnsi="Arial"/>
          <w:sz w:val="12"/>
          <w:szCs w:val="12"/>
          <w:color w:val="auto"/>
        </w:rPr>
        <w:t>We are aware of a self-funded start-up, SMP Robotics Services Corp. (“SMP”), which produces an outdoor autonomous security platform that it markets through third-party distributors and is now primarily focused on international markets. We had previously listed Gamma 2 Robotics and SHARP Electronics as potential competitors in this space. However, according to industry sources, we understand that both Gamma 2 Robotics and SHARP Electronics have ceased operations in the security robot space after failed attempts to enter the market and SMP also ceased efforts with its North American distributor. Cobalt Robotics, an early-stage company, announced in 2016 that it had released a semi-autonomous mobile robot designed for indoor security applications on a trial pilot and in June 2019 that it completed its Series B financing. Cobalt, who is exclusively focused on indoor applications, may be considered a partial competitor, although they are not fully autonomous and more of a telepresence security guard offering.</w:t>
      </w:r>
    </w:p>
    <w:p>
      <w:pPr>
        <w:spacing w:after="0" w:line="125" w:lineRule="exact"/>
        <w:rPr>
          <w:sz w:val="20"/>
          <w:szCs w:val="20"/>
          <w:color w:val="auto"/>
        </w:rPr>
      </w:pPr>
    </w:p>
    <w:p>
      <w:pPr>
        <w:jc w:val="both"/>
        <w:ind w:right="140"/>
        <w:spacing w:after="0" w:line="294" w:lineRule="auto"/>
        <w:rPr>
          <w:sz w:val="20"/>
          <w:szCs w:val="20"/>
          <w:color w:val="auto"/>
        </w:rPr>
      </w:pPr>
      <w:r>
        <w:rPr>
          <w:rFonts w:ascii="Arial" w:cs="Arial" w:eastAsia="Arial" w:hAnsi="Arial"/>
          <w:sz w:val="12"/>
          <w:szCs w:val="12"/>
          <w:color w:val="auto"/>
        </w:rPr>
        <w:t>We compete indirectly with private physical security firms that provide clients with security personnel and other security services. Our ASRs offer clients a significant cost reduction relative to the cost of human security guards. In addition, ASRs offer significantly more capabilities, such as license plate detection, data gathering, thermal imaging and people detection that are delivered consistently, on a 24-hour, 7 day per week basis, without regular human intervention. In certain cases, our technology complements and improves the operations of traditional security firms.</w:t>
      </w:r>
    </w:p>
    <w:p>
      <w:pPr>
        <w:spacing w:after="0" w:line="119"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Manufacturing and Suppliers</w:t>
      </w:r>
    </w:p>
    <w:p>
      <w:pPr>
        <w:spacing w:after="0" w:line="163" w:lineRule="exact"/>
        <w:rPr>
          <w:sz w:val="20"/>
          <w:szCs w:val="20"/>
          <w:color w:val="auto"/>
        </w:rPr>
      </w:pPr>
    </w:p>
    <w:p>
      <w:pPr>
        <w:ind w:right="60"/>
        <w:spacing w:after="0" w:line="255" w:lineRule="auto"/>
        <w:rPr>
          <w:sz w:val="20"/>
          <w:szCs w:val="20"/>
          <w:color w:val="auto"/>
        </w:rPr>
      </w:pPr>
      <w:r>
        <w:rPr>
          <w:rFonts w:ascii="Arial" w:cs="Arial" w:eastAsia="Arial" w:hAnsi="Arial"/>
          <w:sz w:val="13"/>
          <w:szCs w:val="13"/>
          <w:color w:val="auto"/>
        </w:rPr>
        <w:t>Knightscope assembles its ASRs at its Mountain View, California headquarters from components manufactured by more than 50 suppliers. The Company’s top three suppliers, measured by spending, are Naprotek, Inc., based in California, Fast Radius, based in Illinois, and E and M Electric and Machinery Inc., based in California. The Company is not highly dependent on any one supplier and believes it can source components from other suppliers and has done so when necessary. Under pre-pandemic conditions, the manufacturing lead-time for two-thirds of the Company’s components is 30 to 60 days or less, with the remainder requiring up to 90 days. Current lead times for components and systems are consistent with pre-pandemic lead times for the majority of the bill-of-material but can vary widely on a few key components. The Company has taken certain countermeasures including, but not limited to, adjusting production schedules, renegotiating supply agreements, re-designing systems, using multiple worldwide brokers, and purchasing a much larger amount of key parts in advance.</w:t>
      </w:r>
    </w:p>
    <w:p>
      <w:pPr>
        <w:spacing w:after="0" w:line="298" w:lineRule="exact"/>
        <w:rPr>
          <w:sz w:val="20"/>
          <w:szCs w:val="20"/>
          <w:color w:val="auto"/>
        </w:rPr>
      </w:pPr>
    </w:p>
    <w:p>
      <w:pPr>
        <w:jc w:val="center"/>
        <w:ind w:right="-159"/>
        <w:spacing w:after="0"/>
        <w:rPr>
          <w:sz w:val="20"/>
          <w:szCs w:val="20"/>
          <w:color w:val="auto"/>
        </w:rPr>
      </w:pPr>
      <w:r>
        <w:rPr>
          <w:rFonts w:ascii="Arial" w:cs="Arial" w:eastAsia="Arial" w:hAnsi="Arial"/>
          <w:sz w:val="13"/>
          <w:szCs w:val="13"/>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160"/>
          </w:cols>
          <w:pgMar w:left="300" w:top="698" w:right="439" w:bottom="1440" w:gutter="0" w:footer="0" w:header="0"/>
        </w:sectPr>
      </w:pPr>
    </w:p>
    <w:bookmarkStart w:id="25" w:name="page26"/>
    <w:bookmarkEnd w:id="25"/>
    <w:p>
      <w:pPr>
        <w:spacing w:after="0"/>
        <w:rPr>
          <w:sz w:val="20"/>
          <w:szCs w:val="20"/>
          <w:color w:val="auto"/>
        </w:rPr>
      </w:pPr>
      <w:r>
        <w:rPr>
          <w:rFonts w:ascii="Arial" w:cs="Arial" w:eastAsia="Arial" w:hAnsi="Arial"/>
          <w:sz w:val="13"/>
          <w:szCs w:val="13"/>
          <w:b w:val="1"/>
          <w:bCs w:val="1"/>
          <w:i w:val="1"/>
          <w:iCs w:val="1"/>
          <w:color w:val="auto"/>
        </w:rPr>
        <w:t>Research and Development</w:t>
      </w:r>
    </w:p>
    <w:p>
      <w:pPr>
        <w:spacing w:after="0" w:line="163" w:lineRule="exact"/>
        <w:rPr>
          <w:sz w:val="20"/>
          <w:szCs w:val="20"/>
          <w:color w:val="auto"/>
        </w:rPr>
      </w:pPr>
    </w:p>
    <w:p>
      <w:pPr>
        <w:ind w:right="100"/>
        <w:spacing w:after="0" w:line="258" w:lineRule="auto"/>
        <w:rPr>
          <w:sz w:val="20"/>
          <w:szCs w:val="20"/>
          <w:color w:val="auto"/>
        </w:rPr>
      </w:pPr>
      <w:r>
        <w:rPr>
          <w:rFonts w:ascii="Arial" w:cs="Arial" w:eastAsia="Arial" w:hAnsi="Arial"/>
          <w:sz w:val="13"/>
          <w:szCs w:val="13"/>
          <w:color w:val="auto"/>
        </w:rPr>
        <w:t>For the years ended December 31, 2020 and 2019 and the six months ended June 30, 2021, we incurred $3,244,684, $3,083,695 and $2,655,149, respectively, for research and development expenses, respectively. We expect to continue to incur increased levels of expenditures on research and development. Our research and development efforts focus primarily on the development of robust base technology as well as scaling efforts and our FedRamp certification efforts in 2021. In addition, we will continue to enhance our ASRs’ capabilities and to develop a four-wheel version of our ASR technology, the K7, which is intended to operate in a wider range of challenging terrains.</w:t>
      </w:r>
    </w:p>
    <w:p>
      <w:pPr>
        <w:spacing w:after="0" w:line="139"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Employees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As of September 30, 2021, we had 53 full-time employees working primarily out of our combined headquarters and production facility in Mountain View, California.</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Intellectual Property</w:t>
      </w:r>
    </w:p>
    <w:p>
      <w:pPr>
        <w:spacing w:after="0" w:line="163" w:lineRule="exact"/>
        <w:rPr>
          <w:sz w:val="20"/>
          <w:szCs w:val="20"/>
          <w:color w:val="auto"/>
        </w:rPr>
      </w:pPr>
    </w:p>
    <w:p>
      <w:pPr>
        <w:spacing w:after="0" w:line="314" w:lineRule="auto"/>
        <w:rPr>
          <w:sz w:val="20"/>
          <w:szCs w:val="20"/>
          <w:color w:val="auto"/>
        </w:rPr>
      </w:pPr>
      <w:r>
        <w:rPr>
          <w:rFonts w:ascii="Arial" w:cs="Arial" w:eastAsia="Arial" w:hAnsi="Arial"/>
          <w:sz w:val="11"/>
          <w:szCs w:val="11"/>
          <w:color w:val="auto"/>
        </w:rPr>
        <w:t>The Company holds nine patents collectively covering its ASRs (“Autonomous Security Robots and Systems” U.S. Patent Nos. 9,329,597, 9,910,436, 10,579,060, 10,919,163 and 10,279,488), the security data analysis and display features of the KSOC (U.S. Patent Nos. 9,792,434 and 10,514,837) and its parking monitor feature (U.S. Patent Nos. 9,773,413 and 10,311,731). The Company also has pending patent applications relating to its ASRs, KSOC, parking monitor feature, and behavioral autonomous technology. The Company has also filed one provisional patent, covering the ASRs’ behavioral autonomous technology relating to visible weapon detection. The Company owns a trademark registration for its name “Knightscope” in the U.S. The Company relies and expects to continue to rely on a combination of confidentiality agreements with its employees, consultants, and third parties with whom it has relationships, as well as trademark, copyright, patent, trade secret, and domain name protection laws, to protect its proprietary rights.</w:t>
      </w:r>
    </w:p>
    <w:p>
      <w:pPr>
        <w:spacing w:after="0" w:line="111"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Litigation</w:t>
      </w:r>
    </w:p>
    <w:p>
      <w:pPr>
        <w:spacing w:after="0" w:line="163" w:lineRule="exact"/>
        <w:rPr>
          <w:sz w:val="20"/>
          <w:szCs w:val="20"/>
          <w:color w:val="auto"/>
        </w:rPr>
      </w:pPr>
    </w:p>
    <w:p>
      <w:pPr>
        <w:jc w:val="both"/>
        <w:ind w:right="100"/>
        <w:spacing w:after="0" w:line="262" w:lineRule="auto"/>
        <w:rPr>
          <w:sz w:val="20"/>
          <w:szCs w:val="20"/>
          <w:color w:val="auto"/>
        </w:rPr>
      </w:pPr>
      <w:r>
        <w:rPr>
          <w:rFonts w:ascii="Arial" w:cs="Arial" w:eastAsia="Arial" w:hAnsi="Arial"/>
          <w:sz w:val="13"/>
          <w:szCs w:val="13"/>
          <w:color w:val="auto"/>
        </w:rPr>
        <w:t>The Company is not involved in any litigation, and its management is not aware of any pending or threatened legal actions relating to its intellectual property, conduct of business activities or otherwise. From time to time, we may be involved in pending or threatened claims relating to contract disputes, employment, intellectual property and other matters that arise in the normal course of our business, which we do not deem to be material to the business.</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The Company’s Property</w:t>
      </w:r>
    </w:p>
    <w:p>
      <w:pPr>
        <w:spacing w:after="0" w:line="163" w:lineRule="exact"/>
        <w:rPr>
          <w:sz w:val="20"/>
          <w:szCs w:val="20"/>
          <w:color w:val="auto"/>
        </w:rPr>
      </w:pPr>
    </w:p>
    <w:p>
      <w:pPr>
        <w:jc w:val="both"/>
        <w:ind w:right="220"/>
        <w:spacing w:after="0" w:line="262" w:lineRule="auto"/>
        <w:rPr>
          <w:sz w:val="20"/>
          <w:szCs w:val="20"/>
          <w:color w:val="auto"/>
        </w:rPr>
      </w:pPr>
      <w:r>
        <w:rPr>
          <w:rFonts w:ascii="Arial" w:cs="Arial" w:eastAsia="Arial" w:hAnsi="Arial"/>
          <w:sz w:val="13"/>
          <w:szCs w:val="13"/>
          <w:color w:val="auto"/>
        </w:rPr>
        <w:t>Knightscope currently leases its premises and owns no significant plant or equipment. The Company’s nearly 15,000 square foot facility in Mountain View, California serves as its headquarters, where it designs, engineers, tests, manufactures and supports all of its technologies. The Company wholly owns its ASRs and typically builds in batches based on client demand refraining where possible in stocking inventory or finished products.</w:t>
      </w:r>
    </w:p>
    <w:p>
      <w:pPr>
        <w:spacing w:after="0" w:line="293" w:lineRule="exact"/>
        <w:rPr>
          <w:sz w:val="20"/>
          <w:szCs w:val="20"/>
          <w:color w:val="auto"/>
        </w:rPr>
      </w:pPr>
    </w:p>
    <w:p>
      <w:pPr>
        <w:jc w:val="center"/>
        <w:ind w:right="-139"/>
        <w:spacing w:after="0"/>
        <w:rPr>
          <w:sz w:val="20"/>
          <w:szCs w:val="20"/>
          <w:color w:val="auto"/>
        </w:rPr>
      </w:pPr>
      <w:r>
        <w:rPr>
          <w:rFonts w:ascii="Arial" w:cs="Arial" w:eastAsia="Arial" w:hAnsi="Arial"/>
          <w:sz w:val="13"/>
          <w:szCs w:val="13"/>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180"/>
          </w:cols>
          <w:pgMar w:left="300" w:top="698" w:right="419" w:bottom="1440" w:gutter="0" w:footer="0" w:header="0"/>
        </w:sectPr>
      </w:pPr>
    </w:p>
    <w:bookmarkStart w:id="26" w:name="page27"/>
    <w:bookmarkEnd w:id="26"/>
    <w:p>
      <w:pPr>
        <w:spacing w:after="0"/>
        <w:rPr>
          <w:sz w:val="20"/>
          <w:szCs w:val="20"/>
          <w:color w:val="auto"/>
        </w:rPr>
      </w:pPr>
      <w:r>
        <w:rPr>
          <w:rFonts w:ascii="Arial" w:cs="Arial" w:eastAsia="Arial" w:hAnsi="Arial"/>
          <w:sz w:val="13"/>
          <w:szCs w:val="13"/>
          <w:b w:val="1"/>
          <w:bCs w:val="1"/>
          <w:color w:val="auto"/>
        </w:rPr>
        <w:t>MANAGEMENT’S DISCUSSION AND ANALYSIS OF FINANCIAL CONDITION AND RESULTS OF OPERATIONS</w:t>
      </w:r>
    </w:p>
    <w:p>
      <w:pPr>
        <w:spacing w:after="0" w:line="167" w:lineRule="exact"/>
        <w:rPr>
          <w:sz w:val="20"/>
          <w:szCs w:val="20"/>
          <w:color w:val="auto"/>
        </w:rPr>
      </w:pPr>
    </w:p>
    <w:p>
      <w:pPr>
        <w:ind w:right="300"/>
        <w:spacing w:after="0" w:line="262" w:lineRule="auto"/>
        <w:rPr>
          <w:sz w:val="20"/>
          <w:szCs w:val="20"/>
          <w:color w:val="auto"/>
        </w:rPr>
      </w:pPr>
      <w:r>
        <w:rPr>
          <w:rFonts w:ascii="Arial" w:cs="Arial" w:eastAsia="Arial" w:hAnsi="Arial"/>
          <w:sz w:val="13"/>
          <w:szCs w:val="13"/>
          <w:color w:val="auto"/>
        </w:rPr>
        <w:t>The following discussion of our financial condition and results of operations should be read in conjunction with the financial statements and the related notes included elsewhere in this Offering Circular. The following discussion contains forward-looking statements that reflect our plans, estimates, and beliefs. Our actual results could differ significantly from those discussed in the forward-looking statements. Unless otherwise indicated, the latest results discussed below are as of June 30, 2021.</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Overview and Operations</w:t>
      </w:r>
    </w:p>
    <w:p>
      <w:pPr>
        <w:spacing w:after="0" w:line="163" w:lineRule="exact"/>
        <w:rPr>
          <w:sz w:val="20"/>
          <w:szCs w:val="20"/>
          <w:color w:val="auto"/>
        </w:rPr>
      </w:pPr>
    </w:p>
    <w:p>
      <w:pPr>
        <w:ind w:right="140"/>
        <w:spacing w:after="0" w:line="256" w:lineRule="auto"/>
        <w:rPr>
          <w:sz w:val="20"/>
          <w:szCs w:val="20"/>
          <w:color w:val="auto"/>
        </w:rPr>
      </w:pPr>
      <w:r>
        <w:rPr>
          <w:rFonts w:ascii="Arial" w:cs="Arial" w:eastAsia="Arial" w:hAnsi="Arial"/>
          <w:sz w:val="13"/>
          <w:szCs w:val="13"/>
          <w:color w:val="auto"/>
        </w:rPr>
        <w:t>We are a technology company located in Silicon Valley that develops, builds and deploys advanced physical security technology utilizing autonomous robots, analytics and a user interface for patrolling both indoor and outdoor environments. Knightscope, Inc. was founded in Mountain View, California in April 2013 and has since developed the revolutionary Knightscope K5, K3 and K1 ASRs primarily through funding from both strategic and private investors. The Company operates on a MaaS business model. Since June 2016, we have recognized monthly revenue ranging between $3,300 - $8,150 per ASR, which includes the ASR rental as well as setup, configuration, maintenance, service, support, data transfer, KSOC access, charging station and unlimited software, firmware and select hardware upgrades, when and if available, and basic graphics.</w:t>
      </w:r>
    </w:p>
    <w:p>
      <w:pPr>
        <w:spacing w:after="0" w:line="141"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Our ASRs are fully autonomous, including autonomous recharging. There is minimal to no downtime during recharging, as the ASRs are still operational while charging – and charging stations are typically located in a prominent location that would be suitable as an observation point or an ingress/egress point.</w:t>
      </w:r>
    </w:p>
    <w:p>
      <w:pPr>
        <w:spacing w:after="0" w:line="128" w:lineRule="exact"/>
        <w:rPr>
          <w:sz w:val="20"/>
          <w:szCs w:val="20"/>
          <w:color w:val="auto"/>
        </w:rPr>
      </w:pPr>
    </w:p>
    <w:p>
      <w:pPr>
        <w:ind w:right="80"/>
        <w:spacing w:after="0" w:line="274" w:lineRule="auto"/>
        <w:rPr>
          <w:sz w:val="20"/>
          <w:szCs w:val="20"/>
          <w:color w:val="auto"/>
        </w:rPr>
      </w:pPr>
      <w:r>
        <w:rPr>
          <w:rFonts w:ascii="Arial" w:cs="Arial" w:eastAsia="Arial" w:hAnsi="Arial"/>
          <w:sz w:val="13"/>
          <w:szCs w:val="13"/>
          <w:color w:val="auto"/>
        </w:rPr>
        <w:t>Our current primary focus is on the deployment and marketing of our core technologies. We continue to generate client orders on K1, K3 and K5 ASRs, and our production of machines is expected to continue out of our primary corporate headquarters in Mountain View, California. Our ability to fulfill client orders is dependent on ongoing fundraising including that from this offering.</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Components of Results of Operations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i w:val="1"/>
          <w:iCs w:val="1"/>
          <w:color w:val="auto"/>
        </w:rPr>
        <w:t>Revenue</w:t>
      </w:r>
    </w:p>
    <w:p>
      <w:pPr>
        <w:spacing w:after="0" w:line="163" w:lineRule="exact"/>
        <w:rPr>
          <w:sz w:val="20"/>
          <w:szCs w:val="20"/>
          <w:color w:val="auto"/>
        </w:rPr>
      </w:pPr>
    </w:p>
    <w:p>
      <w:pPr>
        <w:ind w:right="60"/>
        <w:spacing w:after="0" w:line="368" w:lineRule="auto"/>
        <w:rPr>
          <w:sz w:val="20"/>
          <w:szCs w:val="20"/>
          <w:color w:val="auto"/>
        </w:rPr>
      </w:pPr>
      <w:r>
        <w:rPr>
          <w:rFonts w:ascii="Arial" w:cs="Arial" w:eastAsia="Arial" w:hAnsi="Arial"/>
          <w:sz w:val="11"/>
          <w:szCs w:val="11"/>
          <w:color w:val="auto"/>
        </w:rPr>
        <w:t>Our revenues consist of MaaS subscriptions and other revenues. We provide our subscriptions to our clients pursuant to contractual arrangements that range in duration, with typical duration of one year. We offer our subscriptions based on the functionalities and services selected by a client, and generally our subscription arrangements automatically renew for additional periods at the end of the initial subscription term.</w:t>
      </w:r>
    </w:p>
    <w:p>
      <w:pPr>
        <w:spacing w:after="0" w:line="81" w:lineRule="exact"/>
        <w:rPr>
          <w:sz w:val="20"/>
          <w:szCs w:val="20"/>
          <w:color w:val="auto"/>
        </w:rPr>
      </w:pPr>
    </w:p>
    <w:p>
      <w:pPr>
        <w:ind w:right="460"/>
        <w:spacing w:after="0" w:line="274" w:lineRule="auto"/>
        <w:rPr>
          <w:sz w:val="20"/>
          <w:szCs w:val="20"/>
          <w:color w:val="auto"/>
        </w:rPr>
      </w:pPr>
      <w:r>
        <w:rPr>
          <w:rFonts w:ascii="Arial" w:cs="Arial" w:eastAsia="Arial" w:hAnsi="Arial"/>
          <w:sz w:val="13"/>
          <w:szCs w:val="13"/>
          <w:color w:val="auto"/>
        </w:rPr>
        <w:t>We typically bill our MaaS subscription fees on a monthly, quarterly or annual basis in advance. We recognize MaaS subscription revenue over the term of the agreement. Amounts billed in excess of revenue recognized for the period are reported as deferred revenue on our balance sheet.</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color w:val="auto"/>
        </w:rPr>
        <w:t>Revenue is recognized beginning when products/services have been delivered to the client.</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i w:val="1"/>
          <w:iCs w:val="1"/>
          <w:color w:val="auto"/>
        </w:rPr>
        <w:t>Cost of Services</w:t>
      </w:r>
    </w:p>
    <w:p>
      <w:pPr>
        <w:spacing w:after="0" w:line="163" w:lineRule="exact"/>
        <w:rPr>
          <w:sz w:val="20"/>
          <w:szCs w:val="20"/>
          <w:color w:val="auto"/>
        </w:rPr>
      </w:pPr>
    </w:p>
    <w:p>
      <w:pPr>
        <w:ind w:right="200"/>
        <w:spacing w:after="0" w:line="274" w:lineRule="auto"/>
        <w:rPr>
          <w:sz w:val="20"/>
          <w:szCs w:val="20"/>
          <w:color w:val="auto"/>
        </w:rPr>
      </w:pPr>
      <w:r>
        <w:rPr>
          <w:rFonts w:ascii="Arial" w:cs="Arial" w:eastAsia="Arial" w:hAnsi="Arial"/>
          <w:sz w:val="13"/>
          <w:szCs w:val="13"/>
          <w:color w:val="auto"/>
        </w:rPr>
        <w:t>Our cost of MaaS subscriptions primarily consisted of routine maintenance, depreciation, third party software licensing costs, deployment related costs, ASR communications costs, data storage costs and facilities allocations, plus direct and indirect compensation and benefits.</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i w:val="1"/>
          <w:iCs w:val="1"/>
          <w:color w:val="auto"/>
        </w:rPr>
        <w:t>Operating Expenses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We classify our operating expenses as research and development, sales and marketing, and general and administrative expenses.</w:t>
      </w:r>
    </w:p>
    <w:p>
      <w:pPr>
        <w:spacing w:after="0" w:line="163" w:lineRule="exact"/>
        <w:rPr>
          <w:sz w:val="20"/>
          <w:szCs w:val="20"/>
          <w:color w:val="auto"/>
        </w:rPr>
      </w:pPr>
    </w:p>
    <w:p>
      <w:pPr>
        <w:ind w:right="100"/>
        <w:spacing w:after="0" w:line="287" w:lineRule="auto"/>
        <w:rPr>
          <w:sz w:val="20"/>
          <w:szCs w:val="20"/>
          <w:color w:val="auto"/>
        </w:rPr>
      </w:pPr>
      <w:r>
        <w:rPr>
          <w:rFonts w:ascii="Arial" w:cs="Arial" w:eastAsia="Arial" w:hAnsi="Arial"/>
          <w:sz w:val="12"/>
          <w:szCs w:val="12"/>
          <w:color w:val="auto"/>
        </w:rPr>
        <w:t>Our research and development efforts are focused on developing new and expanded features for our products and improvements to our backend architecture. Research and development expenses consist primarily of personnel costs for employees and contractors, including share-based compensation expenses, and allocated costs of facilities and information technology and software tools. We expense research and development costs as incurred. We believe that continued investment in our products is important for our future growth, and we expect our research and development expenses to continue to increase in absolute dollars for the foreseeable future, although these expenses may fluctuate as a percentage of our total revenues from period to period depending on the timing of these expenses.</w:t>
      </w:r>
    </w:p>
    <w:p>
      <w:pPr>
        <w:spacing w:after="0" w:line="278"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60"/>
          </w:cols>
          <w:pgMar w:left="300" w:top="694" w:right="339" w:bottom="1440" w:gutter="0" w:footer="0" w:header="0"/>
        </w:sectPr>
      </w:pPr>
    </w:p>
    <w:bookmarkStart w:id="27" w:name="page28"/>
    <w:bookmarkEnd w:id="27"/>
    <w:p>
      <w:pPr>
        <w:ind w:right="40"/>
        <w:spacing w:after="0" w:line="258" w:lineRule="auto"/>
        <w:rPr>
          <w:sz w:val="20"/>
          <w:szCs w:val="20"/>
          <w:color w:val="auto"/>
        </w:rPr>
      </w:pPr>
      <w:r>
        <w:rPr>
          <w:rFonts w:ascii="Arial" w:cs="Arial" w:eastAsia="Arial" w:hAnsi="Arial"/>
          <w:sz w:val="13"/>
          <w:szCs w:val="13"/>
          <w:color w:val="auto"/>
        </w:rPr>
        <w:t>Sales and marketing expenses are the largest component of our operating expenses and consist primarily of personnel costs for employees and contractors directly associated with our sales and marketing activities including share-based compensation expenses, advertising expenses, public relations, trade shows, travel expenses, marketing and promotional activities, and allocated costs of facilities and information technology. We expect our sales and marketing expenses to continue to increase in absolute dollars for the foreseeable future as we expand our sales and marketing efforts and continue to build our brand, although these expenses may fluctuate as a percentage of our total revenues from period to period depending on the timing of these expenses.</w:t>
      </w:r>
    </w:p>
    <w:p>
      <w:pPr>
        <w:spacing w:after="0" w:line="139" w:lineRule="exact"/>
        <w:rPr>
          <w:sz w:val="20"/>
          <w:szCs w:val="20"/>
          <w:color w:val="auto"/>
        </w:rPr>
      </w:pPr>
    </w:p>
    <w:p>
      <w:pPr>
        <w:ind w:right="20"/>
        <w:spacing w:after="0" w:line="258" w:lineRule="auto"/>
        <w:rPr>
          <w:sz w:val="20"/>
          <w:szCs w:val="20"/>
          <w:color w:val="auto"/>
        </w:rPr>
      </w:pPr>
      <w:r>
        <w:rPr>
          <w:rFonts w:ascii="Arial" w:cs="Arial" w:eastAsia="Arial" w:hAnsi="Arial"/>
          <w:sz w:val="13"/>
          <w:szCs w:val="13"/>
          <w:color w:val="auto"/>
        </w:rPr>
        <w:t>General and administrative expenses consist primarily of personnel costs, including share-based compensation expenses, for employees engaged in infrastructure and administrative activities to support the day-to-day operations of our business. Other significant components of general and administrative expenses include professional service fees, allocated costs of facilities and information technology, and the costs of legal matters. We expect our general and administrative expenses to continue to increase in absolute dollars for the foreseeable future, although these expenses may fluctuate as a percentage of our total revenues from period to period, depending on the timing of these expenses.</w:t>
      </w:r>
    </w:p>
    <w:p>
      <w:pPr>
        <w:spacing w:after="0" w:line="139"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Six Months ended June 30, 2021 Compared to Six Months ended June 30, 2020</w:t>
      </w:r>
    </w:p>
    <w:p>
      <w:pPr>
        <w:spacing w:after="0" w:line="163" w:lineRule="exact"/>
        <w:rPr>
          <w:sz w:val="20"/>
          <w:szCs w:val="20"/>
          <w:color w:val="auto"/>
        </w:rPr>
      </w:pPr>
    </w:p>
    <w:p>
      <w:pPr>
        <w:ind w:right="340"/>
        <w:spacing w:after="0" w:line="274" w:lineRule="auto"/>
        <w:rPr>
          <w:sz w:val="20"/>
          <w:szCs w:val="20"/>
          <w:color w:val="auto"/>
        </w:rPr>
      </w:pPr>
      <w:r>
        <w:rPr>
          <w:rFonts w:ascii="Arial" w:cs="Arial" w:eastAsia="Arial" w:hAnsi="Arial"/>
          <w:sz w:val="13"/>
          <w:szCs w:val="13"/>
          <w:color w:val="auto"/>
        </w:rPr>
        <w:t>The following tables set forth selected statements of operations data and such data as a percentage of total revenues. The historical results presented below are not necessarily indicative of the results that may be expected for any future period:</w:t>
      </w:r>
    </w:p>
    <w:p>
      <w:pPr>
        <w:spacing w:after="0" w:line="134"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20" w:type="dxa"/>
            <w:vAlign w:val="bottom"/>
          </w:tcPr>
          <w:p>
            <w:pPr>
              <w:spacing w:after="0"/>
              <w:rPr>
                <w:sz w:val="14"/>
                <w:szCs w:val="14"/>
                <w:color w:val="auto"/>
              </w:rPr>
            </w:pPr>
          </w:p>
        </w:tc>
        <w:tc>
          <w:tcPr>
            <w:tcW w:w="7900" w:type="dxa"/>
            <w:vAlign w:val="bottom"/>
          </w:tcPr>
          <w:p>
            <w:pPr>
              <w:spacing w:after="0"/>
              <w:rPr>
                <w:sz w:val="14"/>
                <w:szCs w:val="14"/>
                <w:color w:val="auto"/>
              </w:rPr>
            </w:pPr>
          </w:p>
        </w:tc>
        <w:tc>
          <w:tcPr>
            <w:tcW w:w="340" w:type="dxa"/>
            <w:vAlign w:val="bottom"/>
            <w:tcBorders>
              <w:bottom w:val="single" w:sz="8" w:color="auto"/>
            </w:tcBorders>
          </w:tcPr>
          <w:p>
            <w:pPr>
              <w:spacing w:after="0"/>
              <w:rPr>
                <w:sz w:val="14"/>
                <w:szCs w:val="14"/>
                <w:color w:val="auto"/>
              </w:rPr>
            </w:pPr>
          </w:p>
        </w:tc>
        <w:tc>
          <w:tcPr>
            <w:tcW w:w="2040" w:type="dxa"/>
            <w:vAlign w:val="bottom"/>
            <w:tcBorders>
              <w:bottom w:val="single" w:sz="8" w:color="auto"/>
            </w:tcBorders>
            <w:gridSpan w:val="3"/>
          </w:tcPr>
          <w:p>
            <w:pPr>
              <w:jc w:val="right"/>
              <w:spacing w:after="0"/>
              <w:rPr>
                <w:sz w:val="20"/>
                <w:szCs w:val="20"/>
                <w:color w:val="auto"/>
              </w:rPr>
            </w:pPr>
            <w:r>
              <w:rPr>
                <w:rFonts w:ascii="Arial" w:cs="Arial" w:eastAsia="Arial" w:hAnsi="Arial"/>
                <w:sz w:val="13"/>
                <w:szCs w:val="13"/>
                <w:b w:val="1"/>
                <w:bCs w:val="1"/>
                <w:color w:val="auto"/>
              </w:rPr>
              <w:t>Six months ended June 30,</w:t>
            </w:r>
          </w:p>
        </w:tc>
        <w:tc>
          <w:tcPr>
            <w:tcW w:w="880" w:type="dxa"/>
            <w:vAlign w:val="bottom"/>
            <w:tcBorders>
              <w:bottom w:val="single" w:sz="8" w:color="auto"/>
            </w:tcBorders>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7"/>
        </w:trPr>
        <w:tc>
          <w:tcPr>
            <w:tcW w:w="20" w:type="dxa"/>
            <w:vAlign w:val="bottom"/>
          </w:tcPr>
          <w:p>
            <w:pPr>
              <w:spacing w:after="0"/>
              <w:rPr>
                <w:sz w:val="13"/>
                <w:szCs w:val="13"/>
                <w:color w:val="auto"/>
              </w:rPr>
            </w:pPr>
          </w:p>
        </w:tc>
        <w:tc>
          <w:tcPr>
            <w:tcW w:w="7900" w:type="dxa"/>
            <w:vAlign w:val="bottom"/>
            <w:tcBorders>
              <w:bottom w:val="single" w:sz="8" w:color="CCEEFF"/>
            </w:tcBorders>
          </w:tcPr>
          <w:p>
            <w:pPr>
              <w:spacing w:after="0"/>
              <w:rPr>
                <w:sz w:val="13"/>
                <w:szCs w:val="13"/>
                <w:color w:val="auto"/>
              </w:rPr>
            </w:pPr>
          </w:p>
        </w:tc>
        <w:tc>
          <w:tcPr>
            <w:tcW w:w="340" w:type="dxa"/>
            <w:vAlign w:val="bottom"/>
            <w:tcBorders>
              <w:bottom w:val="single" w:sz="8" w:color="auto"/>
            </w:tcBorders>
          </w:tcPr>
          <w:p>
            <w:pPr>
              <w:spacing w:after="0"/>
              <w:rPr>
                <w:sz w:val="13"/>
                <w:szCs w:val="13"/>
                <w:color w:val="auto"/>
              </w:rPr>
            </w:pPr>
          </w:p>
        </w:tc>
        <w:tc>
          <w:tcPr>
            <w:tcW w:w="1140" w:type="dxa"/>
            <w:vAlign w:val="bottom"/>
            <w:tcBorders>
              <w:bottom w:val="single" w:sz="8" w:color="auto"/>
            </w:tcBorders>
          </w:tcPr>
          <w:p>
            <w:pPr>
              <w:jc w:val="right"/>
              <w:ind w:right="555"/>
              <w:spacing w:after="0"/>
              <w:rPr>
                <w:sz w:val="20"/>
                <w:szCs w:val="20"/>
                <w:color w:val="auto"/>
              </w:rPr>
            </w:pPr>
            <w:r>
              <w:rPr>
                <w:rFonts w:ascii="Arial" w:cs="Arial" w:eastAsia="Arial" w:hAnsi="Arial"/>
                <w:sz w:val="13"/>
                <w:szCs w:val="13"/>
                <w:b w:val="1"/>
                <w:bCs w:val="1"/>
                <w:color w:val="auto"/>
              </w:rPr>
              <w:t>2021</w:t>
            </w:r>
          </w:p>
        </w:tc>
        <w:tc>
          <w:tcPr>
            <w:tcW w:w="320" w:type="dxa"/>
            <w:vAlign w:val="bottom"/>
            <w:tcBorders>
              <w:bottom w:val="single" w:sz="8" w:color="CCEEFF"/>
            </w:tcBorders>
          </w:tcPr>
          <w:p>
            <w:pPr>
              <w:spacing w:after="0"/>
              <w:rPr>
                <w:sz w:val="13"/>
                <w:szCs w:val="13"/>
                <w:color w:val="auto"/>
              </w:rPr>
            </w:pPr>
          </w:p>
        </w:tc>
        <w:tc>
          <w:tcPr>
            <w:tcW w:w="580" w:type="dxa"/>
            <w:vAlign w:val="bottom"/>
            <w:tcBorders>
              <w:bottom w:val="single" w:sz="8" w:color="auto"/>
            </w:tcBorders>
          </w:tcPr>
          <w:p>
            <w:pPr>
              <w:spacing w:after="0"/>
              <w:rPr>
                <w:sz w:val="13"/>
                <w:szCs w:val="13"/>
                <w:color w:val="auto"/>
              </w:rPr>
            </w:pPr>
          </w:p>
        </w:tc>
        <w:tc>
          <w:tcPr>
            <w:tcW w:w="880" w:type="dxa"/>
            <w:vAlign w:val="bottom"/>
            <w:tcBorders>
              <w:bottom w:val="single" w:sz="8" w:color="auto"/>
            </w:tcBorders>
          </w:tcPr>
          <w:p>
            <w:pPr>
              <w:jc w:val="right"/>
              <w:ind w:right="535"/>
              <w:spacing w:after="0"/>
              <w:rPr>
                <w:sz w:val="20"/>
                <w:szCs w:val="20"/>
                <w:color w:val="auto"/>
              </w:rPr>
            </w:pPr>
            <w:r>
              <w:rPr>
                <w:rFonts w:ascii="Arial" w:cs="Arial" w:eastAsia="Arial" w:hAnsi="Arial"/>
                <w:sz w:val="13"/>
                <w:szCs w:val="13"/>
                <w:b w:val="1"/>
                <w:bCs w:val="1"/>
                <w:color w:val="auto"/>
                <w:w w:val="89"/>
              </w:rPr>
              <w:t>2020</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790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Revenue</w:t>
            </w:r>
          </w:p>
        </w:tc>
        <w:tc>
          <w:tcPr>
            <w:tcW w:w="340" w:type="dxa"/>
            <w:vAlign w:val="bottom"/>
            <w:shd w:val="clear" w:color="auto" w:fill="CCEEFF"/>
          </w:tcPr>
          <w:p>
            <w:pPr>
              <w:jc w:val="right"/>
              <w:ind w:right="231"/>
              <w:spacing w:after="0"/>
              <w:rPr>
                <w:sz w:val="20"/>
                <w:szCs w:val="20"/>
                <w:color w:val="auto"/>
              </w:rPr>
            </w:pPr>
            <w:r>
              <w:rPr>
                <w:rFonts w:ascii="Arial" w:cs="Arial" w:eastAsia="Arial" w:hAnsi="Arial"/>
                <w:sz w:val="10"/>
                <w:szCs w:val="10"/>
                <w:color w:val="auto"/>
                <w:w w:val="71"/>
              </w:rPr>
              <w:t>$</w:t>
            </w:r>
          </w:p>
        </w:tc>
        <w:tc>
          <w:tcPr>
            <w:tcW w:w="114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1,778,095</w:t>
            </w:r>
          </w:p>
        </w:tc>
        <w:tc>
          <w:tcPr>
            <w:tcW w:w="320" w:type="dxa"/>
            <w:vAlign w:val="bottom"/>
            <w:shd w:val="clear" w:color="auto" w:fill="CCEEFF"/>
          </w:tcPr>
          <w:p>
            <w:pPr>
              <w:spacing w:after="0"/>
              <w:rPr>
                <w:sz w:val="12"/>
                <w:szCs w:val="12"/>
                <w:color w:val="auto"/>
              </w:rPr>
            </w:pPr>
          </w:p>
        </w:tc>
        <w:tc>
          <w:tcPr>
            <w:tcW w:w="580" w:type="dxa"/>
            <w:vAlign w:val="bottom"/>
            <w:shd w:val="clear" w:color="auto" w:fill="CCEEFF"/>
          </w:tcPr>
          <w:p>
            <w:pPr>
              <w:jc w:val="right"/>
              <w:ind w:right="435"/>
              <w:spacing w:after="0" w:line="146" w:lineRule="exact"/>
              <w:rPr>
                <w:sz w:val="20"/>
                <w:szCs w:val="20"/>
                <w:color w:val="auto"/>
              </w:rPr>
            </w:pPr>
            <w:r>
              <w:rPr>
                <w:rFonts w:ascii="Arial" w:cs="Arial" w:eastAsia="Arial" w:hAnsi="Arial"/>
                <w:sz w:val="13"/>
                <w:szCs w:val="13"/>
                <w:color w:val="auto"/>
                <w:w w:val="82"/>
              </w:rPr>
              <w:t>$</w:t>
            </w:r>
          </w:p>
        </w:tc>
        <w:tc>
          <w:tcPr>
            <w:tcW w:w="88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1,637,548</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7900" w:type="dxa"/>
            <w:vAlign w:val="bottom"/>
          </w:tcPr>
          <w:p>
            <w:pPr>
              <w:spacing w:after="0"/>
              <w:rPr>
                <w:sz w:val="20"/>
                <w:szCs w:val="20"/>
                <w:color w:val="auto"/>
              </w:rPr>
            </w:pPr>
            <w:r>
              <w:rPr>
                <w:rFonts w:ascii="Arial" w:cs="Arial" w:eastAsia="Arial" w:hAnsi="Arial"/>
                <w:sz w:val="13"/>
                <w:szCs w:val="13"/>
                <w:color w:val="auto"/>
              </w:rPr>
              <w:t>Cost of services</w:t>
            </w:r>
          </w:p>
        </w:tc>
        <w:tc>
          <w:tcPr>
            <w:tcW w:w="340" w:type="dxa"/>
            <w:vAlign w:val="bottom"/>
          </w:tcPr>
          <w:p>
            <w:pPr>
              <w:spacing w:after="0"/>
              <w:rPr>
                <w:sz w:val="14"/>
                <w:szCs w:val="14"/>
                <w:color w:val="auto"/>
              </w:rPr>
            </w:pPr>
          </w:p>
        </w:tc>
        <w:tc>
          <w:tcPr>
            <w:tcW w:w="1460" w:type="dxa"/>
            <w:vAlign w:val="bottom"/>
            <w:gridSpan w:val="2"/>
          </w:tcPr>
          <w:p>
            <w:pPr>
              <w:jc w:val="right"/>
              <w:ind w:right="282"/>
              <w:spacing w:after="0"/>
              <w:rPr>
                <w:sz w:val="20"/>
                <w:szCs w:val="20"/>
                <w:color w:val="auto"/>
              </w:rPr>
            </w:pPr>
            <w:r>
              <w:rPr>
                <w:rFonts w:ascii="Arial" w:cs="Arial" w:eastAsia="Arial" w:hAnsi="Arial"/>
                <w:sz w:val="13"/>
                <w:szCs w:val="13"/>
                <w:color w:val="auto"/>
              </w:rPr>
              <w:t>2,517,675</w:t>
            </w:r>
          </w:p>
        </w:tc>
        <w:tc>
          <w:tcPr>
            <w:tcW w:w="580" w:type="dxa"/>
            <w:vAlign w:val="bottom"/>
          </w:tcPr>
          <w:p>
            <w:pPr>
              <w:spacing w:after="0"/>
              <w:rPr>
                <w:sz w:val="14"/>
                <w:szCs w:val="14"/>
                <w:color w:val="auto"/>
              </w:rPr>
            </w:pPr>
          </w:p>
        </w:tc>
        <w:tc>
          <w:tcPr>
            <w:tcW w:w="880" w:type="dxa"/>
            <w:vAlign w:val="bottom"/>
          </w:tcPr>
          <w:p>
            <w:pPr>
              <w:jc w:val="right"/>
              <w:spacing w:after="0"/>
              <w:rPr>
                <w:sz w:val="20"/>
                <w:szCs w:val="20"/>
                <w:color w:val="auto"/>
              </w:rPr>
            </w:pPr>
            <w:r>
              <w:rPr>
                <w:rFonts w:ascii="Arial" w:cs="Arial" w:eastAsia="Arial" w:hAnsi="Arial"/>
                <w:sz w:val="13"/>
                <w:szCs w:val="13"/>
                <w:color w:val="auto"/>
              </w:rPr>
              <w:t>2,185,273</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790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gross loss</w:t>
            </w:r>
          </w:p>
        </w:tc>
        <w:tc>
          <w:tcPr>
            <w:tcW w:w="340" w:type="dxa"/>
            <w:vAlign w:val="bottom"/>
            <w:tcBorders>
              <w:top w:val="single" w:sz="8" w:color="auto"/>
              <w:bottom w:val="single" w:sz="8" w:color="auto"/>
            </w:tcBorders>
            <w:shd w:val="clear" w:color="auto" w:fill="CCEEFF"/>
          </w:tcPr>
          <w:p>
            <w:pPr>
              <w:spacing w:after="0"/>
              <w:rPr>
                <w:sz w:val="12"/>
                <w:szCs w:val="12"/>
                <w:color w:val="auto"/>
              </w:rPr>
            </w:pPr>
          </w:p>
        </w:tc>
        <w:tc>
          <w:tcPr>
            <w:tcW w:w="114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(739,580)</w:t>
            </w:r>
          </w:p>
        </w:tc>
        <w:tc>
          <w:tcPr>
            <w:tcW w:w="320" w:type="dxa"/>
            <w:vAlign w:val="bottom"/>
            <w:tcBorders>
              <w:top w:val="single" w:sz="8" w:color="CCEEFF"/>
            </w:tcBorders>
            <w:shd w:val="clear" w:color="auto" w:fill="CCEEFF"/>
          </w:tcPr>
          <w:p>
            <w:pPr>
              <w:spacing w:after="0"/>
              <w:rPr>
                <w:sz w:val="12"/>
                <w:szCs w:val="12"/>
                <w:color w:val="auto"/>
              </w:rPr>
            </w:pPr>
          </w:p>
        </w:tc>
        <w:tc>
          <w:tcPr>
            <w:tcW w:w="580" w:type="dxa"/>
            <w:vAlign w:val="bottom"/>
            <w:tcBorders>
              <w:top w:val="single" w:sz="8" w:color="auto"/>
              <w:bottom w:val="single" w:sz="8" w:color="auto"/>
            </w:tcBorders>
            <w:shd w:val="clear" w:color="auto" w:fill="CCEEFF"/>
          </w:tcPr>
          <w:p>
            <w:pPr>
              <w:spacing w:after="0"/>
              <w:rPr>
                <w:sz w:val="12"/>
                <w:szCs w:val="12"/>
                <w:color w:val="auto"/>
              </w:rPr>
            </w:pPr>
          </w:p>
        </w:tc>
        <w:tc>
          <w:tcPr>
            <w:tcW w:w="88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(547,725)</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7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114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8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7900" w:type="dxa"/>
            <w:vAlign w:val="bottom"/>
            <w:shd w:val="clear" w:color="auto" w:fill="CCEEFF"/>
          </w:tcPr>
          <w:p>
            <w:pPr>
              <w:spacing w:after="0"/>
              <w:rPr>
                <w:sz w:val="20"/>
                <w:szCs w:val="20"/>
                <w:color w:val="auto"/>
              </w:rPr>
            </w:pPr>
            <w:r>
              <w:rPr>
                <w:rFonts w:ascii="Arial" w:cs="Arial" w:eastAsia="Arial" w:hAnsi="Arial"/>
                <w:sz w:val="13"/>
                <w:szCs w:val="13"/>
                <w:color w:val="auto"/>
              </w:rPr>
              <w:t>Operating expenses:</w:t>
            </w:r>
          </w:p>
        </w:tc>
        <w:tc>
          <w:tcPr>
            <w:tcW w:w="340" w:type="dxa"/>
            <w:vAlign w:val="bottom"/>
            <w:shd w:val="clear" w:color="auto" w:fill="CCEEFF"/>
          </w:tcPr>
          <w:p>
            <w:pPr>
              <w:spacing w:after="0"/>
              <w:rPr>
                <w:sz w:val="13"/>
                <w:szCs w:val="13"/>
                <w:color w:val="auto"/>
              </w:rPr>
            </w:pPr>
          </w:p>
        </w:tc>
        <w:tc>
          <w:tcPr>
            <w:tcW w:w="1140" w:type="dxa"/>
            <w:vAlign w:val="bottom"/>
            <w:shd w:val="clear" w:color="auto" w:fill="CCEEFF"/>
          </w:tcPr>
          <w:p>
            <w:pPr>
              <w:spacing w:after="0"/>
              <w:rPr>
                <w:sz w:val="13"/>
                <w:szCs w:val="13"/>
                <w:color w:val="auto"/>
              </w:rPr>
            </w:pPr>
          </w:p>
        </w:tc>
        <w:tc>
          <w:tcPr>
            <w:tcW w:w="320" w:type="dxa"/>
            <w:vAlign w:val="bottom"/>
            <w:shd w:val="clear" w:color="auto" w:fill="CCEEFF"/>
          </w:tcPr>
          <w:p>
            <w:pPr>
              <w:spacing w:after="0"/>
              <w:rPr>
                <w:sz w:val="13"/>
                <w:szCs w:val="13"/>
                <w:color w:val="auto"/>
              </w:rPr>
            </w:pPr>
          </w:p>
        </w:tc>
        <w:tc>
          <w:tcPr>
            <w:tcW w:w="580" w:type="dxa"/>
            <w:vAlign w:val="bottom"/>
            <w:shd w:val="clear" w:color="auto" w:fill="CCEEFF"/>
          </w:tcPr>
          <w:p>
            <w:pPr>
              <w:spacing w:after="0"/>
              <w:rPr>
                <w:sz w:val="13"/>
                <w:szCs w:val="13"/>
                <w:color w:val="auto"/>
              </w:rPr>
            </w:pPr>
          </w:p>
        </w:tc>
        <w:tc>
          <w:tcPr>
            <w:tcW w:w="8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7900" w:type="dxa"/>
            <w:vAlign w:val="bottom"/>
          </w:tcPr>
          <w:p>
            <w:pPr>
              <w:ind w:left="100"/>
              <w:spacing w:after="0"/>
              <w:rPr>
                <w:sz w:val="20"/>
                <w:szCs w:val="20"/>
                <w:color w:val="auto"/>
              </w:rPr>
            </w:pPr>
            <w:r>
              <w:rPr>
                <w:rFonts w:ascii="Arial" w:cs="Arial" w:eastAsia="Arial" w:hAnsi="Arial"/>
                <w:sz w:val="13"/>
                <w:szCs w:val="13"/>
                <w:color w:val="auto"/>
              </w:rPr>
              <w:t>Research and development</w:t>
            </w:r>
          </w:p>
        </w:tc>
        <w:tc>
          <w:tcPr>
            <w:tcW w:w="340" w:type="dxa"/>
            <w:vAlign w:val="bottom"/>
          </w:tcPr>
          <w:p>
            <w:pPr>
              <w:spacing w:after="0"/>
              <w:rPr>
                <w:sz w:val="13"/>
                <w:szCs w:val="13"/>
                <w:color w:val="auto"/>
              </w:rPr>
            </w:pPr>
          </w:p>
        </w:tc>
        <w:tc>
          <w:tcPr>
            <w:tcW w:w="1460" w:type="dxa"/>
            <w:vAlign w:val="bottom"/>
            <w:gridSpan w:val="2"/>
          </w:tcPr>
          <w:p>
            <w:pPr>
              <w:jc w:val="right"/>
              <w:ind w:right="282"/>
              <w:spacing w:after="0"/>
              <w:rPr>
                <w:sz w:val="20"/>
                <w:szCs w:val="20"/>
                <w:color w:val="auto"/>
              </w:rPr>
            </w:pPr>
            <w:r>
              <w:rPr>
                <w:rFonts w:ascii="Arial" w:cs="Arial" w:eastAsia="Arial" w:hAnsi="Arial"/>
                <w:sz w:val="13"/>
                <w:szCs w:val="13"/>
                <w:color w:val="auto"/>
              </w:rPr>
              <w:t>2,655,149</w:t>
            </w:r>
          </w:p>
        </w:tc>
        <w:tc>
          <w:tcPr>
            <w:tcW w:w="580" w:type="dxa"/>
            <w:vAlign w:val="bottom"/>
          </w:tcPr>
          <w:p>
            <w:pPr>
              <w:spacing w:after="0"/>
              <w:rPr>
                <w:sz w:val="13"/>
                <w:szCs w:val="13"/>
                <w:color w:val="auto"/>
              </w:rPr>
            </w:pPr>
          </w:p>
        </w:tc>
        <w:tc>
          <w:tcPr>
            <w:tcW w:w="880" w:type="dxa"/>
            <w:vAlign w:val="bottom"/>
          </w:tcPr>
          <w:p>
            <w:pPr>
              <w:jc w:val="right"/>
              <w:spacing w:after="0"/>
              <w:rPr>
                <w:sz w:val="20"/>
                <w:szCs w:val="20"/>
                <w:color w:val="auto"/>
              </w:rPr>
            </w:pPr>
            <w:r>
              <w:rPr>
                <w:rFonts w:ascii="Arial" w:cs="Arial" w:eastAsia="Arial" w:hAnsi="Arial"/>
                <w:sz w:val="13"/>
                <w:szCs w:val="13"/>
                <w:color w:val="auto"/>
              </w:rPr>
              <w:t>1,298,540</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79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Sales and marketing</w:t>
            </w:r>
          </w:p>
        </w:tc>
        <w:tc>
          <w:tcPr>
            <w:tcW w:w="340" w:type="dxa"/>
            <w:vAlign w:val="bottom"/>
            <w:shd w:val="clear" w:color="auto" w:fill="CCEEFF"/>
          </w:tcPr>
          <w:p>
            <w:pPr>
              <w:spacing w:after="0"/>
              <w:rPr>
                <w:sz w:val="13"/>
                <w:szCs w:val="13"/>
                <w:color w:val="auto"/>
              </w:rPr>
            </w:pPr>
          </w:p>
        </w:tc>
        <w:tc>
          <w:tcPr>
            <w:tcW w:w="1460" w:type="dxa"/>
            <w:vAlign w:val="bottom"/>
            <w:gridSpan w:val="2"/>
            <w:shd w:val="clear" w:color="auto" w:fill="CCEEFF"/>
          </w:tcPr>
          <w:p>
            <w:pPr>
              <w:jc w:val="right"/>
              <w:ind w:right="282"/>
              <w:spacing w:after="0"/>
              <w:rPr>
                <w:sz w:val="20"/>
                <w:szCs w:val="20"/>
                <w:color w:val="auto"/>
              </w:rPr>
            </w:pPr>
            <w:r>
              <w:rPr>
                <w:rFonts w:ascii="Arial" w:cs="Arial" w:eastAsia="Arial" w:hAnsi="Arial"/>
                <w:sz w:val="13"/>
                <w:szCs w:val="13"/>
                <w:color w:val="auto"/>
              </w:rPr>
              <w:t>6,630,731</w:t>
            </w:r>
          </w:p>
        </w:tc>
        <w:tc>
          <w:tcPr>
            <w:tcW w:w="580" w:type="dxa"/>
            <w:vAlign w:val="bottom"/>
            <w:shd w:val="clear" w:color="auto" w:fill="CCEEFF"/>
          </w:tcPr>
          <w:p>
            <w:pPr>
              <w:spacing w:after="0"/>
              <w:rPr>
                <w:sz w:val="13"/>
                <w:szCs w:val="13"/>
                <w:color w:val="auto"/>
              </w:rPr>
            </w:pPr>
          </w:p>
        </w:tc>
        <w:tc>
          <w:tcPr>
            <w:tcW w:w="8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2,838,070</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7900" w:type="dxa"/>
            <w:vAlign w:val="bottom"/>
          </w:tcPr>
          <w:p>
            <w:pPr>
              <w:ind w:left="100"/>
              <w:spacing w:after="0"/>
              <w:rPr>
                <w:sz w:val="20"/>
                <w:szCs w:val="20"/>
                <w:color w:val="auto"/>
              </w:rPr>
            </w:pPr>
            <w:r>
              <w:rPr>
                <w:rFonts w:ascii="Arial" w:cs="Arial" w:eastAsia="Arial" w:hAnsi="Arial"/>
                <w:sz w:val="13"/>
                <w:szCs w:val="13"/>
                <w:color w:val="auto"/>
              </w:rPr>
              <w:t>General and administrative</w:t>
            </w:r>
          </w:p>
        </w:tc>
        <w:tc>
          <w:tcPr>
            <w:tcW w:w="340" w:type="dxa"/>
            <w:vAlign w:val="bottom"/>
          </w:tcPr>
          <w:p>
            <w:pPr>
              <w:spacing w:after="0"/>
              <w:rPr>
                <w:sz w:val="14"/>
                <w:szCs w:val="14"/>
                <w:color w:val="auto"/>
              </w:rPr>
            </w:pPr>
          </w:p>
        </w:tc>
        <w:tc>
          <w:tcPr>
            <w:tcW w:w="1460" w:type="dxa"/>
            <w:vAlign w:val="bottom"/>
            <w:gridSpan w:val="2"/>
          </w:tcPr>
          <w:p>
            <w:pPr>
              <w:jc w:val="right"/>
              <w:ind w:right="282"/>
              <w:spacing w:after="0"/>
              <w:rPr>
                <w:sz w:val="20"/>
                <w:szCs w:val="20"/>
                <w:color w:val="auto"/>
              </w:rPr>
            </w:pPr>
            <w:r>
              <w:rPr>
                <w:rFonts w:ascii="Arial" w:cs="Arial" w:eastAsia="Arial" w:hAnsi="Arial"/>
                <w:sz w:val="13"/>
                <w:szCs w:val="13"/>
                <w:color w:val="auto"/>
              </w:rPr>
              <w:t>1,664,819</w:t>
            </w:r>
          </w:p>
        </w:tc>
        <w:tc>
          <w:tcPr>
            <w:tcW w:w="580" w:type="dxa"/>
            <w:vAlign w:val="bottom"/>
          </w:tcPr>
          <w:p>
            <w:pPr>
              <w:spacing w:after="0"/>
              <w:rPr>
                <w:sz w:val="14"/>
                <w:szCs w:val="14"/>
                <w:color w:val="auto"/>
              </w:rPr>
            </w:pPr>
          </w:p>
        </w:tc>
        <w:tc>
          <w:tcPr>
            <w:tcW w:w="880" w:type="dxa"/>
            <w:vAlign w:val="bottom"/>
          </w:tcPr>
          <w:p>
            <w:pPr>
              <w:jc w:val="right"/>
              <w:spacing w:after="0"/>
              <w:rPr>
                <w:sz w:val="20"/>
                <w:szCs w:val="20"/>
                <w:color w:val="auto"/>
              </w:rPr>
            </w:pPr>
            <w:r>
              <w:rPr>
                <w:rFonts w:ascii="Arial" w:cs="Arial" w:eastAsia="Arial" w:hAnsi="Arial"/>
                <w:sz w:val="13"/>
                <w:szCs w:val="13"/>
                <w:color w:val="auto"/>
              </w:rPr>
              <w:t>980,089</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790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operating expenses</w:t>
            </w:r>
          </w:p>
        </w:tc>
        <w:tc>
          <w:tcPr>
            <w:tcW w:w="340" w:type="dxa"/>
            <w:vAlign w:val="bottom"/>
            <w:tcBorders>
              <w:top w:val="single" w:sz="8" w:color="auto"/>
              <w:bottom w:val="single" w:sz="8" w:color="auto"/>
            </w:tcBorders>
            <w:shd w:val="clear" w:color="auto" w:fill="CCEEFF"/>
          </w:tcPr>
          <w:p>
            <w:pPr>
              <w:spacing w:after="0"/>
              <w:rPr>
                <w:sz w:val="12"/>
                <w:szCs w:val="12"/>
                <w:color w:val="auto"/>
              </w:rPr>
            </w:pPr>
          </w:p>
        </w:tc>
        <w:tc>
          <w:tcPr>
            <w:tcW w:w="114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10,950,699</w:t>
            </w:r>
          </w:p>
        </w:tc>
        <w:tc>
          <w:tcPr>
            <w:tcW w:w="320" w:type="dxa"/>
            <w:vAlign w:val="bottom"/>
            <w:tcBorders>
              <w:top w:val="single" w:sz="8" w:color="CCEEFF"/>
            </w:tcBorders>
            <w:shd w:val="clear" w:color="auto" w:fill="CCEEFF"/>
          </w:tcPr>
          <w:p>
            <w:pPr>
              <w:spacing w:after="0"/>
              <w:rPr>
                <w:sz w:val="12"/>
                <w:szCs w:val="12"/>
                <w:color w:val="auto"/>
              </w:rPr>
            </w:pPr>
          </w:p>
        </w:tc>
        <w:tc>
          <w:tcPr>
            <w:tcW w:w="580" w:type="dxa"/>
            <w:vAlign w:val="bottom"/>
            <w:tcBorders>
              <w:top w:val="single" w:sz="8" w:color="auto"/>
              <w:bottom w:val="single" w:sz="8" w:color="auto"/>
            </w:tcBorders>
            <w:shd w:val="clear" w:color="auto" w:fill="CCEEFF"/>
          </w:tcPr>
          <w:p>
            <w:pPr>
              <w:spacing w:after="0"/>
              <w:rPr>
                <w:sz w:val="12"/>
                <w:szCs w:val="12"/>
                <w:color w:val="auto"/>
              </w:rPr>
            </w:pPr>
          </w:p>
        </w:tc>
        <w:tc>
          <w:tcPr>
            <w:tcW w:w="88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5,116,699</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7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114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8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vMerge w:val="continue"/>
          </w:tcPr>
          <w:p>
            <w:pPr>
              <w:spacing w:after="0"/>
              <w:rPr>
                <w:sz w:val="14"/>
                <w:szCs w:val="14"/>
                <w:color w:val="auto"/>
              </w:rPr>
            </w:pPr>
          </w:p>
        </w:tc>
        <w:tc>
          <w:tcPr>
            <w:tcW w:w="7900" w:type="dxa"/>
            <w:vAlign w:val="bottom"/>
            <w:shd w:val="clear" w:color="auto" w:fill="CCEEFF"/>
          </w:tcPr>
          <w:p>
            <w:pPr>
              <w:spacing w:after="0"/>
              <w:rPr>
                <w:sz w:val="20"/>
                <w:szCs w:val="20"/>
                <w:color w:val="auto"/>
              </w:rPr>
            </w:pPr>
            <w:r>
              <w:rPr>
                <w:rFonts w:ascii="Arial" w:cs="Arial" w:eastAsia="Arial" w:hAnsi="Arial"/>
                <w:sz w:val="13"/>
                <w:szCs w:val="13"/>
                <w:color w:val="auto"/>
              </w:rPr>
              <w:t>Loss from operations</w:t>
            </w:r>
          </w:p>
        </w:tc>
        <w:tc>
          <w:tcPr>
            <w:tcW w:w="340" w:type="dxa"/>
            <w:vAlign w:val="bottom"/>
            <w:shd w:val="clear" w:color="auto" w:fill="CCEEFF"/>
          </w:tcPr>
          <w:p>
            <w:pPr>
              <w:spacing w:after="0"/>
              <w:rPr>
                <w:sz w:val="14"/>
                <w:szCs w:val="14"/>
                <w:color w:val="auto"/>
              </w:rPr>
            </w:pPr>
          </w:p>
        </w:tc>
        <w:tc>
          <w:tcPr>
            <w:tcW w:w="1460" w:type="dxa"/>
            <w:vAlign w:val="bottom"/>
            <w:gridSpan w:val="2"/>
            <w:shd w:val="clear" w:color="auto" w:fill="CCEEFF"/>
          </w:tcPr>
          <w:p>
            <w:pPr>
              <w:jc w:val="right"/>
              <w:ind w:right="242"/>
              <w:spacing w:after="0"/>
              <w:rPr>
                <w:sz w:val="20"/>
                <w:szCs w:val="20"/>
                <w:color w:val="auto"/>
              </w:rPr>
            </w:pPr>
            <w:r>
              <w:rPr>
                <w:rFonts w:ascii="Arial" w:cs="Arial" w:eastAsia="Arial" w:hAnsi="Arial"/>
                <w:sz w:val="13"/>
                <w:szCs w:val="13"/>
                <w:color w:val="auto"/>
              </w:rPr>
              <w:t>(11,690,279)</w:t>
            </w:r>
          </w:p>
        </w:tc>
        <w:tc>
          <w:tcPr>
            <w:tcW w:w="580" w:type="dxa"/>
            <w:vAlign w:val="bottom"/>
            <w:shd w:val="clear" w:color="auto" w:fill="CCEEFF"/>
          </w:tcPr>
          <w:p>
            <w:pPr>
              <w:spacing w:after="0"/>
              <w:rPr>
                <w:sz w:val="14"/>
                <w:szCs w:val="14"/>
                <w:color w:val="auto"/>
              </w:rPr>
            </w:pPr>
          </w:p>
        </w:tc>
        <w:tc>
          <w:tcPr>
            <w:tcW w:w="980" w:type="dxa"/>
            <w:vAlign w:val="bottom"/>
            <w:gridSpan w:val="2"/>
            <w:shd w:val="clear" w:color="auto" w:fill="CCEEFF"/>
          </w:tcPr>
          <w:p>
            <w:pPr>
              <w:jc w:val="right"/>
              <w:ind w:right="22"/>
              <w:spacing w:after="0"/>
              <w:rPr>
                <w:sz w:val="20"/>
                <w:szCs w:val="20"/>
                <w:color w:val="auto"/>
              </w:rPr>
            </w:pPr>
            <w:r>
              <w:rPr>
                <w:rFonts w:ascii="Arial" w:cs="Arial" w:eastAsia="Arial" w:hAnsi="Arial"/>
                <w:sz w:val="13"/>
                <w:szCs w:val="13"/>
                <w:color w:val="auto"/>
              </w:rPr>
              <w:t>(5,664,424)</w:t>
            </w: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7900" w:type="dxa"/>
            <w:vAlign w:val="bottom"/>
          </w:tcPr>
          <w:p>
            <w:pPr>
              <w:spacing w:after="0"/>
              <w:rPr>
                <w:sz w:val="12"/>
                <w:szCs w:val="12"/>
                <w:color w:val="auto"/>
              </w:rPr>
            </w:pPr>
          </w:p>
        </w:tc>
        <w:tc>
          <w:tcPr>
            <w:tcW w:w="340" w:type="dxa"/>
            <w:vAlign w:val="bottom"/>
            <w:tcBorders>
              <w:top w:val="single" w:sz="8" w:color="auto"/>
            </w:tcBorders>
          </w:tcPr>
          <w:p>
            <w:pPr>
              <w:spacing w:after="0"/>
              <w:rPr>
                <w:sz w:val="12"/>
                <w:szCs w:val="12"/>
                <w:color w:val="auto"/>
              </w:rPr>
            </w:pPr>
          </w:p>
        </w:tc>
        <w:tc>
          <w:tcPr>
            <w:tcW w:w="1140" w:type="dxa"/>
            <w:vAlign w:val="bottom"/>
            <w:tcBorders>
              <w:top w:val="single" w:sz="8" w:color="auto"/>
            </w:tcBorders>
          </w:tcPr>
          <w:p>
            <w:pPr>
              <w:spacing w:after="0"/>
              <w:rPr>
                <w:sz w:val="12"/>
                <w:szCs w:val="12"/>
                <w:color w:val="auto"/>
              </w:rPr>
            </w:pPr>
          </w:p>
        </w:tc>
        <w:tc>
          <w:tcPr>
            <w:tcW w:w="320" w:type="dxa"/>
            <w:vAlign w:val="bottom"/>
          </w:tcPr>
          <w:p>
            <w:pPr>
              <w:spacing w:after="0"/>
              <w:rPr>
                <w:sz w:val="12"/>
                <w:szCs w:val="12"/>
                <w:color w:val="auto"/>
              </w:rPr>
            </w:pPr>
          </w:p>
        </w:tc>
        <w:tc>
          <w:tcPr>
            <w:tcW w:w="580" w:type="dxa"/>
            <w:vAlign w:val="bottom"/>
            <w:tcBorders>
              <w:top w:val="single" w:sz="8" w:color="auto"/>
            </w:tcBorders>
          </w:tcPr>
          <w:p>
            <w:pPr>
              <w:spacing w:after="0"/>
              <w:rPr>
                <w:sz w:val="12"/>
                <w:szCs w:val="12"/>
                <w:color w:val="auto"/>
              </w:rPr>
            </w:pPr>
          </w:p>
        </w:tc>
        <w:tc>
          <w:tcPr>
            <w:tcW w:w="880" w:type="dxa"/>
            <w:vAlign w:val="bottom"/>
            <w:tcBorders>
              <w:top w:val="single" w:sz="8" w:color="auto"/>
            </w:tcBorders>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7900" w:type="dxa"/>
            <w:vAlign w:val="bottom"/>
            <w:shd w:val="clear" w:color="auto" w:fill="CCEEFF"/>
          </w:tcPr>
          <w:p>
            <w:pPr>
              <w:spacing w:after="0"/>
              <w:rPr>
                <w:sz w:val="20"/>
                <w:szCs w:val="20"/>
                <w:color w:val="auto"/>
              </w:rPr>
            </w:pPr>
            <w:r>
              <w:rPr>
                <w:rFonts w:ascii="Arial" w:cs="Arial" w:eastAsia="Arial" w:hAnsi="Arial"/>
                <w:sz w:val="13"/>
                <w:szCs w:val="13"/>
                <w:color w:val="auto"/>
              </w:rPr>
              <w:t>Other income (expense):</w:t>
            </w:r>
          </w:p>
        </w:tc>
        <w:tc>
          <w:tcPr>
            <w:tcW w:w="340" w:type="dxa"/>
            <w:vAlign w:val="bottom"/>
            <w:shd w:val="clear" w:color="auto" w:fill="CCEEFF"/>
          </w:tcPr>
          <w:p>
            <w:pPr>
              <w:spacing w:after="0"/>
              <w:rPr>
                <w:sz w:val="13"/>
                <w:szCs w:val="13"/>
                <w:color w:val="auto"/>
              </w:rPr>
            </w:pPr>
          </w:p>
        </w:tc>
        <w:tc>
          <w:tcPr>
            <w:tcW w:w="1140" w:type="dxa"/>
            <w:vAlign w:val="bottom"/>
            <w:shd w:val="clear" w:color="auto" w:fill="CCEEFF"/>
          </w:tcPr>
          <w:p>
            <w:pPr>
              <w:spacing w:after="0"/>
              <w:rPr>
                <w:sz w:val="13"/>
                <w:szCs w:val="13"/>
                <w:color w:val="auto"/>
              </w:rPr>
            </w:pPr>
          </w:p>
        </w:tc>
        <w:tc>
          <w:tcPr>
            <w:tcW w:w="320" w:type="dxa"/>
            <w:vAlign w:val="bottom"/>
            <w:shd w:val="clear" w:color="auto" w:fill="CCEEFF"/>
          </w:tcPr>
          <w:p>
            <w:pPr>
              <w:spacing w:after="0"/>
              <w:rPr>
                <w:sz w:val="13"/>
                <w:szCs w:val="13"/>
                <w:color w:val="auto"/>
              </w:rPr>
            </w:pPr>
          </w:p>
        </w:tc>
        <w:tc>
          <w:tcPr>
            <w:tcW w:w="580" w:type="dxa"/>
            <w:vAlign w:val="bottom"/>
            <w:shd w:val="clear" w:color="auto" w:fill="CCEEFF"/>
          </w:tcPr>
          <w:p>
            <w:pPr>
              <w:spacing w:after="0"/>
              <w:rPr>
                <w:sz w:val="13"/>
                <w:szCs w:val="13"/>
                <w:color w:val="auto"/>
              </w:rPr>
            </w:pPr>
          </w:p>
        </w:tc>
        <w:tc>
          <w:tcPr>
            <w:tcW w:w="8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7900" w:type="dxa"/>
            <w:vAlign w:val="bottom"/>
          </w:tcPr>
          <w:p>
            <w:pPr>
              <w:ind w:left="100"/>
              <w:spacing w:after="0"/>
              <w:rPr>
                <w:sz w:val="20"/>
                <w:szCs w:val="20"/>
                <w:color w:val="auto"/>
              </w:rPr>
            </w:pPr>
            <w:r>
              <w:rPr>
                <w:rFonts w:ascii="Arial" w:cs="Arial" w:eastAsia="Arial" w:hAnsi="Arial"/>
                <w:sz w:val="13"/>
                <w:szCs w:val="13"/>
                <w:color w:val="auto"/>
              </w:rPr>
              <w:t>Interest expense, net</w:t>
            </w:r>
          </w:p>
        </w:tc>
        <w:tc>
          <w:tcPr>
            <w:tcW w:w="340" w:type="dxa"/>
            <w:vAlign w:val="bottom"/>
          </w:tcPr>
          <w:p>
            <w:pPr>
              <w:spacing w:after="0"/>
              <w:rPr>
                <w:sz w:val="13"/>
                <w:szCs w:val="13"/>
                <w:color w:val="auto"/>
              </w:rPr>
            </w:pPr>
          </w:p>
        </w:tc>
        <w:tc>
          <w:tcPr>
            <w:tcW w:w="1460" w:type="dxa"/>
            <w:vAlign w:val="bottom"/>
            <w:gridSpan w:val="2"/>
          </w:tcPr>
          <w:p>
            <w:pPr>
              <w:jc w:val="right"/>
              <w:ind w:right="242"/>
              <w:spacing w:after="0"/>
              <w:rPr>
                <w:sz w:val="20"/>
                <w:szCs w:val="20"/>
                <w:color w:val="auto"/>
              </w:rPr>
            </w:pPr>
            <w:r>
              <w:rPr>
                <w:rFonts w:ascii="Arial" w:cs="Arial" w:eastAsia="Arial" w:hAnsi="Arial"/>
                <w:sz w:val="13"/>
                <w:szCs w:val="13"/>
                <w:color w:val="auto"/>
              </w:rPr>
              <w:t>(1,133,755)</w:t>
            </w:r>
          </w:p>
        </w:tc>
        <w:tc>
          <w:tcPr>
            <w:tcW w:w="580" w:type="dxa"/>
            <w:vAlign w:val="bottom"/>
          </w:tcPr>
          <w:p>
            <w:pPr>
              <w:spacing w:after="0"/>
              <w:rPr>
                <w:sz w:val="13"/>
                <w:szCs w:val="13"/>
                <w:color w:val="auto"/>
              </w:rPr>
            </w:pPr>
          </w:p>
        </w:tc>
        <w:tc>
          <w:tcPr>
            <w:tcW w:w="980" w:type="dxa"/>
            <w:vAlign w:val="bottom"/>
            <w:gridSpan w:val="2"/>
          </w:tcPr>
          <w:p>
            <w:pPr>
              <w:jc w:val="right"/>
              <w:ind w:right="22"/>
              <w:spacing w:after="0"/>
              <w:rPr>
                <w:sz w:val="20"/>
                <w:szCs w:val="20"/>
                <w:color w:val="auto"/>
              </w:rPr>
            </w:pPr>
            <w:r>
              <w:rPr>
                <w:rFonts w:ascii="Arial" w:cs="Arial" w:eastAsia="Arial" w:hAnsi="Arial"/>
                <w:sz w:val="13"/>
                <w:szCs w:val="13"/>
                <w:color w:val="auto"/>
              </w:rPr>
              <w:t>(1,082,832)</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79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Change in fair value of warrant liabilities</w:t>
            </w:r>
          </w:p>
        </w:tc>
        <w:tc>
          <w:tcPr>
            <w:tcW w:w="340" w:type="dxa"/>
            <w:vAlign w:val="bottom"/>
            <w:shd w:val="clear" w:color="auto" w:fill="CCEEFF"/>
          </w:tcPr>
          <w:p>
            <w:pPr>
              <w:spacing w:after="0"/>
              <w:rPr>
                <w:sz w:val="13"/>
                <w:szCs w:val="13"/>
                <w:color w:val="auto"/>
              </w:rPr>
            </w:pPr>
          </w:p>
        </w:tc>
        <w:tc>
          <w:tcPr>
            <w:tcW w:w="1460" w:type="dxa"/>
            <w:vAlign w:val="bottom"/>
            <w:gridSpan w:val="2"/>
            <w:shd w:val="clear" w:color="auto" w:fill="CCEEFF"/>
          </w:tcPr>
          <w:p>
            <w:pPr>
              <w:jc w:val="right"/>
              <w:ind w:right="242"/>
              <w:spacing w:after="0"/>
              <w:rPr>
                <w:sz w:val="20"/>
                <w:szCs w:val="20"/>
                <w:color w:val="auto"/>
              </w:rPr>
            </w:pPr>
            <w:r>
              <w:rPr>
                <w:rFonts w:ascii="Arial" w:cs="Arial" w:eastAsia="Arial" w:hAnsi="Arial"/>
                <w:sz w:val="13"/>
                <w:szCs w:val="13"/>
                <w:color w:val="auto"/>
              </w:rPr>
              <w:t>(10,737,001)</w:t>
            </w:r>
          </w:p>
        </w:tc>
        <w:tc>
          <w:tcPr>
            <w:tcW w:w="580" w:type="dxa"/>
            <w:vAlign w:val="bottom"/>
            <w:shd w:val="clear" w:color="auto" w:fill="CCEEFF"/>
          </w:tcPr>
          <w:p>
            <w:pPr>
              <w:spacing w:after="0"/>
              <w:rPr>
                <w:sz w:val="13"/>
                <w:szCs w:val="13"/>
                <w:color w:val="auto"/>
              </w:rPr>
            </w:pPr>
          </w:p>
        </w:tc>
        <w:tc>
          <w:tcPr>
            <w:tcW w:w="980" w:type="dxa"/>
            <w:vAlign w:val="bottom"/>
            <w:gridSpan w:val="2"/>
            <w:shd w:val="clear" w:color="auto" w:fill="CCEEFF"/>
          </w:tcPr>
          <w:p>
            <w:pPr>
              <w:jc w:val="right"/>
              <w:ind w:right="22"/>
              <w:spacing w:after="0"/>
              <w:rPr>
                <w:sz w:val="20"/>
                <w:szCs w:val="20"/>
                <w:color w:val="auto"/>
              </w:rPr>
            </w:pPr>
            <w:r>
              <w:rPr>
                <w:rFonts w:ascii="Arial" w:cs="Arial" w:eastAsia="Arial" w:hAnsi="Arial"/>
                <w:sz w:val="13"/>
                <w:szCs w:val="13"/>
                <w:color w:val="auto"/>
              </w:rPr>
              <w:t>(2,424,706)</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7900" w:type="dxa"/>
            <w:vAlign w:val="bottom"/>
          </w:tcPr>
          <w:p>
            <w:pPr>
              <w:ind w:left="100"/>
              <w:spacing w:after="0"/>
              <w:rPr>
                <w:sz w:val="20"/>
                <w:szCs w:val="20"/>
                <w:color w:val="auto"/>
              </w:rPr>
            </w:pPr>
            <w:r>
              <w:rPr>
                <w:rFonts w:ascii="Arial" w:cs="Arial" w:eastAsia="Arial" w:hAnsi="Arial"/>
                <w:sz w:val="13"/>
                <w:szCs w:val="13"/>
                <w:color w:val="auto"/>
              </w:rPr>
              <w:t>Other income, net</w:t>
            </w:r>
          </w:p>
        </w:tc>
        <w:tc>
          <w:tcPr>
            <w:tcW w:w="340" w:type="dxa"/>
            <w:vAlign w:val="bottom"/>
          </w:tcPr>
          <w:p>
            <w:pPr>
              <w:spacing w:after="0"/>
              <w:rPr>
                <w:sz w:val="14"/>
                <w:szCs w:val="14"/>
                <w:color w:val="auto"/>
              </w:rPr>
            </w:pPr>
          </w:p>
        </w:tc>
        <w:tc>
          <w:tcPr>
            <w:tcW w:w="1460" w:type="dxa"/>
            <w:vAlign w:val="bottom"/>
            <w:gridSpan w:val="2"/>
          </w:tcPr>
          <w:p>
            <w:pPr>
              <w:jc w:val="right"/>
              <w:ind w:right="282"/>
              <w:spacing w:after="0"/>
              <w:rPr>
                <w:sz w:val="20"/>
                <w:szCs w:val="20"/>
                <w:color w:val="auto"/>
              </w:rPr>
            </w:pPr>
            <w:r>
              <w:rPr>
                <w:rFonts w:ascii="Arial" w:cs="Arial" w:eastAsia="Arial" w:hAnsi="Arial"/>
                <w:sz w:val="13"/>
                <w:szCs w:val="13"/>
                <w:color w:val="auto"/>
              </w:rPr>
              <w:t>820,722</w:t>
            </w:r>
          </w:p>
        </w:tc>
        <w:tc>
          <w:tcPr>
            <w:tcW w:w="580" w:type="dxa"/>
            <w:vAlign w:val="bottom"/>
          </w:tcPr>
          <w:p>
            <w:pPr>
              <w:spacing w:after="0"/>
              <w:rPr>
                <w:sz w:val="14"/>
                <w:szCs w:val="14"/>
                <w:color w:val="auto"/>
              </w:rPr>
            </w:pPr>
          </w:p>
        </w:tc>
        <w:tc>
          <w:tcPr>
            <w:tcW w:w="980" w:type="dxa"/>
            <w:vAlign w:val="bottom"/>
            <w:gridSpan w:val="2"/>
          </w:tcPr>
          <w:p>
            <w:pPr>
              <w:jc w:val="right"/>
              <w:ind w:right="62"/>
              <w:spacing w:after="0"/>
              <w:rPr>
                <w:sz w:val="20"/>
                <w:szCs w:val="20"/>
                <w:color w:val="auto"/>
              </w:rPr>
            </w:pPr>
            <w:r>
              <w:rPr>
                <w:rFonts w:ascii="Arial" w:cs="Arial" w:eastAsia="Arial" w:hAnsi="Arial"/>
                <w:sz w:val="13"/>
                <w:szCs w:val="13"/>
                <w:color w:val="auto"/>
              </w:rPr>
              <w:t>31,853</w:t>
            </w: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790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other income (expense)</w:t>
            </w:r>
          </w:p>
        </w:tc>
        <w:tc>
          <w:tcPr>
            <w:tcW w:w="340" w:type="dxa"/>
            <w:vAlign w:val="bottom"/>
            <w:tcBorders>
              <w:top w:val="single" w:sz="8" w:color="auto"/>
              <w:bottom w:val="single" w:sz="8" w:color="auto"/>
            </w:tcBorders>
            <w:shd w:val="clear" w:color="auto" w:fill="CCEEFF"/>
          </w:tcPr>
          <w:p>
            <w:pPr>
              <w:spacing w:after="0"/>
              <w:rPr>
                <w:sz w:val="12"/>
                <w:szCs w:val="12"/>
                <w:color w:val="auto"/>
              </w:rPr>
            </w:pPr>
          </w:p>
        </w:tc>
        <w:tc>
          <w:tcPr>
            <w:tcW w:w="114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(11,050,034)</w:t>
            </w:r>
          </w:p>
        </w:tc>
        <w:tc>
          <w:tcPr>
            <w:tcW w:w="320" w:type="dxa"/>
            <w:vAlign w:val="bottom"/>
            <w:tcBorders>
              <w:top w:val="single" w:sz="8" w:color="CCEEFF"/>
            </w:tcBorders>
            <w:shd w:val="clear" w:color="auto" w:fill="CCEEFF"/>
          </w:tcPr>
          <w:p>
            <w:pPr>
              <w:spacing w:after="0"/>
              <w:rPr>
                <w:sz w:val="12"/>
                <w:szCs w:val="12"/>
                <w:color w:val="auto"/>
              </w:rPr>
            </w:pPr>
          </w:p>
        </w:tc>
        <w:tc>
          <w:tcPr>
            <w:tcW w:w="580" w:type="dxa"/>
            <w:vAlign w:val="bottom"/>
            <w:tcBorders>
              <w:top w:val="single" w:sz="8" w:color="auto"/>
              <w:bottom w:val="single" w:sz="8" w:color="auto"/>
            </w:tcBorders>
            <w:shd w:val="clear" w:color="auto" w:fill="CCEEFF"/>
          </w:tcPr>
          <w:p>
            <w:pPr>
              <w:spacing w:after="0"/>
              <w:rPr>
                <w:sz w:val="12"/>
                <w:szCs w:val="12"/>
                <w:color w:val="auto"/>
              </w:rPr>
            </w:pPr>
          </w:p>
        </w:tc>
        <w:tc>
          <w:tcPr>
            <w:tcW w:w="88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(3,475,685)</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7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114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8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7900" w:type="dxa"/>
            <w:vAlign w:val="bottom"/>
            <w:shd w:val="clear" w:color="auto" w:fill="CCEEFF"/>
          </w:tcPr>
          <w:p>
            <w:pPr>
              <w:spacing w:after="0"/>
              <w:rPr>
                <w:sz w:val="20"/>
                <w:szCs w:val="20"/>
                <w:color w:val="auto"/>
              </w:rPr>
            </w:pPr>
            <w:r>
              <w:rPr>
                <w:rFonts w:ascii="Arial" w:cs="Arial" w:eastAsia="Arial" w:hAnsi="Arial"/>
                <w:sz w:val="13"/>
                <w:szCs w:val="13"/>
                <w:color w:val="auto"/>
              </w:rPr>
              <w:t>Net loss before income tax expense</w:t>
            </w:r>
          </w:p>
        </w:tc>
        <w:tc>
          <w:tcPr>
            <w:tcW w:w="340" w:type="dxa"/>
            <w:vAlign w:val="bottom"/>
            <w:shd w:val="clear" w:color="auto" w:fill="CCEEFF"/>
          </w:tcPr>
          <w:p>
            <w:pPr>
              <w:spacing w:after="0"/>
              <w:rPr>
                <w:sz w:val="13"/>
                <w:szCs w:val="13"/>
                <w:color w:val="auto"/>
              </w:rPr>
            </w:pPr>
          </w:p>
        </w:tc>
        <w:tc>
          <w:tcPr>
            <w:tcW w:w="1460" w:type="dxa"/>
            <w:vAlign w:val="bottom"/>
            <w:gridSpan w:val="2"/>
            <w:shd w:val="clear" w:color="auto" w:fill="CCEEFF"/>
          </w:tcPr>
          <w:p>
            <w:pPr>
              <w:jc w:val="right"/>
              <w:ind w:right="242"/>
              <w:spacing w:after="0"/>
              <w:rPr>
                <w:sz w:val="20"/>
                <w:szCs w:val="20"/>
                <w:color w:val="auto"/>
              </w:rPr>
            </w:pPr>
            <w:r>
              <w:rPr>
                <w:rFonts w:ascii="Arial" w:cs="Arial" w:eastAsia="Arial" w:hAnsi="Arial"/>
                <w:sz w:val="13"/>
                <w:szCs w:val="13"/>
                <w:color w:val="auto"/>
              </w:rPr>
              <w:t>(22,740,313)</w:t>
            </w:r>
          </w:p>
        </w:tc>
        <w:tc>
          <w:tcPr>
            <w:tcW w:w="580" w:type="dxa"/>
            <w:vAlign w:val="bottom"/>
            <w:shd w:val="clear" w:color="auto" w:fill="CCEEFF"/>
          </w:tcPr>
          <w:p>
            <w:pPr>
              <w:spacing w:after="0"/>
              <w:rPr>
                <w:sz w:val="13"/>
                <w:szCs w:val="13"/>
                <w:color w:val="auto"/>
              </w:rPr>
            </w:pPr>
          </w:p>
        </w:tc>
        <w:tc>
          <w:tcPr>
            <w:tcW w:w="980" w:type="dxa"/>
            <w:vAlign w:val="bottom"/>
            <w:gridSpan w:val="2"/>
            <w:shd w:val="clear" w:color="auto" w:fill="CCEEFF"/>
          </w:tcPr>
          <w:p>
            <w:pPr>
              <w:jc w:val="right"/>
              <w:ind w:right="22"/>
              <w:spacing w:after="0"/>
              <w:rPr>
                <w:sz w:val="20"/>
                <w:szCs w:val="20"/>
                <w:color w:val="auto"/>
              </w:rPr>
            </w:pPr>
            <w:r>
              <w:rPr>
                <w:rFonts w:ascii="Arial" w:cs="Arial" w:eastAsia="Arial" w:hAnsi="Arial"/>
                <w:sz w:val="13"/>
                <w:szCs w:val="13"/>
                <w:color w:val="auto"/>
              </w:rPr>
              <w:t>(9,140,109)</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7900" w:type="dxa"/>
            <w:vAlign w:val="bottom"/>
          </w:tcPr>
          <w:p>
            <w:pPr>
              <w:spacing w:after="0"/>
              <w:rPr>
                <w:sz w:val="20"/>
                <w:szCs w:val="20"/>
                <w:color w:val="auto"/>
              </w:rPr>
            </w:pPr>
            <w:r>
              <w:rPr>
                <w:rFonts w:ascii="Arial" w:cs="Arial" w:eastAsia="Arial" w:hAnsi="Arial"/>
                <w:sz w:val="13"/>
                <w:szCs w:val="13"/>
                <w:color w:val="auto"/>
              </w:rPr>
              <w:t>Income tax expense</w:t>
            </w:r>
          </w:p>
        </w:tc>
        <w:tc>
          <w:tcPr>
            <w:tcW w:w="340" w:type="dxa"/>
            <w:vAlign w:val="bottom"/>
          </w:tcPr>
          <w:p>
            <w:pPr>
              <w:spacing w:after="0"/>
              <w:rPr>
                <w:sz w:val="14"/>
                <w:szCs w:val="14"/>
                <w:color w:val="auto"/>
              </w:rPr>
            </w:pPr>
          </w:p>
        </w:tc>
        <w:tc>
          <w:tcPr>
            <w:tcW w:w="1460" w:type="dxa"/>
            <w:vAlign w:val="bottom"/>
            <w:gridSpan w:val="2"/>
          </w:tcPr>
          <w:p>
            <w:pPr>
              <w:jc w:val="right"/>
              <w:ind w:right="282"/>
              <w:spacing w:after="0"/>
              <w:rPr>
                <w:sz w:val="20"/>
                <w:szCs w:val="20"/>
                <w:color w:val="auto"/>
              </w:rPr>
            </w:pPr>
            <w:r>
              <w:rPr>
                <w:rFonts w:ascii="Arial" w:cs="Arial" w:eastAsia="Arial" w:hAnsi="Arial"/>
                <w:sz w:val="13"/>
                <w:szCs w:val="13"/>
                <w:color w:val="auto"/>
              </w:rPr>
              <w:t>-</w:t>
            </w:r>
          </w:p>
        </w:tc>
        <w:tc>
          <w:tcPr>
            <w:tcW w:w="580" w:type="dxa"/>
            <w:vAlign w:val="bottom"/>
          </w:tcPr>
          <w:p>
            <w:pPr>
              <w:spacing w:after="0"/>
              <w:rPr>
                <w:sz w:val="14"/>
                <w:szCs w:val="14"/>
                <w:color w:val="auto"/>
              </w:rPr>
            </w:pPr>
          </w:p>
        </w:tc>
        <w:tc>
          <w:tcPr>
            <w:tcW w:w="980" w:type="dxa"/>
            <w:vAlign w:val="bottom"/>
            <w:gridSpan w:val="2"/>
          </w:tcPr>
          <w:p>
            <w:pPr>
              <w:jc w:val="right"/>
              <w:ind w:right="22"/>
              <w:spacing w:after="0"/>
              <w:rPr>
                <w:sz w:val="20"/>
                <w:szCs w:val="20"/>
                <w:color w:val="auto"/>
              </w:rPr>
            </w:pPr>
            <w:r>
              <w:rPr>
                <w:rFonts w:ascii="Arial" w:cs="Arial" w:eastAsia="Arial" w:hAnsi="Arial"/>
                <w:sz w:val="13"/>
                <w:szCs w:val="13"/>
                <w:color w:val="auto"/>
              </w:rPr>
              <w:t>(800)</w:t>
            </w: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7900" w:type="dxa"/>
            <w:vAlign w:val="bottom"/>
            <w:tcBorders>
              <w:top w:val="single" w:sz="8" w:color="CCEEFF"/>
              <w:bottom w:val="single" w:sz="8" w:color="CCEEFF"/>
            </w:tcBorders>
            <w:shd w:val="clear" w:color="auto" w:fill="CCEEFF"/>
          </w:tcPr>
          <w:p>
            <w:pPr>
              <w:spacing w:after="0" w:line="144" w:lineRule="exact"/>
              <w:rPr>
                <w:sz w:val="20"/>
                <w:szCs w:val="20"/>
                <w:color w:val="auto"/>
              </w:rPr>
            </w:pPr>
            <w:r>
              <w:rPr>
                <w:rFonts w:ascii="Arial" w:cs="Arial" w:eastAsia="Arial" w:hAnsi="Arial"/>
                <w:sz w:val="13"/>
                <w:szCs w:val="13"/>
                <w:color w:val="auto"/>
              </w:rPr>
              <w:t>Net loss</w:t>
            </w:r>
          </w:p>
        </w:tc>
        <w:tc>
          <w:tcPr>
            <w:tcW w:w="340" w:type="dxa"/>
            <w:vAlign w:val="bottom"/>
            <w:tcBorders>
              <w:top w:val="single" w:sz="8" w:color="auto"/>
              <w:bottom w:val="single" w:sz="8" w:color="auto"/>
            </w:tcBorders>
            <w:shd w:val="clear" w:color="auto" w:fill="CCEEFF"/>
          </w:tcPr>
          <w:p>
            <w:pPr>
              <w:jc w:val="right"/>
              <w:ind w:right="231"/>
              <w:spacing w:after="0"/>
              <w:rPr>
                <w:sz w:val="20"/>
                <w:szCs w:val="20"/>
                <w:color w:val="auto"/>
              </w:rPr>
            </w:pPr>
            <w:r>
              <w:rPr>
                <w:rFonts w:ascii="Arial" w:cs="Arial" w:eastAsia="Arial" w:hAnsi="Arial"/>
                <w:sz w:val="10"/>
                <w:szCs w:val="10"/>
                <w:color w:val="auto"/>
                <w:w w:val="71"/>
              </w:rPr>
              <w:t>$</w:t>
            </w:r>
          </w:p>
        </w:tc>
        <w:tc>
          <w:tcPr>
            <w:tcW w:w="114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(22,740,313</w:t>
            </w:r>
          </w:p>
        </w:tc>
        <w:tc>
          <w:tcPr>
            <w:tcW w:w="320" w:type="dxa"/>
            <w:vAlign w:val="bottom"/>
            <w:tcBorders>
              <w:top w:val="single" w:sz="8" w:color="CCEEFF"/>
              <w:bottom w:val="single" w:sz="8" w:color="CCEEFF"/>
            </w:tcBorders>
            <w:shd w:val="clear" w:color="auto" w:fill="CCEEFF"/>
          </w:tcPr>
          <w:p>
            <w:pPr>
              <w:jc w:val="right"/>
              <w:ind w:right="242"/>
              <w:spacing w:after="0"/>
              <w:rPr>
                <w:sz w:val="20"/>
                <w:szCs w:val="20"/>
                <w:color w:val="auto"/>
              </w:rPr>
            </w:pPr>
            <w:r>
              <w:rPr>
                <w:rFonts w:ascii="Arial" w:cs="Arial" w:eastAsia="Arial" w:hAnsi="Arial"/>
                <w:sz w:val="8"/>
                <w:szCs w:val="8"/>
                <w:color w:val="auto"/>
                <w:w w:val="73"/>
              </w:rPr>
              <w:t>)</w:t>
            </w:r>
          </w:p>
        </w:tc>
        <w:tc>
          <w:tcPr>
            <w:tcW w:w="580" w:type="dxa"/>
            <w:vAlign w:val="bottom"/>
            <w:tcBorders>
              <w:top w:val="single" w:sz="8" w:color="auto"/>
              <w:bottom w:val="single" w:sz="8" w:color="auto"/>
            </w:tcBorders>
            <w:shd w:val="clear" w:color="auto" w:fill="CCEEFF"/>
          </w:tcPr>
          <w:p>
            <w:pPr>
              <w:jc w:val="right"/>
              <w:ind w:right="435"/>
              <w:spacing w:after="0"/>
              <w:rPr>
                <w:sz w:val="20"/>
                <w:szCs w:val="20"/>
                <w:color w:val="auto"/>
              </w:rPr>
            </w:pPr>
            <w:r>
              <w:rPr>
                <w:rFonts w:ascii="Arial" w:cs="Arial" w:eastAsia="Arial" w:hAnsi="Arial"/>
                <w:sz w:val="13"/>
                <w:szCs w:val="13"/>
                <w:color w:val="auto"/>
                <w:w w:val="82"/>
              </w:rPr>
              <w:t>$</w:t>
            </w:r>
          </w:p>
        </w:tc>
        <w:tc>
          <w:tcPr>
            <w:tcW w:w="88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(9,140,909</w:t>
            </w:r>
          </w:p>
        </w:tc>
        <w:tc>
          <w:tcPr>
            <w:tcW w:w="100" w:type="dxa"/>
            <w:vAlign w:val="bottom"/>
            <w:tcBorders>
              <w:top w:val="single" w:sz="8" w:color="CCEEFF"/>
              <w:bottom w:val="single" w:sz="8" w:color="CCEEFF"/>
            </w:tcBorders>
            <w:shd w:val="clear" w:color="auto" w:fill="CCEEFF"/>
          </w:tcPr>
          <w:p>
            <w:pPr>
              <w:jc w:val="right"/>
              <w:ind w:right="22"/>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bl>
    <w:p>
      <w:pPr>
        <w:spacing w:after="0" w:line="14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Revenue</w:t>
      </w:r>
    </w:p>
    <w:p>
      <w:pPr>
        <w:spacing w:after="0" w:line="163" w:lineRule="exact"/>
        <w:rPr>
          <w:sz w:val="20"/>
          <w:szCs w:val="20"/>
          <w:color w:val="auto"/>
        </w:rPr>
      </w:pPr>
    </w:p>
    <w:p>
      <w:pPr>
        <w:spacing w:after="0" w:line="255" w:lineRule="auto"/>
        <w:rPr>
          <w:sz w:val="20"/>
          <w:szCs w:val="20"/>
          <w:color w:val="auto"/>
        </w:rPr>
      </w:pPr>
      <w:r>
        <w:rPr>
          <w:rFonts w:ascii="Arial" w:cs="Arial" w:eastAsia="Arial" w:hAnsi="Arial"/>
          <w:sz w:val="13"/>
          <w:szCs w:val="13"/>
          <w:color w:val="auto"/>
        </w:rPr>
        <w:t>For the six months ended June 30, 2021, revenue increased by $141,000 to $1.8 million, or by 9%, from $1.6 million for the six months ended June 30, 2020. The increase in revenue was primarily from contracts executed during the second half of 2020 with revenue continuing into 2021 and contracts executed in 2021 with deployments in the first half of 2021, resulting in additional revenue during the first six months of 2021. As of June 30, 2020, we had 23 clients and 52 machines-in-network. As of June 30, 2021, our client base grew to 34 clients, and we had 51 machines-in-network. Despite the impact of COVID-19 on our existing client base during 2020 and the first half of 2021, causing some existing clients to place their contracts on hold until their businesses could safely reopen, the Company was able to offset some of that financial impact with the addition of new clients in 2020 and first half of 2021. As of September 28, 2021, the Company had a backlog of orders to deploy 24 ASRs, representing an aggregate annual subscription value of approximately $1.3 million.</w:t>
      </w:r>
    </w:p>
    <w:p>
      <w:pPr>
        <w:spacing w:after="0" w:line="142"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Cost of Services</w:t>
      </w:r>
    </w:p>
    <w:p>
      <w:pPr>
        <w:spacing w:after="0" w:line="163" w:lineRule="exact"/>
        <w:rPr>
          <w:sz w:val="20"/>
          <w:szCs w:val="20"/>
          <w:color w:val="auto"/>
        </w:rPr>
      </w:pPr>
    </w:p>
    <w:p>
      <w:pPr>
        <w:ind w:right="40"/>
        <w:spacing w:after="0" w:line="274" w:lineRule="auto"/>
        <w:rPr>
          <w:sz w:val="20"/>
          <w:szCs w:val="20"/>
          <w:color w:val="auto"/>
        </w:rPr>
      </w:pPr>
      <w:r>
        <w:rPr>
          <w:rFonts w:ascii="Arial" w:cs="Arial" w:eastAsia="Arial" w:hAnsi="Arial"/>
          <w:sz w:val="13"/>
          <w:szCs w:val="13"/>
          <w:color w:val="auto"/>
        </w:rPr>
        <w:t>Cost of services for the six months ended June 30, 2021 was $2.5 million, compared to $2.2 million for the six months ended June 30, 2020, an increase of 15%. The cost of services is primarily related to the average service cost per machine and stock-based compensation.</w:t>
      </w:r>
    </w:p>
    <w:p>
      <w:pPr>
        <w:spacing w:after="0" w:line="284"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28" w:name="page29"/>
    <w:bookmarkEnd w:id="28"/>
    <w:p>
      <w:pPr>
        <w:spacing w:after="0"/>
        <w:rPr>
          <w:sz w:val="20"/>
          <w:szCs w:val="20"/>
          <w:color w:val="auto"/>
        </w:rPr>
      </w:pPr>
      <w:r>
        <w:rPr>
          <w:rFonts w:ascii="Arial" w:cs="Arial" w:eastAsia="Arial" w:hAnsi="Arial"/>
          <w:sz w:val="13"/>
          <w:szCs w:val="13"/>
          <w:b w:val="1"/>
          <w:bCs w:val="1"/>
          <w:i w:val="1"/>
          <w:iCs w:val="1"/>
          <w:color w:val="auto"/>
        </w:rPr>
        <w:t>Gross Loss</w:t>
      </w:r>
    </w:p>
    <w:p>
      <w:pPr>
        <w:spacing w:after="0" w:line="163" w:lineRule="exact"/>
        <w:rPr>
          <w:sz w:val="20"/>
          <w:szCs w:val="20"/>
          <w:color w:val="auto"/>
        </w:rPr>
      </w:pPr>
    </w:p>
    <w:p>
      <w:pPr>
        <w:spacing w:after="0"/>
        <w:rPr>
          <w:sz w:val="20"/>
          <w:szCs w:val="20"/>
          <w:color w:val="auto"/>
        </w:rPr>
      </w:pPr>
      <w:r>
        <w:rPr>
          <w:rFonts w:ascii="Arial" w:cs="Arial" w:eastAsia="Arial" w:hAnsi="Arial"/>
          <w:sz w:val="12"/>
          <w:szCs w:val="12"/>
          <w:color w:val="auto"/>
        </w:rPr>
        <w:t>The revenue and cost of services described above resulted in a gross loss for the six months ended June 30, 2021 of approximately $0.7 million compared to $0.5 million for the six months ended June 30, 2020.</w:t>
      </w:r>
    </w:p>
    <w:p>
      <w:pPr>
        <w:spacing w:after="0" w:line="175" w:lineRule="exact"/>
        <w:rPr>
          <w:sz w:val="20"/>
          <w:szCs w:val="20"/>
          <w:color w:val="auto"/>
        </w:rPr>
      </w:pPr>
    </w:p>
    <w:p>
      <w:pPr>
        <w:spacing w:after="0" w:line="277" w:lineRule="auto"/>
        <w:rPr>
          <w:sz w:val="20"/>
          <w:szCs w:val="20"/>
          <w:color w:val="auto"/>
        </w:rPr>
      </w:pPr>
      <w:r>
        <w:rPr>
          <w:rFonts w:ascii="Arial" w:cs="Arial" w:eastAsia="Arial" w:hAnsi="Arial"/>
          <w:sz w:val="12"/>
          <w:szCs w:val="12"/>
          <w:color w:val="auto"/>
        </w:rPr>
        <w:t>As our business scales and becomes more streamlined, management expects gross loss to decrease once a critical mass has been achieved. We are focusing our resources on growing the business to be able to generate both a gross profit and overall net income. We are continually evaluating and taking a number of near-term actions to facilitate this result, and expect that as the Company matures, we will obtain expertise, economies of scale and efficiency that should increase revenue and reduce costs over the medium to long-term. For example, we continue to refine our sales strategy for 2021, which is expected to increase and enhance our revenue streams. Our ASR materials sourcing, production, assembly and manufacturing are expected to become more efficient over time, and the costs associated with these processes reduced as we grow. However, with global supply chain constraints resulting from the COVID-19 pandemic, the Company has experienced an increase in minimum order requirements during the first six months of 2021 to secure certain parts for our products. The Company expects this to continue throughout 2021 as well as 2022 and 2023. As operations scale, we believe we will be in a better position to negotiate volume-based pricing terms with suppliers as well as to optimize our designs for design-for-assembly and design-for-service. We are also focused on controlling general overhead costs, such as expenditures for real estate leases and optimizing team composition and size. We believe that with the building of new internal tools, the Company will be able to streamline procedures and manage deployments more efficiently, alleviating the need for a dramatic increase in headcount. Additionally, new service cost reduction initiatives are underway to further reduce our ongoing operating costs. Our overall strategy is to try to keep our fixed costs as low as possible while achieving our overall growth objectives.</w:t>
      </w:r>
    </w:p>
    <w:p>
      <w:pPr>
        <w:spacing w:after="0" w:line="128"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5200" w:type="dxa"/>
            <w:vAlign w:val="bottom"/>
          </w:tcPr>
          <w:p>
            <w:pPr>
              <w:spacing w:after="0"/>
              <w:rPr>
                <w:sz w:val="20"/>
                <w:szCs w:val="20"/>
                <w:color w:val="auto"/>
              </w:rPr>
            </w:pPr>
            <w:r>
              <w:rPr>
                <w:rFonts w:ascii="Arial" w:cs="Arial" w:eastAsia="Arial" w:hAnsi="Arial"/>
                <w:sz w:val="13"/>
                <w:szCs w:val="13"/>
                <w:b w:val="1"/>
                <w:bCs w:val="1"/>
                <w:i w:val="1"/>
                <w:iCs w:val="1"/>
                <w:color w:val="auto"/>
              </w:rPr>
              <w:t>Research and Development</w:t>
            </w:r>
          </w:p>
        </w:tc>
        <w:tc>
          <w:tcPr>
            <w:tcW w:w="28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52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900" w:type="dxa"/>
            <w:vAlign w:val="bottom"/>
            <w:gridSpan w:val="5"/>
          </w:tcPr>
          <w:p>
            <w:pPr>
              <w:jc w:val="right"/>
              <w:ind w:right="1020"/>
              <w:spacing w:after="0"/>
              <w:rPr>
                <w:sz w:val="20"/>
                <w:szCs w:val="20"/>
                <w:color w:val="auto"/>
              </w:rPr>
            </w:pPr>
            <w:r>
              <w:rPr>
                <w:rFonts w:ascii="Arial" w:cs="Arial" w:eastAsia="Arial" w:hAnsi="Arial"/>
                <w:sz w:val="13"/>
                <w:szCs w:val="13"/>
                <w:b w:val="1"/>
                <w:bCs w:val="1"/>
                <w:color w:val="auto"/>
              </w:rPr>
              <w:t>Six months ended June 30,</w:t>
            </w:r>
          </w:p>
        </w:tc>
        <w:tc>
          <w:tcPr>
            <w:tcW w:w="2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157"/>
        </w:trPr>
        <w:tc>
          <w:tcPr>
            <w:tcW w:w="520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80" w:type="dxa"/>
            <w:vAlign w:val="bottom"/>
            <w:tcBorders>
              <w:top w:val="single" w:sz="8" w:color="auto"/>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2021</w:t>
            </w:r>
          </w:p>
        </w:tc>
        <w:tc>
          <w:tcPr>
            <w:tcW w:w="340" w:type="dxa"/>
            <w:vAlign w:val="bottom"/>
            <w:tcBorders>
              <w:top w:val="single" w:sz="8" w:color="auto"/>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2020</w:t>
            </w:r>
          </w:p>
        </w:tc>
        <w:tc>
          <w:tcPr>
            <w:tcW w:w="340" w:type="dxa"/>
            <w:vAlign w:val="bottom"/>
            <w:tcBorders>
              <w:bottom w:val="single" w:sz="8" w:color="CCEEFF"/>
            </w:tcBorders>
          </w:tcPr>
          <w:p>
            <w:pPr>
              <w:spacing w:after="0"/>
              <w:rPr>
                <w:sz w:val="13"/>
                <w:szCs w:val="13"/>
                <w:color w:val="auto"/>
              </w:rPr>
            </w:pPr>
          </w:p>
        </w:tc>
        <w:tc>
          <w:tcPr>
            <w:tcW w:w="200" w:type="dxa"/>
            <w:vAlign w:val="bottom"/>
            <w:tcBorders>
              <w:bottom w:val="single" w:sz="8" w:color="auto"/>
            </w:tcBorders>
          </w:tcPr>
          <w:p>
            <w:pPr>
              <w:spacing w:after="0"/>
              <w:rPr>
                <w:sz w:val="13"/>
                <w:szCs w:val="13"/>
                <w:color w:val="auto"/>
              </w:rPr>
            </w:pPr>
          </w:p>
        </w:tc>
        <w:tc>
          <w:tcPr>
            <w:tcW w:w="1020" w:type="dxa"/>
            <w:vAlign w:val="bottom"/>
            <w:tcBorders>
              <w:bottom w:val="single" w:sz="8" w:color="auto"/>
            </w:tcBorders>
          </w:tcPr>
          <w:p>
            <w:pPr>
              <w:jc w:val="right"/>
              <w:ind w:right="275"/>
              <w:spacing w:after="0"/>
              <w:rPr>
                <w:sz w:val="20"/>
                <w:szCs w:val="20"/>
                <w:color w:val="auto"/>
              </w:rPr>
            </w:pPr>
            <w:r>
              <w:rPr>
                <w:rFonts w:ascii="Arial" w:cs="Arial" w:eastAsia="Arial" w:hAnsi="Arial"/>
                <w:sz w:val="13"/>
                <w:szCs w:val="13"/>
                <w:b w:val="1"/>
                <w:bCs w:val="1"/>
                <w:color w:val="auto"/>
              </w:rPr>
              <w:t>$ Change</w:t>
            </w:r>
          </w:p>
        </w:tc>
        <w:tc>
          <w:tcPr>
            <w:tcW w:w="340" w:type="dxa"/>
            <w:vAlign w:val="bottom"/>
            <w:tcBorders>
              <w:bottom w:val="single" w:sz="8" w:color="CCEEFF"/>
            </w:tcBorders>
          </w:tcPr>
          <w:p>
            <w:pPr>
              <w:spacing w:after="0"/>
              <w:rPr>
                <w:sz w:val="13"/>
                <w:szCs w:val="13"/>
                <w:color w:val="auto"/>
              </w:rPr>
            </w:pPr>
          </w:p>
        </w:tc>
        <w:tc>
          <w:tcPr>
            <w:tcW w:w="1240" w:type="dxa"/>
            <w:vAlign w:val="bottom"/>
            <w:tcBorders>
              <w:bottom w:val="single" w:sz="8" w:color="auto"/>
            </w:tcBorders>
          </w:tcPr>
          <w:p>
            <w:pPr>
              <w:ind w:left="320"/>
              <w:spacing w:after="0"/>
              <w:rPr>
                <w:sz w:val="20"/>
                <w:szCs w:val="20"/>
                <w:color w:val="auto"/>
              </w:rPr>
            </w:pPr>
            <w:r>
              <w:rPr>
                <w:rFonts w:ascii="Arial" w:cs="Arial" w:eastAsia="Arial" w:hAnsi="Arial"/>
                <w:sz w:val="13"/>
                <w:szCs w:val="13"/>
                <w:b w:val="1"/>
                <w:bCs w:val="1"/>
                <w:color w:val="auto"/>
              </w:rPr>
              <w:t>% Change</w:t>
            </w:r>
          </w:p>
        </w:tc>
        <w:tc>
          <w:tcPr>
            <w:tcW w:w="100" w:type="dxa"/>
            <w:vAlign w:val="bottom"/>
            <w:tcBorders>
              <w:bottom w:val="single" w:sz="8" w:color="CCEEFF"/>
            </w:tcBorders>
          </w:tcPr>
          <w:p>
            <w:pPr>
              <w:spacing w:after="0"/>
              <w:rPr>
                <w:sz w:val="13"/>
                <w:szCs w:val="13"/>
                <w:color w:val="auto"/>
              </w:rPr>
            </w:pPr>
          </w:p>
        </w:tc>
      </w:tr>
      <w:tr>
        <w:trPr>
          <w:trHeight w:val="146"/>
        </w:trPr>
        <w:tc>
          <w:tcPr>
            <w:tcW w:w="520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Research and development</w:t>
            </w:r>
          </w:p>
        </w:tc>
        <w:tc>
          <w:tcPr>
            <w:tcW w:w="280" w:type="dxa"/>
            <w:vAlign w:val="bottom"/>
            <w:shd w:val="clear" w:color="auto" w:fill="CCEEFF"/>
          </w:tcPr>
          <w:p>
            <w:pPr>
              <w:jc w:val="right"/>
              <w:ind w:right="135"/>
              <w:spacing w:after="0" w:line="146" w:lineRule="exact"/>
              <w:rPr>
                <w:sz w:val="20"/>
                <w:szCs w:val="20"/>
                <w:color w:val="auto"/>
              </w:rPr>
            </w:pPr>
            <w:r>
              <w:rPr>
                <w:rFonts w:ascii="Arial" w:cs="Arial" w:eastAsia="Arial" w:hAnsi="Arial"/>
                <w:sz w:val="13"/>
                <w:szCs w:val="13"/>
                <w:color w:val="auto"/>
                <w:w w:val="82"/>
              </w:rPr>
              <w:t>$</w:t>
            </w:r>
          </w:p>
        </w:tc>
        <w:tc>
          <w:tcPr>
            <w:tcW w:w="98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2,655,149</w:t>
            </w:r>
          </w:p>
        </w:tc>
        <w:tc>
          <w:tcPr>
            <w:tcW w:w="340" w:type="dxa"/>
            <w:vAlign w:val="bottom"/>
            <w:shd w:val="clear" w:color="auto" w:fill="CCEEFF"/>
          </w:tcPr>
          <w:p>
            <w:pPr>
              <w:spacing w:after="0"/>
              <w:rPr>
                <w:sz w:val="12"/>
                <w:szCs w:val="12"/>
                <w:color w:val="auto"/>
              </w:rPr>
            </w:pP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1,298,540</w:t>
            </w:r>
          </w:p>
        </w:tc>
        <w:tc>
          <w:tcPr>
            <w:tcW w:w="340" w:type="dxa"/>
            <w:vAlign w:val="bottom"/>
            <w:shd w:val="clear" w:color="auto" w:fill="CCEEFF"/>
          </w:tcPr>
          <w:p>
            <w:pPr>
              <w:spacing w:after="0"/>
              <w:rPr>
                <w:sz w:val="12"/>
                <w:szCs w:val="12"/>
                <w:color w:val="auto"/>
              </w:rPr>
            </w:pPr>
          </w:p>
        </w:tc>
        <w:tc>
          <w:tcPr>
            <w:tcW w:w="200" w:type="dxa"/>
            <w:vAlign w:val="bottom"/>
            <w:shd w:val="clear" w:color="auto" w:fill="CCEEFF"/>
          </w:tcPr>
          <w:p>
            <w:pPr>
              <w:jc w:val="right"/>
              <w:ind w:right="9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1,356,609</w:t>
            </w:r>
          </w:p>
        </w:tc>
        <w:tc>
          <w:tcPr>
            <w:tcW w:w="340" w:type="dxa"/>
            <w:vAlign w:val="bottom"/>
            <w:shd w:val="clear" w:color="auto" w:fill="CCEEFF"/>
          </w:tcPr>
          <w:p>
            <w:pPr>
              <w:spacing w:after="0"/>
              <w:rPr>
                <w:sz w:val="12"/>
                <w:szCs w:val="12"/>
                <w:color w:val="auto"/>
              </w:rPr>
            </w:pPr>
          </w:p>
        </w:tc>
        <w:tc>
          <w:tcPr>
            <w:tcW w:w="1340" w:type="dxa"/>
            <w:vAlign w:val="bottom"/>
            <w:gridSpan w:val="2"/>
            <w:shd w:val="clear" w:color="auto" w:fill="CCEEFF"/>
          </w:tcPr>
          <w:p>
            <w:pPr>
              <w:jc w:val="right"/>
              <w:spacing w:after="0" w:line="146" w:lineRule="exact"/>
              <w:rPr>
                <w:sz w:val="20"/>
                <w:szCs w:val="20"/>
                <w:color w:val="auto"/>
              </w:rPr>
            </w:pPr>
            <w:r>
              <w:rPr>
                <w:rFonts w:ascii="Arial" w:cs="Arial" w:eastAsia="Arial" w:hAnsi="Arial"/>
                <w:sz w:val="13"/>
                <w:szCs w:val="13"/>
                <w:color w:val="auto"/>
              </w:rPr>
              <w:t>104%</w:t>
            </w:r>
          </w:p>
        </w:tc>
      </w:tr>
      <w:tr>
        <w:trPr>
          <w:trHeight w:val="164"/>
        </w:trPr>
        <w:tc>
          <w:tcPr>
            <w:tcW w:w="5200" w:type="dxa"/>
            <w:vAlign w:val="bottom"/>
          </w:tcPr>
          <w:p>
            <w:pPr>
              <w:spacing w:after="0"/>
              <w:rPr>
                <w:sz w:val="20"/>
                <w:szCs w:val="20"/>
                <w:color w:val="auto"/>
              </w:rPr>
            </w:pPr>
            <w:r>
              <w:rPr>
                <w:rFonts w:ascii="Arial" w:cs="Arial" w:eastAsia="Arial" w:hAnsi="Arial"/>
                <w:sz w:val="13"/>
                <w:szCs w:val="13"/>
                <w:color w:val="auto"/>
              </w:rPr>
              <w:t>Percentage of total revenue</w:t>
            </w:r>
          </w:p>
        </w:tc>
        <w:tc>
          <w:tcPr>
            <w:tcW w:w="280" w:type="dxa"/>
            <w:vAlign w:val="bottom"/>
          </w:tcPr>
          <w:p>
            <w:pPr>
              <w:spacing w:after="0"/>
              <w:rPr>
                <w:sz w:val="14"/>
                <w:szCs w:val="14"/>
                <w:color w:val="auto"/>
              </w:rPr>
            </w:pPr>
          </w:p>
        </w:tc>
        <w:tc>
          <w:tcPr>
            <w:tcW w:w="1320" w:type="dxa"/>
            <w:vAlign w:val="bottom"/>
            <w:gridSpan w:val="2"/>
          </w:tcPr>
          <w:p>
            <w:pPr>
              <w:jc w:val="right"/>
              <w:ind w:right="240"/>
              <w:spacing w:after="0"/>
              <w:rPr>
                <w:sz w:val="20"/>
                <w:szCs w:val="20"/>
                <w:color w:val="auto"/>
              </w:rPr>
            </w:pPr>
            <w:r>
              <w:rPr>
                <w:rFonts w:ascii="Arial" w:cs="Arial" w:eastAsia="Arial" w:hAnsi="Arial"/>
                <w:sz w:val="13"/>
                <w:szCs w:val="13"/>
                <w:color w:val="auto"/>
              </w:rPr>
              <w:t>148%</w:t>
            </w:r>
          </w:p>
        </w:tc>
        <w:tc>
          <w:tcPr>
            <w:tcW w:w="280" w:type="dxa"/>
            <w:vAlign w:val="bottom"/>
          </w:tcPr>
          <w:p>
            <w:pPr>
              <w:spacing w:after="0"/>
              <w:rPr>
                <w:sz w:val="14"/>
                <w:szCs w:val="14"/>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79%</w:t>
            </w: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bl>
    <w:p>
      <w:pPr>
        <w:spacing w:after="0" w:line="140" w:lineRule="exact"/>
        <w:rPr>
          <w:sz w:val="20"/>
          <w:szCs w:val="20"/>
          <w:color w:val="auto"/>
        </w:rPr>
      </w:pPr>
    </w:p>
    <w:p>
      <w:pPr>
        <w:jc w:val="both"/>
        <w:ind w:right="280"/>
        <w:spacing w:after="0" w:line="332" w:lineRule="auto"/>
        <w:rPr>
          <w:sz w:val="20"/>
          <w:szCs w:val="20"/>
          <w:color w:val="auto"/>
        </w:rPr>
      </w:pPr>
      <w:r>
        <w:rPr>
          <w:rFonts w:ascii="Arial" w:cs="Arial" w:eastAsia="Arial" w:hAnsi="Arial"/>
          <w:sz w:val="11"/>
          <w:szCs w:val="11"/>
          <w:color w:val="auto"/>
        </w:rPr>
        <w:t>Research and development expenses increased by $1.4 million, or 104%, for the six months ended June 30, 2021 as compared to the respective period of the prior year. The increase is primarily due to increase in headcount and third-party consulting services related to our Federal Risk and Authorization Management Program (“FedRamp”) certification efforts in 2021 compared to the prior year. The Federal Government adopted the Cloud First Policy, which requires all cloud service providers that hold federal data to be FedRamp certified. FedRamp compliance will enable federal agencies to do business with Knightscope.</w:t>
      </w:r>
    </w:p>
    <w:p>
      <w:pPr>
        <w:spacing w:after="0" w:line="101"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5200" w:type="dxa"/>
            <w:vAlign w:val="bottom"/>
          </w:tcPr>
          <w:p>
            <w:pPr>
              <w:spacing w:after="0"/>
              <w:rPr>
                <w:sz w:val="20"/>
                <w:szCs w:val="20"/>
                <w:color w:val="auto"/>
              </w:rPr>
            </w:pPr>
            <w:r>
              <w:rPr>
                <w:rFonts w:ascii="Arial" w:cs="Arial" w:eastAsia="Arial" w:hAnsi="Arial"/>
                <w:sz w:val="13"/>
                <w:szCs w:val="13"/>
                <w:b w:val="1"/>
                <w:bCs w:val="1"/>
                <w:i w:val="1"/>
                <w:iCs w:val="1"/>
                <w:color w:val="auto"/>
              </w:rPr>
              <w:t>Sales and Marketing</w:t>
            </w:r>
          </w:p>
        </w:tc>
        <w:tc>
          <w:tcPr>
            <w:tcW w:w="28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52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900" w:type="dxa"/>
            <w:vAlign w:val="bottom"/>
            <w:gridSpan w:val="5"/>
          </w:tcPr>
          <w:p>
            <w:pPr>
              <w:jc w:val="right"/>
              <w:ind w:right="1020"/>
              <w:spacing w:after="0"/>
              <w:rPr>
                <w:sz w:val="20"/>
                <w:szCs w:val="20"/>
                <w:color w:val="auto"/>
              </w:rPr>
            </w:pPr>
            <w:r>
              <w:rPr>
                <w:rFonts w:ascii="Arial" w:cs="Arial" w:eastAsia="Arial" w:hAnsi="Arial"/>
                <w:sz w:val="13"/>
                <w:szCs w:val="13"/>
                <w:b w:val="1"/>
                <w:bCs w:val="1"/>
                <w:color w:val="auto"/>
              </w:rPr>
              <w:t>Six months ended June 30,</w:t>
            </w:r>
          </w:p>
        </w:tc>
        <w:tc>
          <w:tcPr>
            <w:tcW w:w="2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157"/>
        </w:trPr>
        <w:tc>
          <w:tcPr>
            <w:tcW w:w="520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80" w:type="dxa"/>
            <w:vAlign w:val="bottom"/>
            <w:tcBorders>
              <w:top w:val="single" w:sz="8" w:color="auto"/>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2021</w:t>
            </w:r>
          </w:p>
        </w:tc>
        <w:tc>
          <w:tcPr>
            <w:tcW w:w="340" w:type="dxa"/>
            <w:vAlign w:val="bottom"/>
            <w:tcBorders>
              <w:top w:val="single" w:sz="8" w:color="auto"/>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2020</w:t>
            </w:r>
          </w:p>
        </w:tc>
        <w:tc>
          <w:tcPr>
            <w:tcW w:w="340" w:type="dxa"/>
            <w:vAlign w:val="bottom"/>
            <w:tcBorders>
              <w:bottom w:val="single" w:sz="8" w:color="CCEEFF"/>
            </w:tcBorders>
          </w:tcPr>
          <w:p>
            <w:pPr>
              <w:spacing w:after="0"/>
              <w:rPr>
                <w:sz w:val="13"/>
                <w:szCs w:val="13"/>
                <w:color w:val="auto"/>
              </w:rPr>
            </w:pPr>
          </w:p>
        </w:tc>
        <w:tc>
          <w:tcPr>
            <w:tcW w:w="200" w:type="dxa"/>
            <w:vAlign w:val="bottom"/>
            <w:tcBorders>
              <w:bottom w:val="single" w:sz="8" w:color="auto"/>
            </w:tcBorders>
          </w:tcPr>
          <w:p>
            <w:pPr>
              <w:spacing w:after="0"/>
              <w:rPr>
                <w:sz w:val="13"/>
                <w:szCs w:val="13"/>
                <w:color w:val="auto"/>
              </w:rPr>
            </w:pPr>
          </w:p>
        </w:tc>
        <w:tc>
          <w:tcPr>
            <w:tcW w:w="1020" w:type="dxa"/>
            <w:vAlign w:val="bottom"/>
            <w:tcBorders>
              <w:bottom w:val="single" w:sz="8" w:color="auto"/>
            </w:tcBorders>
          </w:tcPr>
          <w:p>
            <w:pPr>
              <w:jc w:val="right"/>
              <w:ind w:right="275"/>
              <w:spacing w:after="0"/>
              <w:rPr>
                <w:sz w:val="20"/>
                <w:szCs w:val="20"/>
                <w:color w:val="auto"/>
              </w:rPr>
            </w:pPr>
            <w:r>
              <w:rPr>
                <w:rFonts w:ascii="Arial" w:cs="Arial" w:eastAsia="Arial" w:hAnsi="Arial"/>
                <w:sz w:val="13"/>
                <w:szCs w:val="13"/>
                <w:b w:val="1"/>
                <w:bCs w:val="1"/>
                <w:color w:val="auto"/>
              </w:rPr>
              <w:t>$ Change</w:t>
            </w:r>
          </w:p>
        </w:tc>
        <w:tc>
          <w:tcPr>
            <w:tcW w:w="340" w:type="dxa"/>
            <w:vAlign w:val="bottom"/>
            <w:tcBorders>
              <w:bottom w:val="single" w:sz="8" w:color="CCEEFF"/>
            </w:tcBorders>
          </w:tcPr>
          <w:p>
            <w:pPr>
              <w:spacing w:after="0"/>
              <w:rPr>
                <w:sz w:val="13"/>
                <w:szCs w:val="13"/>
                <w:color w:val="auto"/>
              </w:rPr>
            </w:pPr>
          </w:p>
        </w:tc>
        <w:tc>
          <w:tcPr>
            <w:tcW w:w="1240" w:type="dxa"/>
            <w:vAlign w:val="bottom"/>
            <w:tcBorders>
              <w:bottom w:val="single" w:sz="8" w:color="auto"/>
            </w:tcBorders>
          </w:tcPr>
          <w:p>
            <w:pPr>
              <w:ind w:left="320"/>
              <w:spacing w:after="0"/>
              <w:rPr>
                <w:sz w:val="20"/>
                <w:szCs w:val="20"/>
                <w:color w:val="auto"/>
              </w:rPr>
            </w:pPr>
            <w:r>
              <w:rPr>
                <w:rFonts w:ascii="Arial" w:cs="Arial" w:eastAsia="Arial" w:hAnsi="Arial"/>
                <w:sz w:val="13"/>
                <w:szCs w:val="13"/>
                <w:b w:val="1"/>
                <w:bCs w:val="1"/>
                <w:color w:val="auto"/>
              </w:rPr>
              <w:t>% Change</w:t>
            </w:r>
          </w:p>
        </w:tc>
        <w:tc>
          <w:tcPr>
            <w:tcW w:w="100" w:type="dxa"/>
            <w:vAlign w:val="bottom"/>
            <w:tcBorders>
              <w:bottom w:val="single" w:sz="8" w:color="CCEEFF"/>
            </w:tcBorders>
          </w:tcPr>
          <w:p>
            <w:pPr>
              <w:spacing w:after="0"/>
              <w:rPr>
                <w:sz w:val="13"/>
                <w:szCs w:val="13"/>
                <w:color w:val="auto"/>
              </w:rPr>
            </w:pPr>
          </w:p>
        </w:tc>
      </w:tr>
      <w:tr>
        <w:trPr>
          <w:trHeight w:val="146"/>
        </w:trPr>
        <w:tc>
          <w:tcPr>
            <w:tcW w:w="520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Sales and marketing</w:t>
            </w:r>
          </w:p>
        </w:tc>
        <w:tc>
          <w:tcPr>
            <w:tcW w:w="280" w:type="dxa"/>
            <w:vAlign w:val="bottom"/>
            <w:shd w:val="clear" w:color="auto" w:fill="CCEEFF"/>
          </w:tcPr>
          <w:p>
            <w:pPr>
              <w:jc w:val="right"/>
              <w:ind w:right="135"/>
              <w:spacing w:after="0" w:line="146" w:lineRule="exact"/>
              <w:rPr>
                <w:sz w:val="20"/>
                <w:szCs w:val="20"/>
                <w:color w:val="auto"/>
              </w:rPr>
            </w:pPr>
            <w:r>
              <w:rPr>
                <w:rFonts w:ascii="Arial" w:cs="Arial" w:eastAsia="Arial" w:hAnsi="Arial"/>
                <w:sz w:val="13"/>
                <w:szCs w:val="13"/>
                <w:color w:val="auto"/>
                <w:w w:val="82"/>
              </w:rPr>
              <w:t>$</w:t>
            </w:r>
          </w:p>
        </w:tc>
        <w:tc>
          <w:tcPr>
            <w:tcW w:w="98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6,630,731</w:t>
            </w:r>
          </w:p>
        </w:tc>
        <w:tc>
          <w:tcPr>
            <w:tcW w:w="340" w:type="dxa"/>
            <w:vAlign w:val="bottom"/>
            <w:shd w:val="clear" w:color="auto" w:fill="CCEEFF"/>
          </w:tcPr>
          <w:p>
            <w:pPr>
              <w:spacing w:after="0"/>
              <w:rPr>
                <w:sz w:val="12"/>
                <w:szCs w:val="12"/>
                <w:color w:val="auto"/>
              </w:rPr>
            </w:pP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2,838,070</w:t>
            </w:r>
          </w:p>
        </w:tc>
        <w:tc>
          <w:tcPr>
            <w:tcW w:w="340" w:type="dxa"/>
            <w:vAlign w:val="bottom"/>
            <w:shd w:val="clear" w:color="auto" w:fill="CCEEFF"/>
          </w:tcPr>
          <w:p>
            <w:pPr>
              <w:spacing w:after="0"/>
              <w:rPr>
                <w:sz w:val="12"/>
                <w:szCs w:val="12"/>
                <w:color w:val="auto"/>
              </w:rPr>
            </w:pPr>
          </w:p>
        </w:tc>
        <w:tc>
          <w:tcPr>
            <w:tcW w:w="200" w:type="dxa"/>
            <w:vAlign w:val="bottom"/>
            <w:shd w:val="clear" w:color="auto" w:fill="CCEEFF"/>
          </w:tcPr>
          <w:p>
            <w:pPr>
              <w:jc w:val="right"/>
              <w:ind w:right="9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3,792,661</w:t>
            </w:r>
          </w:p>
        </w:tc>
        <w:tc>
          <w:tcPr>
            <w:tcW w:w="340" w:type="dxa"/>
            <w:vAlign w:val="bottom"/>
            <w:shd w:val="clear" w:color="auto" w:fill="CCEEFF"/>
          </w:tcPr>
          <w:p>
            <w:pPr>
              <w:spacing w:after="0"/>
              <w:rPr>
                <w:sz w:val="12"/>
                <w:szCs w:val="12"/>
                <w:color w:val="auto"/>
              </w:rPr>
            </w:pPr>
          </w:p>
        </w:tc>
        <w:tc>
          <w:tcPr>
            <w:tcW w:w="1340" w:type="dxa"/>
            <w:vAlign w:val="bottom"/>
            <w:gridSpan w:val="2"/>
            <w:shd w:val="clear" w:color="auto" w:fill="CCEEFF"/>
          </w:tcPr>
          <w:p>
            <w:pPr>
              <w:jc w:val="right"/>
              <w:spacing w:after="0" w:line="146" w:lineRule="exact"/>
              <w:rPr>
                <w:sz w:val="20"/>
                <w:szCs w:val="20"/>
                <w:color w:val="auto"/>
              </w:rPr>
            </w:pPr>
            <w:r>
              <w:rPr>
                <w:rFonts w:ascii="Arial" w:cs="Arial" w:eastAsia="Arial" w:hAnsi="Arial"/>
                <w:sz w:val="13"/>
                <w:szCs w:val="13"/>
                <w:color w:val="auto"/>
              </w:rPr>
              <w:t>134%</w:t>
            </w:r>
          </w:p>
        </w:tc>
      </w:tr>
      <w:tr>
        <w:trPr>
          <w:trHeight w:val="164"/>
        </w:trPr>
        <w:tc>
          <w:tcPr>
            <w:tcW w:w="5200" w:type="dxa"/>
            <w:vAlign w:val="bottom"/>
          </w:tcPr>
          <w:p>
            <w:pPr>
              <w:spacing w:after="0"/>
              <w:rPr>
                <w:sz w:val="20"/>
                <w:szCs w:val="20"/>
                <w:color w:val="auto"/>
              </w:rPr>
            </w:pPr>
            <w:r>
              <w:rPr>
                <w:rFonts w:ascii="Arial" w:cs="Arial" w:eastAsia="Arial" w:hAnsi="Arial"/>
                <w:sz w:val="13"/>
                <w:szCs w:val="13"/>
                <w:color w:val="auto"/>
              </w:rPr>
              <w:t>Percentage of total revenue</w:t>
            </w:r>
          </w:p>
        </w:tc>
        <w:tc>
          <w:tcPr>
            <w:tcW w:w="280" w:type="dxa"/>
            <w:vAlign w:val="bottom"/>
          </w:tcPr>
          <w:p>
            <w:pPr>
              <w:spacing w:after="0"/>
              <w:rPr>
                <w:sz w:val="14"/>
                <w:szCs w:val="14"/>
                <w:color w:val="auto"/>
              </w:rPr>
            </w:pPr>
          </w:p>
        </w:tc>
        <w:tc>
          <w:tcPr>
            <w:tcW w:w="1320" w:type="dxa"/>
            <w:vAlign w:val="bottom"/>
            <w:gridSpan w:val="2"/>
          </w:tcPr>
          <w:p>
            <w:pPr>
              <w:jc w:val="right"/>
              <w:ind w:right="240"/>
              <w:spacing w:after="0"/>
              <w:rPr>
                <w:sz w:val="20"/>
                <w:szCs w:val="20"/>
                <w:color w:val="auto"/>
              </w:rPr>
            </w:pPr>
            <w:r>
              <w:rPr>
                <w:rFonts w:ascii="Arial" w:cs="Arial" w:eastAsia="Arial" w:hAnsi="Arial"/>
                <w:sz w:val="13"/>
                <w:szCs w:val="13"/>
                <w:color w:val="auto"/>
              </w:rPr>
              <w:t>369%</w:t>
            </w:r>
          </w:p>
        </w:tc>
        <w:tc>
          <w:tcPr>
            <w:tcW w:w="280" w:type="dxa"/>
            <w:vAlign w:val="bottom"/>
          </w:tcPr>
          <w:p>
            <w:pPr>
              <w:spacing w:after="0"/>
              <w:rPr>
                <w:sz w:val="14"/>
                <w:szCs w:val="14"/>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173%</w:t>
            </w: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bl>
    <w:p>
      <w:pPr>
        <w:spacing w:after="0" w:line="140" w:lineRule="exact"/>
        <w:rPr>
          <w:sz w:val="20"/>
          <w:szCs w:val="20"/>
          <w:color w:val="auto"/>
        </w:rPr>
      </w:pPr>
    </w:p>
    <w:p>
      <w:pPr>
        <w:ind w:right="420"/>
        <w:spacing w:after="0" w:line="274" w:lineRule="auto"/>
        <w:rPr>
          <w:sz w:val="20"/>
          <w:szCs w:val="20"/>
          <w:color w:val="auto"/>
        </w:rPr>
      </w:pPr>
      <w:r>
        <w:rPr>
          <w:rFonts w:ascii="Arial" w:cs="Arial" w:eastAsia="Arial" w:hAnsi="Arial"/>
          <w:sz w:val="13"/>
          <w:szCs w:val="13"/>
          <w:color w:val="auto"/>
        </w:rPr>
        <w:t>Sales and marketing expenses increased by $3.8 million, or 134%, for the six months ended June 30, 2021 as compared to the respective period of the prior year. The increase was primarily due to a significant increase in advertising, virtual tradeshow space, and an increase in headcount in 2021 compared to the prior year.</w:t>
      </w:r>
    </w:p>
    <w:p>
      <w:pPr>
        <w:spacing w:after="0" w:line="128"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5200" w:type="dxa"/>
            <w:vAlign w:val="bottom"/>
          </w:tcPr>
          <w:p>
            <w:pPr>
              <w:spacing w:after="0"/>
              <w:rPr>
                <w:sz w:val="20"/>
                <w:szCs w:val="20"/>
                <w:color w:val="auto"/>
              </w:rPr>
            </w:pPr>
            <w:r>
              <w:rPr>
                <w:rFonts w:ascii="Arial" w:cs="Arial" w:eastAsia="Arial" w:hAnsi="Arial"/>
                <w:sz w:val="13"/>
                <w:szCs w:val="13"/>
                <w:b w:val="1"/>
                <w:bCs w:val="1"/>
                <w:i w:val="1"/>
                <w:iCs w:val="1"/>
                <w:color w:val="auto"/>
              </w:rPr>
              <w:t>General and Administrative</w:t>
            </w:r>
          </w:p>
        </w:tc>
        <w:tc>
          <w:tcPr>
            <w:tcW w:w="28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780" w:type="dxa"/>
            <w:vAlign w:val="bottom"/>
          </w:tcPr>
          <w:p>
            <w:pPr>
              <w:spacing w:after="0"/>
              <w:rPr>
                <w:sz w:val="14"/>
                <w:szCs w:val="14"/>
                <w:color w:val="auto"/>
              </w:rPr>
            </w:pPr>
          </w:p>
        </w:tc>
        <w:tc>
          <w:tcPr>
            <w:tcW w:w="4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5200" w:type="dxa"/>
            <w:vAlign w:val="bottom"/>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100" w:type="dxa"/>
            <w:vAlign w:val="bottom"/>
            <w:tcBorders>
              <w:bottom w:val="single" w:sz="8" w:color="auto"/>
            </w:tcBorders>
            <w:gridSpan w:val="4"/>
          </w:tcPr>
          <w:p>
            <w:pPr>
              <w:jc w:val="right"/>
              <w:ind w:right="163"/>
              <w:spacing w:after="0"/>
              <w:rPr>
                <w:sz w:val="20"/>
                <w:szCs w:val="20"/>
                <w:color w:val="auto"/>
              </w:rPr>
            </w:pPr>
            <w:r>
              <w:rPr>
                <w:rFonts w:ascii="Arial" w:cs="Arial" w:eastAsia="Arial" w:hAnsi="Arial"/>
                <w:sz w:val="13"/>
                <w:szCs w:val="13"/>
                <w:b w:val="1"/>
                <w:bCs w:val="1"/>
                <w:color w:val="auto"/>
              </w:rPr>
              <w:t>Six months ended June 30,</w:t>
            </w:r>
          </w:p>
        </w:tc>
        <w:tc>
          <w:tcPr>
            <w:tcW w:w="460" w:type="dxa"/>
            <w:vAlign w:val="bottom"/>
            <w:tcBorders>
              <w:bottom w:val="single" w:sz="8" w:color="auto"/>
            </w:tcBorders>
          </w:tcPr>
          <w:p>
            <w:pPr>
              <w:spacing w:after="0"/>
              <w:rPr>
                <w:sz w:val="24"/>
                <w:szCs w:val="24"/>
                <w:color w:val="auto"/>
              </w:rPr>
            </w:pPr>
          </w:p>
        </w:tc>
        <w:tc>
          <w:tcPr>
            <w:tcW w:w="3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157"/>
        </w:trPr>
        <w:tc>
          <w:tcPr>
            <w:tcW w:w="5200" w:type="dxa"/>
            <w:vAlign w:val="bottom"/>
            <w:tcBorders>
              <w:bottom w:val="single" w:sz="8" w:color="CCEEFF"/>
            </w:tcBorders>
          </w:tcPr>
          <w:p>
            <w:pPr>
              <w:spacing w:after="0"/>
              <w:rPr>
                <w:sz w:val="13"/>
                <w:szCs w:val="13"/>
                <w:color w:val="auto"/>
              </w:rPr>
            </w:pPr>
          </w:p>
        </w:tc>
        <w:tc>
          <w:tcPr>
            <w:tcW w:w="280" w:type="dxa"/>
            <w:vAlign w:val="bottom"/>
            <w:tcBorders>
              <w:bottom w:val="single" w:sz="8" w:color="auto"/>
            </w:tcBorders>
          </w:tcPr>
          <w:p>
            <w:pPr>
              <w:spacing w:after="0"/>
              <w:rPr>
                <w:sz w:val="13"/>
                <w:szCs w:val="13"/>
                <w:color w:val="auto"/>
              </w:rPr>
            </w:pPr>
          </w:p>
        </w:tc>
        <w:tc>
          <w:tcPr>
            <w:tcW w:w="980" w:type="dxa"/>
            <w:vAlign w:val="bottom"/>
            <w:tcBorders>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2021</w:t>
            </w:r>
          </w:p>
        </w:tc>
        <w:tc>
          <w:tcPr>
            <w:tcW w:w="220" w:type="dxa"/>
            <w:vAlign w:val="bottom"/>
            <w:tcBorders>
              <w:bottom w:val="single" w:sz="8" w:color="CCEEFF"/>
            </w:tcBorders>
          </w:tcPr>
          <w:p>
            <w:pPr>
              <w:spacing w:after="0"/>
              <w:rPr>
                <w:sz w:val="13"/>
                <w:szCs w:val="13"/>
                <w:color w:val="auto"/>
              </w:rPr>
            </w:pPr>
          </w:p>
        </w:tc>
        <w:tc>
          <w:tcPr>
            <w:tcW w:w="120" w:type="dxa"/>
            <w:vAlign w:val="bottom"/>
            <w:tcBorders>
              <w:bottom w:val="single" w:sz="8" w:color="CCEEFF"/>
            </w:tcBorders>
          </w:tcPr>
          <w:p>
            <w:pPr>
              <w:spacing w:after="0"/>
              <w:rPr>
                <w:sz w:val="13"/>
                <w:szCs w:val="13"/>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3"/>
                <w:szCs w:val="13"/>
                <w:b w:val="1"/>
                <w:bCs w:val="1"/>
                <w:color w:val="auto"/>
              </w:rPr>
              <w:t>2020</w:t>
            </w:r>
          </w:p>
        </w:tc>
        <w:tc>
          <w:tcPr>
            <w:tcW w:w="460" w:type="dxa"/>
            <w:vAlign w:val="bottom"/>
            <w:tcBorders>
              <w:bottom w:val="single" w:sz="8" w:color="auto"/>
            </w:tcBorders>
          </w:tcPr>
          <w:p>
            <w:pPr>
              <w:spacing w:after="0"/>
              <w:rPr>
                <w:sz w:val="13"/>
                <w:szCs w:val="13"/>
                <w:color w:val="auto"/>
              </w:rPr>
            </w:pPr>
          </w:p>
        </w:tc>
        <w:tc>
          <w:tcPr>
            <w:tcW w:w="340" w:type="dxa"/>
            <w:vAlign w:val="bottom"/>
            <w:tcBorders>
              <w:bottom w:val="single" w:sz="8" w:color="CCEEFF"/>
            </w:tcBorders>
          </w:tcPr>
          <w:p>
            <w:pPr>
              <w:spacing w:after="0"/>
              <w:rPr>
                <w:sz w:val="13"/>
                <w:szCs w:val="13"/>
                <w:color w:val="auto"/>
              </w:rPr>
            </w:pPr>
          </w:p>
        </w:tc>
        <w:tc>
          <w:tcPr>
            <w:tcW w:w="200" w:type="dxa"/>
            <w:vAlign w:val="bottom"/>
            <w:tcBorders>
              <w:bottom w:val="single" w:sz="8" w:color="auto"/>
            </w:tcBorders>
          </w:tcPr>
          <w:p>
            <w:pPr>
              <w:spacing w:after="0"/>
              <w:rPr>
                <w:sz w:val="13"/>
                <w:szCs w:val="13"/>
                <w:color w:val="auto"/>
              </w:rPr>
            </w:pPr>
          </w:p>
        </w:tc>
        <w:tc>
          <w:tcPr>
            <w:tcW w:w="1020" w:type="dxa"/>
            <w:vAlign w:val="bottom"/>
            <w:tcBorders>
              <w:bottom w:val="single" w:sz="8" w:color="auto"/>
            </w:tcBorders>
          </w:tcPr>
          <w:p>
            <w:pPr>
              <w:jc w:val="right"/>
              <w:ind w:right="275"/>
              <w:spacing w:after="0"/>
              <w:rPr>
                <w:sz w:val="20"/>
                <w:szCs w:val="20"/>
                <w:color w:val="auto"/>
              </w:rPr>
            </w:pPr>
            <w:r>
              <w:rPr>
                <w:rFonts w:ascii="Arial" w:cs="Arial" w:eastAsia="Arial" w:hAnsi="Arial"/>
                <w:sz w:val="13"/>
                <w:szCs w:val="13"/>
                <w:b w:val="1"/>
                <w:bCs w:val="1"/>
                <w:color w:val="auto"/>
              </w:rPr>
              <w:t>$ Change</w:t>
            </w:r>
          </w:p>
        </w:tc>
        <w:tc>
          <w:tcPr>
            <w:tcW w:w="340" w:type="dxa"/>
            <w:vAlign w:val="bottom"/>
            <w:tcBorders>
              <w:bottom w:val="single" w:sz="8" w:color="CCEEFF"/>
            </w:tcBorders>
          </w:tcPr>
          <w:p>
            <w:pPr>
              <w:spacing w:after="0"/>
              <w:rPr>
                <w:sz w:val="13"/>
                <w:szCs w:val="13"/>
                <w:color w:val="auto"/>
              </w:rPr>
            </w:pPr>
          </w:p>
        </w:tc>
        <w:tc>
          <w:tcPr>
            <w:tcW w:w="1240" w:type="dxa"/>
            <w:vAlign w:val="bottom"/>
            <w:tcBorders>
              <w:bottom w:val="single" w:sz="8" w:color="auto"/>
            </w:tcBorders>
          </w:tcPr>
          <w:p>
            <w:pPr>
              <w:ind w:left="320"/>
              <w:spacing w:after="0"/>
              <w:rPr>
                <w:sz w:val="20"/>
                <w:szCs w:val="20"/>
                <w:color w:val="auto"/>
              </w:rPr>
            </w:pPr>
            <w:r>
              <w:rPr>
                <w:rFonts w:ascii="Arial" w:cs="Arial" w:eastAsia="Arial" w:hAnsi="Arial"/>
                <w:sz w:val="13"/>
                <w:szCs w:val="13"/>
                <w:b w:val="1"/>
                <w:bCs w:val="1"/>
                <w:color w:val="auto"/>
              </w:rPr>
              <w:t>% Change</w:t>
            </w:r>
          </w:p>
        </w:tc>
        <w:tc>
          <w:tcPr>
            <w:tcW w:w="100" w:type="dxa"/>
            <w:vAlign w:val="bottom"/>
            <w:tcBorders>
              <w:bottom w:val="single" w:sz="8" w:color="CCEEFF"/>
            </w:tcBorders>
          </w:tcPr>
          <w:p>
            <w:pPr>
              <w:spacing w:after="0"/>
              <w:rPr>
                <w:sz w:val="13"/>
                <w:szCs w:val="13"/>
                <w:color w:val="auto"/>
              </w:rPr>
            </w:pPr>
          </w:p>
        </w:tc>
      </w:tr>
      <w:tr>
        <w:trPr>
          <w:trHeight w:val="146"/>
        </w:trPr>
        <w:tc>
          <w:tcPr>
            <w:tcW w:w="520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General and administrative</w:t>
            </w:r>
          </w:p>
        </w:tc>
        <w:tc>
          <w:tcPr>
            <w:tcW w:w="280" w:type="dxa"/>
            <w:vAlign w:val="bottom"/>
            <w:shd w:val="clear" w:color="auto" w:fill="CCEEFF"/>
          </w:tcPr>
          <w:p>
            <w:pPr>
              <w:jc w:val="right"/>
              <w:ind w:right="135"/>
              <w:spacing w:after="0" w:line="146" w:lineRule="exact"/>
              <w:rPr>
                <w:sz w:val="20"/>
                <w:szCs w:val="20"/>
                <w:color w:val="auto"/>
              </w:rPr>
            </w:pPr>
            <w:r>
              <w:rPr>
                <w:rFonts w:ascii="Arial" w:cs="Arial" w:eastAsia="Arial" w:hAnsi="Arial"/>
                <w:sz w:val="13"/>
                <w:szCs w:val="13"/>
                <w:color w:val="auto"/>
                <w:w w:val="82"/>
              </w:rPr>
              <w:t>$</w:t>
            </w:r>
          </w:p>
        </w:tc>
        <w:tc>
          <w:tcPr>
            <w:tcW w:w="98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1,664,819</w:t>
            </w:r>
          </w:p>
        </w:tc>
        <w:tc>
          <w:tcPr>
            <w:tcW w:w="22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780" w:type="dxa"/>
            <w:vAlign w:val="bottom"/>
            <w:shd w:val="clear" w:color="auto" w:fill="CCEEFF"/>
          </w:tcPr>
          <w:p>
            <w:pPr>
              <w:jc w:val="right"/>
              <w:ind w:right="663"/>
              <w:spacing w:after="0"/>
              <w:rPr>
                <w:sz w:val="20"/>
                <w:szCs w:val="20"/>
                <w:color w:val="auto"/>
              </w:rPr>
            </w:pPr>
            <w:r>
              <w:rPr>
                <w:rFonts w:ascii="Arial" w:cs="Arial" w:eastAsia="Arial" w:hAnsi="Arial"/>
                <w:sz w:val="10"/>
                <w:szCs w:val="10"/>
                <w:color w:val="auto"/>
                <w:w w:val="71"/>
              </w:rPr>
              <w:t>$</w:t>
            </w:r>
          </w:p>
        </w:tc>
        <w:tc>
          <w:tcPr>
            <w:tcW w:w="4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w w:val="93"/>
              </w:rPr>
              <w:t>980,089</w:t>
            </w:r>
          </w:p>
        </w:tc>
        <w:tc>
          <w:tcPr>
            <w:tcW w:w="340" w:type="dxa"/>
            <w:vAlign w:val="bottom"/>
            <w:shd w:val="clear" w:color="auto" w:fill="CCEEFF"/>
          </w:tcPr>
          <w:p>
            <w:pPr>
              <w:spacing w:after="0"/>
              <w:rPr>
                <w:sz w:val="12"/>
                <w:szCs w:val="12"/>
                <w:color w:val="auto"/>
              </w:rPr>
            </w:pPr>
          </w:p>
        </w:tc>
        <w:tc>
          <w:tcPr>
            <w:tcW w:w="200" w:type="dxa"/>
            <w:vAlign w:val="bottom"/>
            <w:shd w:val="clear" w:color="auto" w:fill="CCEEFF"/>
          </w:tcPr>
          <w:p>
            <w:pPr>
              <w:jc w:val="right"/>
              <w:ind w:right="9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684,730</w:t>
            </w:r>
          </w:p>
        </w:tc>
        <w:tc>
          <w:tcPr>
            <w:tcW w:w="340" w:type="dxa"/>
            <w:vAlign w:val="bottom"/>
            <w:shd w:val="clear" w:color="auto" w:fill="CCEEFF"/>
          </w:tcPr>
          <w:p>
            <w:pPr>
              <w:spacing w:after="0"/>
              <w:rPr>
                <w:sz w:val="12"/>
                <w:szCs w:val="12"/>
                <w:color w:val="auto"/>
              </w:rPr>
            </w:pPr>
          </w:p>
        </w:tc>
        <w:tc>
          <w:tcPr>
            <w:tcW w:w="1340" w:type="dxa"/>
            <w:vAlign w:val="bottom"/>
            <w:gridSpan w:val="2"/>
            <w:shd w:val="clear" w:color="auto" w:fill="CCEEFF"/>
          </w:tcPr>
          <w:p>
            <w:pPr>
              <w:jc w:val="right"/>
              <w:spacing w:after="0" w:line="146" w:lineRule="exact"/>
              <w:rPr>
                <w:sz w:val="20"/>
                <w:szCs w:val="20"/>
                <w:color w:val="auto"/>
              </w:rPr>
            </w:pPr>
            <w:r>
              <w:rPr>
                <w:rFonts w:ascii="Arial" w:cs="Arial" w:eastAsia="Arial" w:hAnsi="Arial"/>
                <w:sz w:val="13"/>
                <w:szCs w:val="13"/>
                <w:color w:val="auto"/>
              </w:rPr>
              <w:t>70%</w:t>
            </w:r>
          </w:p>
        </w:tc>
      </w:tr>
      <w:tr>
        <w:trPr>
          <w:trHeight w:val="164"/>
        </w:trPr>
        <w:tc>
          <w:tcPr>
            <w:tcW w:w="5200" w:type="dxa"/>
            <w:vAlign w:val="bottom"/>
          </w:tcPr>
          <w:p>
            <w:pPr>
              <w:spacing w:after="0"/>
              <w:rPr>
                <w:sz w:val="20"/>
                <w:szCs w:val="20"/>
                <w:color w:val="auto"/>
              </w:rPr>
            </w:pPr>
            <w:r>
              <w:rPr>
                <w:rFonts w:ascii="Arial" w:cs="Arial" w:eastAsia="Arial" w:hAnsi="Arial"/>
                <w:sz w:val="13"/>
                <w:szCs w:val="13"/>
                <w:color w:val="auto"/>
              </w:rPr>
              <w:t>Percentage of total revenue</w:t>
            </w:r>
          </w:p>
        </w:tc>
        <w:tc>
          <w:tcPr>
            <w:tcW w:w="280" w:type="dxa"/>
            <w:vAlign w:val="bottom"/>
          </w:tcPr>
          <w:p>
            <w:pPr>
              <w:spacing w:after="0"/>
              <w:rPr>
                <w:sz w:val="14"/>
                <w:szCs w:val="14"/>
                <w:color w:val="auto"/>
              </w:rPr>
            </w:pPr>
          </w:p>
        </w:tc>
        <w:tc>
          <w:tcPr>
            <w:tcW w:w="1200" w:type="dxa"/>
            <w:vAlign w:val="bottom"/>
            <w:gridSpan w:val="2"/>
          </w:tcPr>
          <w:p>
            <w:pPr>
              <w:jc w:val="right"/>
              <w:ind w:right="120"/>
              <w:spacing w:after="0"/>
              <w:rPr>
                <w:sz w:val="20"/>
                <w:szCs w:val="20"/>
                <w:color w:val="auto"/>
              </w:rPr>
            </w:pPr>
            <w:r>
              <w:rPr>
                <w:rFonts w:ascii="Arial" w:cs="Arial" w:eastAsia="Arial" w:hAnsi="Arial"/>
                <w:sz w:val="13"/>
                <w:szCs w:val="13"/>
                <w:color w:val="auto"/>
              </w:rPr>
              <w:t>93%</w:t>
            </w:r>
          </w:p>
        </w:tc>
        <w:tc>
          <w:tcPr>
            <w:tcW w:w="120" w:type="dxa"/>
            <w:vAlign w:val="bottom"/>
          </w:tcPr>
          <w:p>
            <w:pPr>
              <w:spacing w:after="0"/>
              <w:rPr>
                <w:sz w:val="14"/>
                <w:szCs w:val="14"/>
                <w:color w:val="auto"/>
              </w:rPr>
            </w:pPr>
          </w:p>
        </w:tc>
        <w:tc>
          <w:tcPr>
            <w:tcW w:w="780" w:type="dxa"/>
            <w:vAlign w:val="bottom"/>
          </w:tcPr>
          <w:p>
            <w:pPr>
              <w:spacing w:after="0"/>
              <w:rPr>
                <w:sz w:val="14"/>
                <w:szCs w:val="14"/>
                <w:color w:val="auto"/>
              </w:rPr>
            </w:pPr>
          </w:p>
        </w:tc>
        <w:tc>
          <w:tcPr>
            <w:tcW w:w="800" w:type="dxa"/>
            <w:vAlign w:val="bottom"/>
            <w:gridSpan w:val="2"/>
          </w:tcPr>
          <w:p>
            <w:pPr>
              <w:jc w:val="right"/>
              <w:ind w:right="240"/>
              <w:spacing w:after="0"/>
              <w:rPr>
                <w:sz w:val="20"/>
                <w:szCs w:val="20"/>
                <w:color w:val="auto"/>
              </w:rPr>
            </w:pPr>
            <w:r>
              <w:rPr>
                <w:rFonts w:ascii="Arial" w:cs="Arial" w:eastAsia="Arial" w:hAnsi="Arial"/>
                <w:sz w:val="13"/>
                <w:szCs w:val="13"/>
                <w:color w:val="auto"/>
              </w:rPr>
              <w:t>60%</w:t>
            </w: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bl>
    <w:p>
      <w:pPr>
        <w:spacing w:after="0" w:line="140" w:lineRule="exact"/>
        <w:rPr>
          <w:sz w:val="20"/>
          <w:szCs w:val="20"/>
          <w:color w:val="auto"/>
        </w:rPr>
      </w:pPr>
    </w:p>
    <w:p>
      <w:pPr>
        <w:ind w:right="280"/>
        <w:spacing w:after="0" w:line="274" w:lineRule="auto"/>
        <w:rPr>
          <w:sz w:val="20"/>
          <w:szCs w:val="20"/>
          <w:color w:val="auto"/>
        </w:rPr>
      </w:pPr>
      <w:r>
        <w:rPr>
          <w:rFonts w:ascii="Arial" w:cs="Arial" w:eastAsia="Arial" w:hAnsi="Arial"/>
          <w:sz w:val="13"/>
          <w:szCs w:val="13"/>
          <w:color w:val="auto"/>
        </w:rPr>
        <w:t>General and administrative expenses increased by $0.7 million, or 70%, for the six months ended June 30, 2021 as compared to the respective period of the prior year. The increase was primarily driven by higher professional services, consulting fees and an increase in headcount in 2021 compared to the prior year.</w:t>
      </w:r>
    </w:p>
    <w:p>
      <w:pPr>
        <w:spacing w:after="0" w:line="284"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29" w:name="page30"/>
    <w:bookmarkEnd w:id="29"/>
    <w:p>
      <w:pPr>
        <w:spacing w:after="0"/>
        <w:rPr>
          <w:sz w:val="20"/>
          <w:szCs w:val="20"/>
          <w:color w:val="auto"/>
        </w:rPr>
      </w:pPr>
      <w:r>
        <w:rPr>
          <w:rFonts w:ascii="Arial" w:cs="Arial" w:eastAsia="Arial" w:hAnsi="Arial"/>
          <w:sz w:val="13"/>
          <w:szCs w:val="13"/>
          <w:b w:val="1"/>
          <w:bCs w:val="1"/>
          <w:i w:val="1"/>
          <w:iCs w:val="1"/>
          <w:color w:val="auto"/>
        </w:rPr>
        <w:t>Other Income/(Expense), Net</w:t>
      </w:r>
    </w:p>
    <w:p>
      <w:pPr>
        <w:spacing w:after="0" w:line="200" w:lineRule="exact"/>
        <w:rPr>
          <w:sz w:val="20"/>
          <w:szCs w:val="20"/>
          <w:color w:val="auto"/>
        </w:rPr>
      </w:pPr>
    </w:p>
    <w:p>
      <w:pPr>
        <w:spacing w:after="0" w:line="315" w:lineRule="exact"/>
        <w:rPr>
          <w:sz w:val="20"/>
          <w:szCs w:val="20"/>
          <w:color w:val="auto"/>
        </w:rPr>
      </w:pPr>
    </w:p>
    <w:p>
      <w:pPr>
        <w:spacing w:after="0"/>
        <w:rPr>
          <w:sz w:val="20"/>
          <w:szCs w:val="20"/>
          <w:color w:val="auto"/>
        </w:rPr>
      </w:pPr>
      <w:r>
        <w:rPr>
          <w:rFonts w:ascii="Arial" w:cs="Arial" w:eastAsia="Arial" w:hAnsi="Arial"/>
          <w:sz w:val="13"/>
          <w:szCs w:val="13"/>
          <w:color w:val="auto"/>
        </w:rPr>
        <w:t>Interest expense, net</w:t>
      </w:r>
    </w:p>
    <w:p>
      <w:pPr>
        <w:spacing w:after="0" w:line="15" w:lineRule="exact"/>
        <w:rPr>
          <w:sz w:val="20"/>
          <w:szCs w:val="20"/>
          <w:color w:val="auto"/>
        </w:rPr>
      </w:pPr>
    </w:p>
    <w:p>
      <w:pPr>
        <w:spacing w:after="0"/>
        <w:rPr>
          <w:sz w:val="20"/>
          <w:szCs w:val="20"/>
          <w:color w:val="auto"/>
        </w:rPr>
      </w:pPr>
      <w:r>
        <w:rPr>
          <w:rFonts w:ascii="Arial" w:cs="Arial" w:eastAsia="Arial" w:hAnsi="Arial"/>
          <w:sz w:val="12"/>
          <w:szCs w:val="12"/>
          <w:color w:val="auto"/>
        </w:rPr>
        <w:t>Change in fair value of warrant liabilities</w:t>
      </w:r>
    </w:p>
    <w:p>
      <w:pPr>
        <w:spacing w:after="0" w:line="18" w:lineRule="exact"/>
        <w:rPr>
          <w:sz w:val="20"/>
          <w:szCs w:val="20"/>
          <w:color w:val="auto"/>
        </w:rPr>
      </w:pPr>
    </w:p>
    <w:p>
      <w:pPr>
        <w:spacing w:after="0"/>
        <w:rPr>
          <w:sz w:val="20"/>
          <w:szCs w:val="20"/>
          <w:color w:val="auto"/>
        </w:rPr>
      </w:pPr>
      <w:r>
        <w:rPr>
          <w:rFonts w:ascii="Arial" w:cs="Arial" w:eastAsia="Arial" w:hAnsi="Arial"/>
          <w:sz w:val="13"/>
          <w:szCs w:val="13"/>
          <w:color w:val="auto"/>
        </w:rPr>
        <w:t>Other income, net</w:t>
      </w:r>
    </w:p>
    <w:p>
      <w:pPr>
        <w:spacing w:after="0" w:line="9" w:lineRule="exact"/>
        <w:rPr>
          <w:sz w:val="20"/>
          <w:szCs w:val="20"/>
          <w:color w:val="auto"/>
        </w:rPr>
      </w:pPr>
    </w:p>
    <w:p>
      <w:pPr>
        <w:ind w:left="120"/>
        <w:spacing w:after="0"/>
        <w:rPr>
          <w:sz w:val="20"/>
          <w:szCs w:val="20"/>
          <w:color w:val="auto"/>
        </w:rPr>
      </w:pPr>
      <w:r>
        <w:rPr>
          <w:rFonts w:ascii="Arial" w:cs="Arial" w:eastAsia="Arial" w:hAnsi="Arial"/>
          <w:sz w:val="13"/>
          <w:szCs w:val="13"/>
          <w:color w:val="auto"/>
        </w:rPr>
        <w:t>Total other income (expense)</w:t>
      </w:r>
    </w:p>
    <w:p>
      <w:pPr>
        <w:spacing w:after="0" w:line="20" w:lineRule="exact"/>
        <w:rPr>
          <w:sz w:val="20"/>
          <w:szCs w:val="20"/>
          <w:color w:val="auto"/>
        </w:rPr>
      </w:pPr>
      <w:r>
        <w:rPr>
          <w:sz w:val="20"/>
          <w:szCs w:val="20"/>
          <w:color w:val="auto"/>
        </w:rPr>
        <w:br w:type="column"/>
      </w:r>
    </w:p>
    <w:p>
      <w:pPr>
        <w:spacing w:after="0" w:line="299"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168"/>
        </w:trPr>
        <w:tc>
          <w:tcPr>
            <w:tcW w:w="280" w:type="dxa"/>
            <w:vAlign w:val="bottom"/>
          </w:tcPr>
          <w:p>
            <w:pPr>
              <w:spacing w:after="0"/>
              <w:rPr>
                <w:sz w:val="14"/>
                <w:szCs w:val="14"/>
                <w:color w:val="auto"/>
              </w:rPr>
            </w:pPr>
          </w:p>
        </w:tc>
        <w:tc>
          <w:tcPr>
            <w:tcW w:w="2860" w:type="dxa"/>
            <w:vAlign w:val="bottom"/>
            <w:gridSpan w:val="5"/>
          </w:tcPr>
          <w:p>
            <w:pPr>
              <w:jc w:val="right"/>
              <w:ind w:right="962"/>
              <w:spacing w:after="0"/>
              <w:rPr>
                <w:sz w:val="20"/>
                <w:szCs w:val="20"/>
                <w:color w:val="auto"/>
              </w:rPr>
            </w:pPr>
            <w:r>
              <w:rPr>
                <w:rFonts w:ascii="Arial" w:cs="Arial" w:eastAsia="Arial" w:hAnsi="Arial"/>
                <w:sz w:val="13"/>
                <w:szCs w:val="13"/>
                <w:b w:val="1"/>
                <w:bCs w:val="1"/>
                <w:color w:val="auto"/>
              </w:rPr>
              <w:t>Six months ended June 30</w:t>
            </w: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40" w:type="dxa"/>
            <w:vAlign w:val="bottom"/>
          </w:tcPr>
          <w:p>
            <w:pPr>
              <w:spacing w:after="0"/>
              <w:rPr>
                <w:sz w:val="14"/>
                <w:szCs w:val="14"/>
                <w:color w:val="auto"/>
              </w:rPr>
            </w:pPr>
          </w:p>
        </w:tc>
      </w:tr>
      <w:tr>
        <w:trPr>
          <w:trHeight w:val="157"/>
        </w:trPr>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340" w:type="dxa"/>
            <w:vAlign w:val="bottom"/>
            <w:tcBorders>
              <w:top w:val="single" w:sz="8" w:color="auto"/>
            </w:tcBorders>
          </w:tcPr>
          <w:p>
            <w:pPr>
              <w:spacing w:after="0"/>
              <w:rPr>
                <w:sz w:val="13"/>
                <w:szCs w:val="13"/>
                <w:color w:val="auto"/>
              </w:rPr>
            </w:pPr>
          </w:p>
        </w:tc>
        <w:tc>
          <w:tcPr>
            <w:tcW w:w="26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340" w:type="dxa"/>
            <w:vAlign w:val="bottom"/>
          </w:tcPr>
          <w:p>
            <w:pPr>
              <w:spacing w:after="0"/>
              <w:rPr>
                <w:sz w:val="13"/>
                <w:szCs w:val="13"/>
                <w:color w:val="auto"/>
              </w:rPr>
            </w:pPr>
          </w:p>
        </w:tc>
        <w:tc>
          <w:tcPr>
            <w:tcW w:w="200" w:type="dxa"/>
            <w:vAlign w:val="bottom"/>
            <w:tcBorders>
              <w:bottom w:val="single" w:sz="8" w:color="auto"/>
            </w:tcBorders>
          </w:tcPr>
          <w:p>
            <w:pPr>
              <w:spacing w:after="0"/>
              <w:rPr>
                <w:sz w:val="13"/>
                <w:szCs w:val="13"/>
                <w:color w:val="auto"/>
              </w:rPr>
            </w:pPr>
          </w:p>
        </w:tc>
        <w:tc>
          <w:tcPr>
            <w:tcW w:w="1020" w:type="dxa"/>
            <w:vAlign w:val="bottom"/>
            <w:tcBorders>
              <w:bottom w:val="single" w:sz="8" w:color="auto"/>
            </w:tcBorders>
          </w:tcPr>
          <w:p>
            <w:pPr>
              <w:jc w:val="right"/>
              <w:ind w:right="275"/>
              <w:spacing w:after="0"/>
              <w:rPr>
                <w:sz w:val="20"/>
                <w:szCs w:val="20"/>
                <w:color w:val="auto"/>
              </w:rPr>
            </w:pPr>
            <w:r>
              <w:rPr>
                <w:rFonts w:ascii="Arial" w:cs="Arial" w:eastAsia="Arial" w:hAnsi="Arial"/>
                <w:sz w:val="13"/>
                <w:szCs w:val="13"/>
                <w:b w:val="1"/>
                <w:bCs w:val="1"/>
                <w:color w:val="auto"/>
              </w:rPr>
              <w:t>$ Change</w:t>
            </w:r>
          </w:p>
        </w:tc>
        <w:tc>
          <w:tcPr>
            <w:tcW w:w="340" w:type="dxa"/>
            <w:vAlign w:val="bottom"/>
            <w:gridSpan w:val="2"/>
          </w:tcPr>
          <w:p>
            <w:pPr>
              <w:spacing w:after="0"/>
              <w:rPr>
                <w:sz w:val="13"/>
                <w:szCs w:val="13"/>
                <w:color w:val="auto"/>
              </w:rPr>
            </w:pPr>
          </w:p>
        </w:tc>
        <w:tc>
          <w:tcPr>
            <w:tcW w:w="1240" w:type="dxa"/>
            <w:vAlign w:val="bottom"/>
            <w:tcBorders>
              <w:bottom w:val="single" w:sz="8" w:color="auto"/>
            </w:tcBorders>
          </w:tcPr>
          <w:p>
            <w:pPr>
              <w:ind w:left="320"/>
              <w:spacing w:after="0"/>
              <w:rPr>
                <w:sz w:val="20"/>
                <w:szCs w:val="20"/>
                <w:color w:val="auto"/>
              </w:rPr>
            </w:pPr>
            <w:r>
              <w:rPr>
                <w:rFonts w:ascii="Arial" w:cs="Arial" w:eastAsia="Arial" w:hAnsi="Arial"/>
                <w:sz w:val="13"/>
                <w:szCs w:val="13"/>
                <w:b w:val="1"/>
                <w:bCs w:val="1"/>
                <w:color w:val="auto"/>
              </w:rPr>
              <w:t>% Change</w:t>
            </w:r>
          </w:p>
        </w:tc>
        <w:tc>
          <w:tcPr>
            <w:tcW w:w="140" w:type="dxa"/>
            <w:vAlign w:val="bottom"/>
          </w:tcPr>
          <w:p>
            <w:pPr>
              <w:spacing w:after="0"/>
              <w:rPr>
                <w:sz w:val="13"/>
                <w:szCs w:val="13"/>
                <w:color w:val="auto"/>
              </w:rPr>
            </w:pPr>
          </w:p>
        </w:tc>
      </w:tr>
      <w:tr>
        <w:trPr>
          <w:trHeight w:val="137"/>
        </w:trPr>
        <w:tc>
          <w:tcPr>
            <w:tcW w:w="280" w:type="dxa"/>
            <w:vAlign w:val="bottom"/>
          </w:tcPr>
          <w:p>
            <w:pPr>
              <w:jc w:val="right"/>
              <w:ind w:right="135"/>
              <w:spacing w:after="0" w:line="138" w:lineRule="exact"/>
              <w:rPr>
                <w:sz w:val="20"/>
                <w:szCs w:val="20"/>
                <w:color w:val="auto"/>
              </w:rPr>
            </w:pPr>
            <w:r>
              <w:rPr>
                <w:rFonts w:ascii="Arial" w:cs="Arial" w:eastAsia="Arial" w:hAnsi="Arial"/>
                <w:sz w:val="13"/>
                <w:szCs w:val="13"/>
                <w:color w:val="auto"/>
                <w:w w:val="82"/>
              </w:rPr>
              <w:t>$</w:t>
            </w:r>
          </w:p>
        </w:tc>
        <w:tc>
          <w:tcPr>
            <w:tcW w:w="960" w:type="dxa"/>
            <w:vAlign w:val="bottom"/>
          </w:tcPr>
          <w:p>
            <w:pPr>
              <w:jc w:val="right"/>
              <w:spacing w:after="0" w:line="138" w:lineRule="exact"/>
              <w:rPr>
                <w:sz w:val="20"/>
                <w:szCs w:val="20"/>
                <w:color w:val="auto"/>
              </w:rPr>
            </w:pPr>
            <w:r>
              <w:rPr>
                <w:rFonts w:ascii="Arial" w:cs="Arial" w:eastAsia="Arial" w:hAnsi="Arial"/>
                <w:sz w:val="13"/>
                <w:szCs w:val="13"/>
                <w:color w:val="auto"/>
              </w:rPr>
              <w:t>(1,133,755)</w:t>
            </w:r>
          </w:p>
        </w:tc>
        <w:tc>
          <w:tcPr>
            <w:tcW w:w="340" w:type="dxa"/>
            <w:vAlign w:val="bottom"/>
          </w:tcPr>
          <w:p>
            <w:pPr>
              <w:spacing w:after="0"/>
              <w:rPr>
                <w:sz w:val="11"/>
                <w:szCs w:val="11"/>
                <w:color w:val="auto"/>
              </w:rPr>
            </w:pPr>
          </w:p>
        </w:tc>
        <w:tc>
          <w:tcPr>
            <w:tcW w:w="260" w:type="dxa"/>
            <w:vAlign w:val="bottom"/>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tcPr>
          <w:p>
            <w:pPr>
              <w:jc w:val="right"/>
              <w:spacing w:after="0" w:line="138" w:lineRule="exact"/>
              <w:rPr>
                <w:sz w:val="20"/>
                <w:szCs w:val="20"/>
                <w:color w:val="auto"/>
              </w:rPr>
            </w:pPr>
            <w:r>
              <w:rPr>
                <w:rFonts w:ascii="Arial" w:cs="Arial" w:eastAsia="Arial" w:hAnsi="Arial"/>
                <w:sz w:val="13"/>
                <w:szCs w:val="13"/>
                <w:color w:val="auto"/>
              </w:rPr>
              <w:t>(1,082,832)</w:t>
            </w:r>
          </w:p>
        </w:tc>
        <w:tc>
          <w:tcPr>
            <w:tcW w:w="340" w:type="dxa"/>
            <w:vAlign w:val="bottom"/>
          </w:tcPr>
          <w:p>
            <w:pPr>
              <w:spacing w:after="0"/>
              <w:rPr>
                <w:sz w:val="11"/>
                <w:szCs w:val="11"/>
                <w:color w:val="auto"/>
              </w:rPr>
            </w:pPr>
          </w:p>
        </w:tc>
        <w:tc>
          <w:tcPr>
            <w:tcW w:w="200" w:type="dxa"/>
            <w:vAlign w:val="bottom"/>
          </w:tcPr>
          <w:p>
            <w:pPr>
              <w:jc w:val="right"/>
              <w:ind w:right="91"/>
              <w:spacing w:after="0"/>
              <w:rPr>
                <w:sz w:val="20"/>
                <w:szCs w:val="20"/>
                <w:color w:val="auto"/>
              </w:rPr>
            </w:pPr>
            <w:r>
              <w:rPr>
                <w:rFonts w:ascii="Arial" w:cs="Arial" w:eastAsia="Arial" w:hAnsi="Arial"/>
                <w:sz w:val="10"/>
                <w:szCs w:val="10"/>
                <w:color w:val="auto"/>
                <w:w w:val="71"/>
              </w:rPr>
              <w:t>$</w:t>
            </w:r>
          </w:p>
        </w:tc>
        <w:tc>
          <w:tcPr>
            <w:tcW w:w="1020" w:type="dxa"/>
            <w:vAlign w:val="bottom"/>
          </w:tcPr>
          <w:p>
            <w:pPr>
              <w:jc w:val="right"/>
              <w:spacing w:after="0" w:line="138" w:lineRule="exact"/>
              <w:rPr>
                <w:sz w:val="20"/>
                <w:szCs w:val="20"/>
                <w:color w:val="auto"/>
              </w:rPr>
            </w:pPr>
            <w:r>
              <w:rPr>
                <w:rFonts w:ascii="Arial" w:cs="Arial" w:eastAsia="Arial" w:hAnsi="Arial"/>
                <w:sz w:val="13"/>
                <w:szCs w:val="13"/>
                <w:color w:val="auto"/>
              </w:rPr>
              <w:t>(50,923)</w:t>
            </w:r>
          </w:p>
        </w:tc>
        <w:tc>
          <w:tcPr>
            <w:tcW w:w="340" w:type="dxa"/>
            <w:vAlign w:val="bottom"/>
            <w:gridSpan w:val="2"/>
          </w:tcPr>
          <w:p>
            <w:pPr>
              <w:spacing w:after="0"/>
              <w:rPr>
                <w:sz w:val="11"/>
                <w:szCs w:val="11"/>
                <w:color w:val="auto"/>
              </w:rPr>
            </w:pPr>
          </w:p>
        </w:tc>
        <w:tc>
          <w:tcPr>
            <w:tcW w:w="1380" w:type="dxa"/>
            <w:vAlign w:val="bottom"/>
            <w:gridSpan w:val="2"/>
          </w:tcPr>
          <w:p>
            <w:pPr>
              <w:jc w:val="right"/>
              <w:spacing w:after="0" w:line="138" w:lineRule="exact"/>
              <w:rPr>
                <w:sz w:val="20"/>
                <w:szCs w:val="20"/>
                <w:color w:val="auto"/>
              </w:rPr>
            </w:pPr>
            <w:r>
              <w:rPr>
                <w:rFonts w:ascii="Arial" w:cs="Arial" w:eastAsia="Arial" w:hAnsi="Arial"/>
                <w:sz w:val="13"/>
                <w:szCs w:val="13"/>
                <w:color w:val="auto"/>
              </w:rPr>
              <w:t>(5)%</w:t>
            </w:r>
          </w:p>
        </w:tc>
      </w:tr>
      <w:tr>
        <w:trPr>
          <w:trHeight w:val="164"/>
        </w:trPr>
        <w:tc>
          <w:tcPr>
            <w:tcW w:w="280" w:type="dxa"/>
            <w:vAlign w:val="bottom"/>
          </w:tcPr>
          <w:p>
            <w:pPr>
              <w:spacing w:after="0"/>
              <w:rPr>
                <w:sz w:val="14"/>
                <w:szCs w:val="14"/>
                <w:color w:val="auto"/>
              </w:rPr>
            </w:pPr>
          </w:p>
        </w:tc>
        <w:tc>
          <w:tcPr>
            <w:tcW w:w="1300" w:type="dxa"/>
            <w:vAlign w:val="bottom"/>
            <w:gridSpan w:val="2"/>
          </w:tcPr>
          <w:p>
            <w:pPr>
              <w:jc w:val="right"/>
              <w:ind w:right="262"/>
              <w:spacing w:after="0"/>
              <w:rPr>
                <w:sz w:val="20"/>
                <w:szCs w:val="20"/>
                <w:color w:val="auto"/>
              </w:rPr>
            </w:pPr>
            <w:r>
              <w:rPr>
                <w:rFonts w:ascii="Arial" w:cs="Arial" w:eastAsia="Arial" w:hAnsi="Arial"/>
                <w:sz w:val="13"/>
                <w:szCs w:val="13"/>
                <w:color w:val="auto"/>
              </w:rPr>
              <w:t>(10,737,001)</w:t>
            </w:r>
          </w:p>
        </w:tc>
        <w:tc>
          <w:tcPr>
            <w:tcW w:w="260" w:type="dxa"/>
            <w:vAlign w:val="bottom"/>
          </w:tcPr>
          <w:p>
            <w:pPr>
              <w:spacing w:after="0"/>
              <w:rPr>
                <w:sz w:val="14"/>
                <w:szCs w:val="14"/>
                <w:color w:val="auto"/>
              </w:rPr>
            </w:pPr>
          </w:p>
        </w:tc>
        <w:tc>
          <w:tcPr>
            <w:tcW w:w="1300" w:type="dxa"/>
            <w:vAlign w:val="bottom"/>
            <w:gridSpan w:val="2"/>
          </w:tcPr>
          <w:p>
            <w:pPr>
              <w:jc w:val="right"/>
              <w:ind w:right="262"/>
              <w:spacing w:after="0"/>
              <w:rPr>
                <w:sz w:val="20"/>
                <w:szCs w:val="20"/>
                <w:color w:val="auto"/>
              </w:rPr>
            </w:pPr>
            <w:r>
              <w:rPr>
                <w:rFonts w:ascii="Arial" w:cs="Arial" w:eastAsia="Arial" w:hAnsi="Arial"/>
                <w:sz w:val="13"/>
                <w:szCs w:val="13"/>
                <w:color w:val="auto"/>
              </w:rPr>
              <w:t>(2,424,706)</w:t>
            </w:r>
          </w:p>
        </w:tc>
        <w:tc>
          <w:tcPr>
            <w:tcW w:w="200" w:type="dxa"/>
            <w:vAlign w:val="bottom"/>
          </w:tcPr>
          <w:p>
            <w:pPr>
              <w:spacing w:after="0"/>
              <w:rPr>
                <w:sz w:val="14"/>
                <w:szCs w:val="14"/>
                <w:color w:val="auto"/>
              </w:rPr>
            </w:pPr>
          </w:p>
        </w:tc>
        <w:tc>
          <w:tcPr>
            <w:tcW w:w="1360" w:type="dxa"/>
            <w:vAlign w:val="bottom"/>
            <w:gridSpan w:val="3"/>
          </w:tcPr>
          <w:p>
            <w:pPr>
              <w:jc w:val="right"/>
              <w:ind w:right="242"/>
              <w:spacing w:after="0"/>
              <w:rPr>
                <w:sz w:val="20"/>
                <w:szCs w:val="20"/>
                <w:color w:val="auto"/>
              </w:rPr>
            </w:pPr>
            <w:r>
              <w:rPr>
                <w:rFonts w:ascii="Arial" w:cs="Arial" w:eastAsia="Arial" w:hAnsi="Arial"/>
                <w:sz w:val="13"/>
                <w:szCs w:val="13"/>
                <w:color w:val="auto"/>
              </w:rPr>
              <w:t>(8,312,295)</w:t>
            </w:r>
          </w:p>
        </w:tc>
        <w:tc>
          <w:tcPr>
            <w:tcW w:w="1380" w:type="dxa"/>
            <w:vAlign w:val="bottom"/>
            <w:gridSpan w:val="2"/>
          </w:tcPr>
          <w:p>
            <w:pPr>
              <w:jc w:val="right"/>
              <w:spacing w:after="0"/>
              <w:rPr>
                <w:sz w:val="20"/>
                <w:szCs w:val="20"/>
                <w:color w:val="auto"/>
              </w:rPr>
            </w:pPr>
            <w:r>
              <w:rPr>
                <w:rFonts w:ascii="Arial" w:cs="Arial" w:eastAsia="Arial" w:hAnsi="Arial"/>
                <w:sz w:val="13"/>
                <w:szCs w:val="13"/>
                <w:color w:val="auto"/>
              </w:rPr>
              <w:t>(343)%</w:t>
            </w:r>
          </w:p>
        </w:tc>
      </w:tr>
      <w:tr>
        <w:trPr>
          <w:trHeight w:val="166"/>
        </w:trPr>
        <w:tc>
          <w:tcPr>
            <w:tcW w:w="280" w:type="dxa"/>
            <w:vAlign w:val="bottom"/>
          </w:tcPr>
          <w:p>
            <w:pPr>
              <w:spacing w:after="0"/>
              <w:rPr>
                <w:sz w:val="14"/>
                <w:szCs w:val="14"/>
                <w:color w:val="auto"/>
              </w:rPr>
            </w:pPr>
          </w:p>
        </w:tc>
        <w:tc>
          <w:tcPr>
            <w:tcW w:w="1300" w:type="dxa"/>
            <w:vAlign w:val="bottom"/>
            <w:gridSpan w:val="2"/>
          </w:tcPr>
          <w:p>
            <w:pPr>
              <w:jc w:val="right"/>
              <w:ind w:right="302"/>
              <w:spacing w:after="0"/>
              <w:rPr>
                <w:sz w:val="20"/>
                <w:szCs w:val="20"/>
                <w:color w:val="auto"/>
              </w:rPr>
            </w:pPr>
            <w:r>
              <w:rPr>
                <w:rFonts w:ascii="Arial" w:cs="Arial" w:eastAsia="Arial" w:hAnsi="Arial"/>
                <w:sz w:val="13"/>
                <w:szCs w:val="13"/>
                <w:color w:val="auto"/>
              </w:rPr>
              <w:t>820,722</w:t>
            </w:r>
          </w:p>
        </w:tc>
        <w:tc>
          <w:tcPr>
            <w:tcW w:w="260" w:type="dxa"/>
            <w:vAlign w:val="bottom"/>
          </w:tcPr>
          <w:p>
            <w:pPr>
              <w:spacing w:after="0"/>
              <w:rPr>
                <w:sz w:val="14"/>
                <w:szCs w:val="14"/>
                <w:color w:val="auto"/>
              </w:rPr>
            </w:pPr>
          </w:p>
        </w:tc>
        <w:tc>
          <w:tcPr>
            <w:tcW w:w="1300" w:type="dxa"/>
            <w:vAlign w:val="bottom"/>
            <w:gridSpan w:val="2"/>
          </w:tcPr>
          <w:p>
            <w:pPr>
              <w:jc w:val="right"/>
              <w:ind w:right="302"/>
              <w:spacing w:after="0"/>
              <w:rPr>
                <w:sz w:val="20"/>
                <w:szCs w:val="20"/>
                <w:color w:val="auto"/>
              </w:rPr>
            </w:pPr>
            <w:r>
              <w:rPr>
                <w:rFonts w:ascii="Arial" w:cs="Arial" w:eastAsia="Arial" w:hAnsi="Arial"/>
                <w:sz w:val="13"/>
                <w:szCs w:val="13"/>
                <w:color w:val="auto"/>
              </w:rPr>
              <w:t>31,853</w:t>
            </w:r>
          </w:p>
        </w:tc>
        <w:tc>
          <w:tcPr>
            <w:tcW w:w="200" w:type="dxa"/>
            <w:vAlign w:val="bottom"/>
          </w:tcPr>
          <w:p>
            <w:pPr>
              <w:spacing w:after="0"/>
              <w:rPr>
                <w:sz w:val="14"/>
                <w:szCs w:val="14"/>
                <w:color w:val="auto"/>
              </w:rPr>
            </w:pPr>
          </w:p>
        </w:tc>
        <w:tc>
          <w:tcPr>
            <w:tcW w:w="1040" w:type="dxa"/>
            <w:vAlign w:val="bottom"/>
            <w:gridSpan w:val="2"/>
          </w:tcPr>
          <w:p>
            <w:pPr>
              <w:jc w:val="right"/>
              <w:ind w:right="20"/>
              <w:spacing w:after="0"/>
              <w:rPr>
                <w:sz w:val="20"/>
                <w:szCs w:val="20"/>
                <w:color w:val="auto"/>
              </w:rPr>
            </w:pPr>
            <w:r>
              <w:rPr>
                <w:rFonts w:ascii="Arial" w:cs="Arial" w:eastAsia="Arial" w:hAnsi="Arial"/>
                <w:sz w:val="13"/>
                <w:szCs w:val="13"/>
                <w:color w:val="auto"/>
              </w:rPr>
              <w:t>788,869</w:t>
            </w:r>
          </w:p>
        </w:tc>
        <w:tc>
          <w:tcPr>
            <w:tcW w:w="320" w:type="dxa"/>
            <w:vAlign w:val="bottom"/>
          </w:tcPr>
          <w:p>
            <w:pPr>
              <w:spacing w:after="0"/>
              <w:rPr>
                <w:sz w:val="14"/>
                <w:szCs w:val="14"/>
                <w:color w:val="auto"/>
              </w:rPr>
            </w:pPr>
          </w:p>
        </w:tc>
        <w:tc>
          <w:tcPr>
            <w:tcW w:w="1380" w:type="dxa"/>
            <w:vAlign w:val="bottom"/>
            <w:gridSpan w:val="2"/>
          </w:tcPr>
          <w:p>
            <w:pPr>
              <w:jc w:val="right"/>
              <w:ind w:right="40"/>
              <w:spacing w:after="0"/>
              <w:rPr>
                <w:sz w:val="20"/>
                <w:szCs w:val="20"/>
                <w:color w:val="auto"/>
              </w:rPr>
            </w:pPr>
            <w:r>
              <w:rPr>
                <w:rFonts w:ascii="Arial" w:cs="Arial" w:eastAsia="Arial" w:hAnsi="Arial"/>
                <w:sz w:val="13"/>
                <w:szCs w:val="13"/>
                <w:color w:val="auto"/>
              </w:rPr>
              <w:t>2,477%</w:t>
            </w:r>
          </w:p>
        </w:tc>
      </w:tr>
      <w:tr>
        <w:trPr>
          <w:trHeight w:val="166"/>
        </w:trPr>
        <w:tc>
          <w:tcPr>
            <w:tcW w:w="280" w:type="dxa"/>
            <w:vAlign w:val="bottom"/>
            <w:tcBorders>
              <w:top w:val="single" w:sz="8" w:color="auto"/>
              <w:bottom w:val="single" w:sz="8" w:color="auto"/>
            </w:tcBorders>
          </w:tcPr>
          <w:p>
            <w:pPr>
              <w:jc w:val="right"/>
              <w:ind w:right="135"/>
              <w:spacing w:after="0"/>
              <w:rPr>
                <w:sz w:val="20"/>
                <w:szCs w:val="20"/>
                <w:color w:val="auto"/>
              </w:rPr>
            </w:pPr>
            <w:r>
              <w:rPr>
                <w:rFonts w:ascii="Arial" w:cs="Arial" w:eastAsia="Arial" w:hAnsi="Arial"/>
                <w:sz w:val="13"/>
                <w:szCs w:val="13"/>
                <w:color w:val="auto"/>
                <w:w w:val="82"/>
              </w:rPr>
              <w:t>$</w:t>
            </w:r>
          </w:p>
        </w:tc>
        <w:tc>
          <w:tcPr>
            <w:tcW w:w="9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3"/>
                <w:szCs w:val="13"/>
                <w:color w:val="auto"/>
              </w:rPr>
              <w:t>(11,050,034</w:t>
            </w:r>
          </w:p>
        </w:tc>
        <w:tc>
          <w:tcPr>
            <w:tcW w:w="340" w:type="dxa"/>
            <w:vAlign w:val="bottom"/>
          </w:tcPr>
          <w:p>
            <w:pPr>
              <w:jc w:val="right"/>
              <w:ind w:right="262"/>
              <w:spacing w:after="0"/>
              <w:rPr>
                <w:sz w:val="20"/>
                <w:szCs w:val="20"/>
                <w:color w:val="auto"/>
              </w:rPr>
            </w:pPr>
            <w:r>
              <w:rPr>
                <w:rFonts w:ascii="Arial" w:cs="Arial" w:eastAsia="Arial" w:hAnsi="Arial"/>
                <w:sz w:val="8"/>
                <w:szCs w:val="8"/>
                <w:color w:val="auto"/>
                <w:w w:val="73"/>
              </w:rPr>
              <w:t>)</w:t>
            </w:r>
          </w:p>
        </w:tc>
        <w:tc>
          <w:tcPr>
            <w:tcW w:w="260" w:type="dxa"/>
            <w:vAlign w:val="bottom"/>
            <w:tcBorders>
              <w:top w:val="single" w:sz="8" w:color="auto"/>
              <w:bottom w:val="single" w:sz="8" w:color="auto"/>
            </w:tcBorders>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3"/>
                <w:szCs w:val="13"/>
                <w:color w:val="auto"/>
              </w:rPr>
              <w:t>(3,475,685</w:t>
            </w:r>
          </w:p>
        </w:tc>
        <w:tc>
          <w:tcPr>
            <w:tcW w:w="340" w:type="dxa"/>
            <w:vAlign w:val="bottom"/>
          </w:tcPr>
          <w:p>
            <w:pPr>
              <w:jc w:val="right"/>
              <w:ind w:right="262"/>
              <w:spacing w:after="0"/>
              <w:rPr>
                <w:sz w:val="20"/>
                <w:szCs w:val="20"/>
                <w:color w:val="auto"/>
              </w:rPr>
            </w:pPr>
            <w:r>
              <w:rPr>
                <w:rFonts w:ascii="Arial" w:cs="Arial" w:eastAsia="Arial" w:hAnsi="Arial"/>
                <w:sz w:val="8"/>
                <w:szCs w:val="8"/>
                <w:color w:val="auto"/>
                <w:w w:val="73"/>
              </w:rPr>
              <w:t>)</w:t>
            </w:r>
          </w:p>
        </w:tc>
        <w:tc>
          <w:tcPr>
            <w:tcW w:w="200" w:type="dxa"/>
            <w:vAlign w:val="bottom"/>
            <w:tcBorders>
              <w:top w:val="single" w:sz="8" w:color="auto"/>
              <w:bottom w:val="single" w:sz="8" w:color="auto"/>
            </w:tcBorders>
          </w:tcPr>
          <w:p>
            <w:pPr>
              <w:jc w:val="right"/>
              <w:ind w:right="91"/>
              <w:spacing w:after="0"/>
              <w:rPr>
                <w:sz w:val="20"/>
                <w:szCs w:val="20"/>
                <w:color w:val="auto"/>
              </w:rPr>
            </w:pPr>
            <w:r>
              <w:rPr>
                <w:rFonts w:ascii="Arial" w:cs="Arial" w:eastAsia="Arial" w:hAnsi="Arial"/>
                <w:sz w:val="10"/>
                <w:szCs w:val="10"/>
                <w:color w:val="auto"/>
                <w:w w:val="71"/>
              </w:rPr>
              <w:t>$</w:t>
            </w:r>
          </w:p>
        </w:tc>
        <w:tc>
          <w:tcPr>
            <w:tcW w:w="1040" w:type="dxa"/>
            <w:vAlign w:val="bottom"/>
            <w:tcBorders>
              <w:top w:val="single" w:sz="8" w:color="auto"/>
              <w:bottom w:val="single" w:sz="8" w:color="auto"/>
            </w:tcBorders>
            <w:gridSpan w:val="2"/>
          </w:tcPr>
          <w:p>
            <w:pPr>
              <w:jc w:val="right"/>
              <w:ind w:right="20"/>
              <w:spacing w:after="0"/>
              <w:rPr>
                <w:sz w:val="20"/>
                <w:szCs w:val="20"/>
                <w:color w:val="auto"/>
              </w:rPr>
            </w:pPr>
            <w:r>
              <w:rPr>
                <w:rFonts w:ascii="Arial" w:cs="Arial" w:eastAsia="Arial" w:hAnsi="Arial"/>
                <w:sz w:val="13"/>
                <w:szCs w:val="13"/>
                <w:color w:val="auto"/>
              </w:rPr>
              <w:t>(7,574,349</w:t>
            </w:r>
          </w:p>
        </w:tc>
        <w:tc>
          <w:tcPr>
            <w:tcW w:w="320" w:type="dxa"/>
            <w:vAlign w:val="bottom"/>
          </w:tcPr>
          <w:p>
            <w:pPr>
              <w:jc w:val="right"/>
              <w:ind w:right="242"/>
              <w:spacing w:after="0"/>
              <w:rPr>
                <w:sz w:val="20"/>
                <w:szCs w:val="20"/>
                <w:color w:val="auto"/>
              </w:rPr>
            </w:pPr>
            <w:r>
              <w:rPr>
                <w:rFonts w:ascii="Arial" w:cs="Arial" w:eastAsia="Arial" w:hAnsi="Arial"/>
                <w:sz w:val="8"/>
                <w:szCs w:val="8"/>
                <w:color w:val="auto"/>
                <w:w w:val="73"/>
              </w:rPr>
              <w:t>)</w:t>
            </w:r>
          </w:p>
        </w:tc>
        <w:tc>
          <w:tcPr>
            <w:tcW w:w="1380" w:type="dxa"/>
            <w:vAlign w:val="bottom"/>
            <w:gridSpan w:val="2"/>
          </w:tcPr>
          <w:p>
            <w:pPr>
              <w:jc w:val="right"/>
              <w:spacing w:after="0"/>
              <w:rPr>
                <w:sz w:val="20"/>
                <w:szCs w:val="20"/>
                <w:color w:val="auto"/>
              </w:rPr>
            </w:pPr>
            <w:r>
              <w:rPr>
                <w:rFonts w:ascii="Arial" w:cs="Arial" w:eastAsia="Arial" w:hAnsi="Arial"/>
                <w:sz w:val="13"/>
                <w:szCs w:val="13"/>
                <w:color w:val="auto"/>
              </w:rPr>
              <w:t>(218)%</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-3302635</wp:posOffset>
            </wp:positionH>
            <wp:positionV relativeFrom="paragraph">
              <wp:posOffset>-440055</wp:posOffset>
            </wp:positionV>
            <wp:extent cx="7170420" cy="10541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70420" cy="105410"/>
                    </a:xfrm>
                    <a:prstGeom prst="rect">
                      <a:avLst/>
                    </a:prstGeom>
                    <a:noFill/>
                  </pic:spPr>
                </pic:pic>
              </a:graphicData>
            </a:graphic>
          </wp:anchor>
        </w:drawing>
        <w:drawing>
          <wp:anchor simplePos="0" relativeHeight="251657728" behindDoc="1" locked="0" layoutInCell="0" allowOverlap="1">
            <wp:simplePos x="0" y="0"/>
            <wp:positionH relativeFrom="column">
              <wp:posOffset>-3302635</wp:posOffset>
            </wp:positionH>
            <wp:positionV relativeFrom="paragraph">
              <wp:posOffset>-234950</wp:posOffset>
            </wp:positionV>
            <wp:extent cx="7170420" cy="10541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70420" cy="105410"/>
                    </a:xfrm>
                    <a:prstGeom prst="rect">
                      <a:avLst/>
                    </a:prstGeom>
                    <a:noFill/>
                  </pic:spPr>
                </pic:pic>
              </a:graphicData>
            </a:graphic>
          </wp:anchor>
        </w:drawing>
      </w:r>
    </w:p>
    <w:p>
      <w:pPr>
        <w:spacing w:after="0" w:line="148" w:lineRule="exact"/>
        <w:rPr>
          <w:sz w:val="20"/>
          <w:szCs w:val="20"/>
          <w:color w:val="auto"/>
        </w:rPr>
      </w:pPr>
    </w:p>
    <w:p>
      <w:pPr>
        <w:sectPr>
          <w:pgSz w:w="11900" w:h="16838" w:orient="portrait"/>
          <w:cols w:equalWidth="0" w:num="2">
            <w:col w:w="4480" w:space="720"/>
            <w:col w:w="6080"/>
          </w:cols>
          <w:pgMar w:left="300" w:top="698" w:right="319" w:bottom="1440" w:gutter="0" w:footer="0" w:header="0"/>
        </w:sectPr>
      </w:pPr>
    </w:p>
    <w:p>
      <w:pPr>
        <w:ind w:right="340"/>
        <w:spacing w:after="0" w:line="274" w:lineRule="auto"/>
        <w:rPr>
          <w:sz w:val="20"/>
          <w:szCs w:val="20"/>
          <w:color w:val="auto"/>
        </w:rPr>
      </w:pPr>
      <w:r>
        <w:rPr>
          <w:rFonts w:ascii="Arial" w:cs="Arial" w:eastAsia="Arial" w:hAnsi="Arial"/>
          <w:sz w:val="13"/>
          <w:szCs w:val="13"/>
          <w:color w:val="auto"/>
        </w:rPr>
        <w:t>Total other income (expense) increased by $7.6 million, or 218%, for the six months ended June 30, 2021 as compared to the respective period of the prior year. The increase is primarily due to no revaluation of warrants in 2021 partially offset by the PPP loan forgiveness received from the Small Business Administration that was recorded as other income, net.</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Year ended December 31, 2020 Compared to Year ended December 31, 2019</w:t>
      </w:r>
    </w:p>
    <w:p>
      <w:pPr>
        <w:spacing w:after="0" w:line="163"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The following tables set forth selected statements of operations data and such data as a percentage of total revenues. The historical results presented below are not necessarily indicative of the results that may be expected for any future period:</w:t>
      </w:r>
    </w:p>
    <w:p>
      <w:pPr>
        <w:spacing w:after="0" w:line="134"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20" w:type="dxa"/>
            <w:vAlign w:val="bottom"/>
          </w:tcPr>
          <w:p>
            <w:pPr>
              <w:spacing w:after="0"/>
              <w:rPr>
                <w:sz w:val="14"/>
                <w:szCs w:val="14"/>
                <w:color w:val="auto"/>
              </w:rPr>
            </w:pPr>
          </w:p>
        </w:tc>
        <w:tc>
          <w:tcPr>
            <w:tcW w:w="7900" w:type="dxa"/>
            <w:vAlign w:val="bottom"/>
          </w:tcPr>
          <w:p>
            <w:pPr>
              <w:spacing w:after="0"/>
              <w:rPr>
                <w:sz w:val="14"/>
                <w:szCs w:val="14"/>
                <w:color w:val="auto"/>
              </w:rPr>
            </w:pPr>
          </w:p>
        </w:tc>
        <w:tc>
          <w:tcPr>
            <w:tcW w:w="340" w:type="dxa"/>
            <w:vAlign w:val="bottom"/>
            <w:tcBorders>
              <w:bottom w:val="single" w:sz="8" w:color="auto"/>
            </w:tcBorders>
          </w:tcPr>
          <w:p>
            <w:pPr>
              <w:spacing w:after="0"/>
              <w:rPr>
                <w:sz w:val="14"/>
                <w:szCs w:val="14"/>
                <w:color w:val="auto"/>
              </w:rPr>
            </w:pPr>
          </w:p>
        </w:tc>
        <w:tc>
          <w:tcPr>
            <w:tcW w:w="2040" w:type="dxa"/>
            <w:vAlign w:val="bottom"/>
            <w:tcBorders>
              <w:bottom w:val="single" w:sz="8" w:color="auto"/>
            </w:tcBorders>
            <w:gridSpan w:val="3"/>
          </w:tcPr>
          <w:p>
            <w:pPr>
              <w:jc w:val="right"/>
              <w:spacing w:after="0"/>
              <w:rPr>
                <w:sz w:val="20"/>
                <w:szCs w:val="20"/>
                <w:color w:val="auto"/>
              </w:rPr>
            </w:pPr>
            <w:r>
              <w:rPr>
                <w:rFonts w:ascii="Arial" w:cs="Arial" w:eastAsia="Arial" w:hAnsi="Arial"/>
                <w:sz w:val="13"/>
                <w:szCs w:val="13"/>
                <w:b w:val="1"/>
                <w:bCs w:val="1"/>
                <w:color w:val="auto"/>
              </w:rPr>
              <w:t>Year ended December 31,</w:t>
            </w:r>
          </w:p>
        </w:tc>
        <w:tc>
          <w:tcPr>
            <w:tcW w:w="880" w:type="dxa"/>
            <w:vAlign w:val="bottom"/>
            <w:tcBorders>
              <w:bottom w:val="single" w:sz="8" w:color="auto"/>
            </w:tcBorders>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7"/>
        </w:trPr>
        <w:tc>
          <w:tcPr>
            <w:tcW w:w="20" w:type="dxa"/>
            <w:vAlign w:val="bottom"/>
          </w:tcPr>
          <w:p>
            <w:pPr>
              <w:spacing w:after="0"/>
              <w:rPr>
                <w:sz w:val="13"/>
                <w:szCs w:val="13"/>
                <w:color w:val="auto"/>
              </w:rPr>
            </w:pPr>
          </w:p>
        </w:tc>
        <w:tc>
          <w:tcPr>
            <w:tcW w:w="7900" w:type="dxa"/>
            <w:vAlign w:val="bottom"/>
            <w:tcBorders>
              <w:bottom w:val="single" w:sz="8" w:color="CCEEFF"/>
            </w:tcBorders>
          </w:tcPr>
          <w:p>
            <w:pPr>
              <w:spacing w:after="0"/>
              <w:rPr>
                <w:sz w:val="13"/>
                <w:szCs w:val="13"/>
                <w:color w:val="auto"/>
              </w:rPr>
            </w:pPr>
          </w:p>
        </w:tc>
        <w:tc>
          <w:tcPr>
            <w:tcW w:w="340" w:type="dxa"/>
            <w:vAlign w:val="bottom"/>
            <w:tcBorders>
              <w:bottom w:val="single" w:sz="8" w:color="auto"/>
            </w:tcBorders>
          </w:tcPr>
          <w:p>
            <w:pPr>
              <w:spacing w:after="0"/>
              <w:rPr>
                <w:sz w:val="13"/>
                <w:szCs w:val="13"/>
                <w:color w:val="auto"/>
              </w:rPr>
            </w:pPr>
          </w:p>
        </w:tc>
        <w:tc>
          <w:tcPr>
            <w:tcW w:w="1140" w:type="dxa"/>
            <w:vAlign w:val="bottom"/>
            <w:tcBorders>
              <w:bottom w:val="single" w:sz="8" w:color="auto"/>
            </w:tcBorders>
          </w:tcPr>
          <w:p>
            <w:pPr>
              <w:jc w:val="right"/>
              <w:ind w:right="555"/>
              <w:spacing w:after="0"/>
              <w:rPr>
                <w:sz w:val="20"/>
                <w:szCs w:val="20"/>
                <w:color w:val="auto"/>
              </w:rPr>
            </w:pPr>
            <w:r>
              <w:rPr>
                <w:rFonts w:ascii="Arial" w:cs="Arial" w:eastAsia="Arial" w:hAnsi="Arial"/>
                <w:sz w:val="13"/>
                <w:szCs w:val="13"/>
                <w:b w:val="1"/>
                <w:bCs w:val="1"/>
                <w:color w:val="auto"/>
              </w:rPr>
              <w:t>2020</w:t>
            </w:r>
          </w:p>
        </w:tc>
        <w:tc>
          <w:tcPr>
            <w:tcW w:w="320" w:type="dxa"/>
            <w:vAlign w:val="bottom"/>
            <w:tcBorders>
              <w:bottom w:val="single" w:sz="8" w:color="CCEEFF"/>
            </w:tcBorders>
          </w:tcPr>
          <w:p>
            <w:pPr>
              <w:spacing w:after="0"/>
              <w:rPr>
                <w:sz w:val="13"/>
                <w:szCs w:val="13"/>
                <w:color w:val="auto"/>
              </w:rPr>
            </w:pPr>
          </w:p>
        </w:tc>
        <w:tc>
          <w:tcPr>
            <w:tcW w:w="580" w:type="dxa"/>
            <w:vAlign w:val="bottom"/>
            <w:tcBorders>
              <w:bottom w:val="single" w:sz="8" w:color="auto"/>
            </w:tcBorders>
          </w:tcPr>
          <w:p>
            <w:pPr>
              <w:spacing w:after="0"/>
              <w:rPr>
                <w:sz w:val="13"/>
                <w:szCs w:val="13"/>
                <w:color w:val="auto"/>
              </w:rPr>
            </w:pPr>
          </w:p>
        </w:tc>
        <w:tc>
          <w:tcPr>
            <w:tcW w:w="880" w:type="dxa"/>
            <w:vAlign w:val="bottom"/>
            <w:tcBorders>
              <w:bottom w:val="single" w:sz="8" w:color="auto"/>
            </w:tcBorders>
          </w:tcPr>
          <w:p>
            <w:pPr>
              <w:jc w:val="right"/>
              <w:ind w:right="535"/>
              <w:spacing w:after="0"/>
              <w:rPr>
                <w:sz w:val="20"/>
                <w:szCs w:val="20"/>
                <w:color w:val="auto"/>
              </w:rPr>
            </w:pPr>
            <w:r>
              <w:rPr>
                <w:rFonts w:ascii="Arial" w:cs="Arial" w:eastAsia="Arial" w:hAnsi="Arial"/>
                <w:sz w:val="13"/>
                <w:szCs w:val="13"/>
                <w:b w:val="1"/>
                <w:bCs w:val="1"/>
                <w:color w:val="auto"/>
                <w:w w:val="89"/>
              </w:rPr>
              <w:t>2019</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790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Revenue</w:t>
            </w:r>
          </w:p>
        </w:tc>
        <w:tc>
          <w:tcPr>
            <w:tcW w:w="340" w:type="dxa"/>
            <w:vAlign w:val="bottom"/>
            <w:shd w:val="clear" w:color="auto" w:fill="CCEEFF"/>
          </w:tcPr>
          <w:p>
            <w:pPr>
              <w:jc w:val="right"/>
              <w:ind w:right="231"/>
              <w:spacing w:after="0"/>
              <w:rPr>
                <w:sz w:val="20"/>
                <w:szCs w:val="20"/>
                <w:color w:val="auto"/>
              </w:rPr>
            </w:pPr>
            <w:r>
              <w:rPr>
                <w:rFonts w:ascii="Arial" w:cs="Arial" w:eastAsia="Arial" w:hAnsi="Arial"/>
                <w:sz w:val="10"/>
                <w:szCs w:val="10"/>
                <w:color w:val="auto"/>
                <w:w w:val="71"/>
              </w:rPr>
              <w:t>$</w:t>
            </w:r>
          </w:p>
        </w:tc>
        <w:tc>
          <w:tcPr>
            <w:tcW w:w="114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3,334,578</w:t>
            </w:r>
          </w:p>
        </w:tc>
        <w:tc>
          <w:tcPr>
            <w:tcW w:w="320" w:type="dxa"/>
            <w:vAlign w:val="bottom"/>
            <w:shd w:val="clear" w:color="auto" w:fill="CCEEFF"/>
          </w:tcPr>
          <w:p>
            <w:pPr>
              <w:spacing w:after="0"/>
              <w:rPr>
                <w:sz w:val="12"/>
                <w:szCs w:val="12"/>
                <w:color w:val="auto"/>
              </w:rPr>
            </w:pPr>
          </w:p>
        </w:tc>
        <w:tc>
          <w:tcPr>
            <w:tcW w:w="580" w:type="dxa"/>
            <w:vAlign w:val="bottom"/>
            <w:shd w:val="clear" w:color="auto" w:fill="CCEEFF"/>
          </w:tcPr>
          <w:p>
            <w:pPr>
              <w:jc w:val="right"/>
              <w:ind w:right="435"/>
              <w:spacing w:after="0" w:line="146" w:lineRule="exact"/>
              <w:rPr>
                <w:sz w:val="20"/>
                <w:szCs w:val="20"/>
                <w:color w:val="auto"/>
              </w:rPr>
            </w:pPr>
            <w:r>
              <w:rPr>
                <w:rFonts w:ascii="Arial" w:cs="Arial" w:eastAsia="Arial" w:hAnsi="Arial"/>
                <w:sz w:val="13"/>
                <w:szCs w:val="13"/>
                <w:color w:val="auto"/>
                <w:w w:val="82"/>
              </w:rPr>
              <w:t>$</w:t>
            </w:r>
          </w:p>
        </w:tc>
        <w:tc>
          <w:tcPr>
            <w:tcW w:w="88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3,025,303</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7900" w:type="dxa"/>
            <w:vAlign w:val="bottom"/>
          </w:tcPr>
          <w:p>
            <w:pPr>
              <w:spacing w:after="0"/>
              <w:rPr>
                <w:sz w:val="20"/>
                <w:szCs w:val="20"/>
                <w:color w:val="auto"/>
              </w:rPr>
            </w:pPr>
            <w:r>
              <w:rPr>
                <w:rFonts w:ascii="Arial" w:cs="Arial" w:eastAsia="Arial" w:hAnsi="Arial"/>
                <w:sz w:val="13"/>
                <w:szCs w:val="13"/>
                <w:color w:val="auto"/>
              </w:rPr>
              <w:t>Cost of services</w:t>
            </w:r>
          </w:p>
        </w:tc>
        <w:tc>
          <w:tcPr>
            <w:tcW w:w="340" w:type="dxa"/>
            <w:vAlign w:val="bottom"/>
          </w:tcPr>
          <w:p>
            <w:pPr>
              <w:spacing w:after="0"/>
              <w:rPr>
                <w:sz w:val="14"/>
                <w:szCs w:val="14"/>
                <w:color w:val="auto"/>
              </w:rPr>
            </w:pPr>
          </w:p>
        </w:tc>
        <w:tc>
          <w:tcPr>
            <w:tcW w:w="1460" w:type="dxa"/>
            <w:vAlign w:val="bottom"/>
            <w:gridSpan w:val="2"/>
          </w:tcPr>
          <w:p>
            <w:pPr>
              <w:jc w:val="right"/>
              <w:ind w:right="320"/>
              <w:spacing w:after="0"/>
              <w:rPr>
                <w:sz w:val="20"/>
                <w:szCs w:val="20"/>
                <w:color w:val="auto"/>
              </w:rPr>
            </w:pPr>
            <w:r>
              <w:rPr>
                <w:rFonts w:ascii="Arial" w:cs="Arial" w:eastAsia="Arial" w:hAnsi="Arial"/>
                <w:sz w:val="13"/>
                <w:szCs w:val="13"/>
                <w:color w:val="auto"/>
              </w:rPr>
              <w:t>4,633,561</w:t>
            </w:r>
          </w:p>
        </w:tc>
        <w:tc>
          <w:tcPr>
            <w:tcW w:w="580" w:type="dxa"/>
            <w:vAlign w:val="bottom"/>
          </w:tcPr>
          <w:p>
            <w:pPr>
              <w:spacing w:after="0"/>
              <w:rPr>
                <w:sz w:val="14"/>
                <w:szCs w:val="14"/>
                <w:color w:val="auto"/>
              </w:rPr>
            </w:pPr>
          </w:p>
        </w:tc>
        <w:tc>
          <w:tcPr>
            <w:tcW w:w="880" w:type="dxa"/>
            <w:vAlign w:val="bottom"/>
          </w:tcPr>
          <w:p>
            <w:pPr>
              <w:jc w:val="right"/>
              <w:spacing w:after="0"/>
              <w:rPr>
                <w:sz w:val="20"/>
                <w:szCs w:val="20"/>
                <w:color w:val="auto"/>
              </w:rPr>
            </w:pPr>
            <w:r>
              <w:rPr>
                <w:rFonts w:ascii="Arial" w:cs="Arial" w:eastAsia="Arial" w:hAnsi="Arial"/>
                <w:sz w:val="13"/>
                <w:szCs w:val="13"/>
                <w:color w:val="auto"/>
              </w:rPr>
              <w:t>4,632,863</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790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gross loss</w:t>
            </w:r>
          </w:p>
        </w:tc>
        <w:tc>
          <w:tcPr>
            <w:tcW w:w="340" w:type="dxa"/>
            <w:vAlign w:val="bottom"/>
            <w:tcBorders>
              <w:top w:val="single" w:sz="8" w:color="auto"/>
              <w:bottom w:val="single" w:sz="8" w:color="auto"/>
            </w:tcBorders>
            <w:shd w:val="clear" w:color="auto" w:fill="CCEEFF"/>
          </w:tcPr>
          <w:p>
            <w:pPr>
              <w:spacing w:after="0"/>
              <w:rPr>
                <w:sz w:val="12"/>
                <w:szCs w:val="12"/>
                <w:color w:val="auto"/>
              </w:rPr>
            </w:pPr>
          </w:p>
        </w:tc>
        <w:tc>
          <w:tcPr>
            <w:tcW w:w="114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(1,298,983)</w:t>
            </w:r>
          </w:p>
        </w:tc>
        <w:tc>
          <w:tcPr>
            <w:tcW w:w="320" w:type="dxa"/>
            <w:vAlign w:val="bottom"/>
            <w:tcBorders>
              <w:top w:val="single" w:sz="8" w:color="CCEEFF"/>
            </w:tcBorders>
            <w:shd w:val="clear" w:color="auto" w:fill="CCEEFF"/>
          </w:tcPr>
          <w:p>
            <w:pPr>
              <w:spacing w:after="0"/>
              <w:rPr>
                <w:sz w:val="12"/>
                <w:szCs w:val="12"/>
                <w:color w:val="auto"/>
              </w:rPr>
            </w:pPr>
          </w:p>
        </w:tc>
        <w:tc>
          <w:tcPr>
            <w:tcW w:w="580" w:type="dxa"/>
            <w:vAlign w:val="bottom"/>
            <w:tcBorders>
              <w:top w:val="single" w:sz="8" w:color="auto"/>
              <w:bottom w:val="single" w:sz="8" w:color="auto"/>
            </w:tcBorders>
            <w:shd w:val="clear" w:color="auto" w:fill="CCEEFF"/>
          </w:tcPr>
          <w:p>
            <w:pPr>
              <w:spacing w:after="0"/>
              <w:rPr>
                <w:sz w:val="12"/>
                <w:szCs w:val="12"/>
                <w:color w:val="auto"/>
              </w:rPr>
            </w:pPr>
          </w:p>
        </w:tc>
        <w:tc>
          <w:tcPr>
            <w:tcW w:w="88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(1,607,560)</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7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114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8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7900" w:type="dxa"/>
            <w:vAlign w:val="bottom"/>
            <w:shd w:val="clear" w:color="auto" w:fill="CCEEFF"/>
          </w:tcPr>
          <w:p>
            <w:pPr>
              <w:spacing w:after="0"/>
              <w:rPr>
                <w:sz w:val="20"/>
                <w:szCs w:val="20"/>
                <w:color w:val="auto"/>
              </w:rPr>
            </w:pPr>
            <w:r>
              <w:rPr>
                <w:rFonts w:ascii="Arial" w:cs="Arial" w:eastAsia="Arial" w:hAnsi="Arial"/>
                <w:sz w:val="13"/>
                <w:szCs w:val="13"/>
                <w:color w:val="auto"/>
              </w:rPr>
              <w:t>Operating expenses:</w:t>
            </w:r>
          </w:p>
        </w:tc>
        <w:tc>
          <w:tcPr>
            <w:tcW w:w="340" w:type="dxa"/>
            <w:vAlign w:val="bottom"/>
            <w:shd w:val="clear" w:color="auto" w:fill="CCEEFF"/>
          </w:tcPr>
          <w:p>
            <w:pPr>
              <w:spacing w:after="0"/>
              <w:rPr>
                <w:sz w:val="13"/>
                <w:szCs w:val="13"/>
                <w:color w:val="auto"/>
              </w:rPr>
            </w:pPr>
          </w:p>
        </w:tc>
        <w:tc>
          <w:tcPr>
            <w:tcW w:w="1140" w:type="dxa"/>
            <w:vAlign w:val="bottom"/>
            <w:shd w:val="clear" w:color="auto" w:fill="CCEEFF"/>
          </w:tcPr>
          <w:p>
            <w:pPr>
              <w:spacing w:after="0"/>
              <w:rPr>
                <w:sz w:val="13"/>
                <w:szCs w:val="13"/>
                <w:color w:val="auto"/>
              </w:rPr>
            </w:pPr>
          </w:p>
        </w:tc>
        <w:tc>
          <w:tcPr>
            <w:tcW w:w="320" w:type="dxa"/>
            <w:vAlign w:val="bottom"/>
            <w:shd w:val="clear" w:color="auto" w:fill="CCEEFF"/>
          </w:tcPr>
          <w:p>
            <w:pPr>
              <w:spacing w:after="0"/>
              <w:rPr>
                <w:sz w:val="13"/>
                <w:szCs w:val="13"/>
                <w:color w:val="auto"/>
              </w:rPr>
            </w:pPr>
          </w:p>
        </w:tc>
        <w:tc>
          <w:tcPr>
            <w:tcW w:w="580" w:type="dxa"/>
            <w:vAlign w:val="bottom"/>
            <w:shd w:val="clear" w:color="auto" w:fill="CCEEFF"/>
          </w:tcPr>
          <w:p>
            <w:pPr>
              <w:spacing w:after="0"/>
              <w:rPr>
                <w:sz w:val="13"/>
                <w:szCs w:val="13"/>
                <w:color w:val="auto"/>
              </w:rPr>
            </w:pPr>
          </w:p>
        </w:tc>
        <w:tc>
          <w:tcPr>
            <w:tcW w:w="8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7900" w:type="dxa"/>
            <w:vAlign w:val="bottom"/>
          </w:tcPr>
          <w:p>
            <w:pPr>
              <w:ind w:left="100"/>
              <w:spacing w:after="0"/>
              <w:rPr>
                <w:sz w:val="20"/>
                <w:szCs w:val="20"/>
                <w:color w:val="auto"/>
              </w:rPr>
            </w:pPr>
            <w:r>
              <w:rPr>
                <w:rFonts w:ascii="Arial" w:cs="Arial" w:eastAsia="Arial" w:hAnsi="Arial"/>
                <w:sz w:val="13"/>
                <w:szCs w:val="13"/>
                <w:color w:val="auto"/>
              </w:rPr>
              <w:t>Research and development</w:t>
            </w:r>
          </w:p>
        </w:tc>
        <w:tc>
          <w:tcPr>
            <w:tcW w:w="340" w:type="dxa"/>
            <w:vAlign w:val="bottom"/>
          </w:tcPr>
          <w:p>
            <w:pPr>
              <w:spacing w:after="0"/>
              <w:rPr>
                <w:sz w:val="13"/>
                <w:szCs w:val="13"/>
                <w:color w:val="auto"/>
              </w:rPr>
            </w:pPr>
          </w:p>
        </w:tc>
        <w:tc>
          <w:tcPr>
            <w:tcW w:w="1460" w:type="dxa"/>
            <w:vAlign w:val="bottom"/>
            <w:gridSpan w:val="2"/>
          </w:tcPr>
          <w:p>
            <w:pPr>
              <w:jc w:val="right"/>
              <w:ind w:right="320"/>
              <w:spacing w:after="0"/>
              <w:rPr>
                <w:sz w:val="20"/>
                <w:szCs w:val="20"/>
                <w:color w:val="auto"/>
              </w:rPr>
            </w:pPr>
            <w:r>
              <w:rPr>
                <w:rFonts w:ascii="Arial" w:cs="Arial" w:eastAsia="Arial" w:hAnsi="Arial"/>
                <w:sz w:val="13"/>
                <w:szCs w:val="13"/>
                <w:color w:val="auto"/>
              </w:rPr>
              <w:t>3,244,684</w:t>
            </w:r>
          </w:p>
        </w:tc>
        <w:tc>
          <w:tcPr>
            <w:tcW w:w="580" w:type="dxa"/>
            <w:vAlign w:val="bottom"/>
          </w:tcPr>
          <w:p>
            <w:pPr>
              <w:spacing w:after="0"/>
              <w:rPr>
                <w:sz w:val="13"/>
                <w:szCs w:val="13"/>
                <w:color w:val="auto"/>
              </w:rPr>
            </w:pPr>
          </w:p>
        </w:tc>
        <w:tc>
          <w:tcPr>
            <w:tcW w:w="880" w:type="dxa"/>
            <w:vAlign w:val="bottom"/>
          </w:tcPr>
          <w:p>
            <w:pPr>
              <w:jc w:val="right"/>
              <w:spacing w:after="0"/>
              <w:rPr>
                <w:sz w:val="20"/>
                <w:szCs w:val="20"/>
                <w:color w:val="auto"/>
              </w:rPr>
            </w:pPr>
            <w:r>
              <w:rPr>
                <w:rFonts w:ascii="Arial" w:cs="Arial" w:eastAsia="Arial" w:hAnsi="Arial"/>
                <w:sz w:val="13"/>
                <w:szCs w:val="13"/>
                <w:color w:val="auto"/>
              </w:rPr>
              <w:t>3,083,695</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79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Sales and marketing</w:t>
            </w:r>
          </w:p>
        </w:tc>
        <w:tc>
          <w:tcPr>
            <w:tcW w:w="340" w:type="dxa"/>
            <w:vAlign w:val="bottom"/>
            <w:shd w:val="clear" w:color="auto" w:fill="CCEEFF"/>
          </w:tcPr>
          <w:p>
            <w:pPr>
              <w:spacing w:after="0"/>
              <w:rPr>
                <w:sz w:val="13"/>
                <w:szCs w:val="13"/>
                <w:color w:val="auto"/>
              </w:rPr>
            </w:pPr>
          </w:p>
        </w:tc>
        <w:tc>
          <w:tcPr>
            <w:tcW w:w="1460" w:type="dxa"/>
            <w:vAlign w:val="bottom"/>
            <w:gridSpan w:val="2"/>
            <w:shd w:val="clear" w:color="auto" w:fill="CCEEFF"/>
          </w:tcPr>
          <w:p>
            <w:pPr>
              <w:jc w:val="right"/>
              <w:ind w:right="320"/>
              <w:spacing w:after="0"/>
              <w:rPr>
                <w:sz w:val="20"/>
                <w:szCs w:val="20"/>
                <w:color w:val="auto"/>
              </w:rPr>
            </w:pPr>
            <w:r>
              <w:rPr>
                <w:rFonts w:ascii="Arial" w:cs="Arial" w:eastAsia="Arial" w:hAnsi="Arial"/>
                <w:sz w:val="13"/>
                <w:szCs w:val="13"/>
                <w:color w:val="auto"/>
              </w:rPr>
              <w:t>7,310,083</w:t>
            </w:r>
          </w:p>
        </w:tc>
        <w:tc>
          <w:tcPr>
            <w:tcW w:w="580" w:type="dxa"/>
            <w:vAlign w:val="bottom"/>
            <w:shd w:val="clear" w:color="auto" w:fill="CCEEFF"/>
          </w:tcPr>
          <w:p>
            <w:pPr>
              <w:spacing w:after="0"/>
              <w:rPr>
                <w:sz w:val="13"/>
                <w:szCs w:val="13"/>
                <w:color w:val="auto"/>
              </w:rPr>
            </w:pPr>
          </w:p>
        </w:tc>
        <w:tc>
          <w:tcPr>
            <w:tcW w:w="8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3,495,806</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7900" w:type="dxa"/>
            <w:vAlign w:val="bottom"/>
          </w:tcPr>
          <w:p>
            <w:pPr>
              <w:ind w:left="100"/>
              <w:spacing w:after="0"/>
              <w:rPr>
                <w:sz w:val="20"/>
                <w:szCs w:val="20"/>
                <w:color w:val="auto"/>
              </w:rPr>
            </w:pPr>
            <w:r>
              <w:rPr>
                <w:rFonts w:ascii="Arial" w:cs="Arial" w:eastAsia="Arial" w:hAnsi="Arial"/>
                <w:sz w:val="13"/>
                <w:szCs w:val="13"/>
                <w:color w:val="auto"/>
              </w:rPr>
              <w:t>General and administrative</w:t>
            </w:r>
          </w:p>
        </w:tc>
        <w:tc>
          <w:tcPr>
            <w:tcW w:w="340" w:type="dxa"/>
            <w:vAlign w:val="bottom"/>
          </w:tcPr>
          <w:p>
            <w:pPr>
              <w:spacing w:after="0"/>
              <w:rPr>
                <w:sz w:val="14"/>
                <w:szCs w:val="14"/>
                <w:color w:val="auto"/>
              </w:rPr>
            </w:pPr>
          </w:p>
        </w:tc>
        <w:tc>
          <w:tcPr>
            <w:tcW w:w="1460" w:type="dxa"/>
            <w:vAlign w:val="bottom"/>
            <w:gridSpan w:val="2"/>
          </w:tcPr>
          <w:p>
            <w:pPr>
              <w:jc w:val="right"/>
              <w:ind w:right="320"/>
              <w:spacing w:after="0"/>
              <w:rPr>
                <w:sz w:val="20"/>
                <w:szCs w:val="20"/>
                <w:color w:val="auto"/>
              </w:rPr>
            </w:pPr>
            <w:r>
              <w:rPr>
                <w:rFonts w:ascii="Arial" w:cs="Arial" w:eastAsia="Arial" w:hAnsi="Arial"/>
                <w:sz w:val="13"/>
                <w:szCs w:val="13"/>
                <w:color w:val="auto"/>
              </w:rPr>
              <w:t>2,788,021</w:t>
            </w:r>
          </w:p>
        </w:tc>
        <w:tc>
          <w:tcPr>
            <w:tcW w:w="580" w:type="dxa"/>
            <w:vAlign w:val="bottom"/>
          </w:tcPr>
          <w:p>
            <w:pPr>
              <w:spacing w:after="0"/>
              <w:rPr>
                <w:sz w:val="14"/>
                <w:szCs w:val="14"/>
                <w:color w:val="auto"/>
              </w:rPr>
            </w:pPr>
          </w:p>
        </w:tc>
        <w:tc>
          <w:tcPr>
            <w:tcW w:w="880" w:type="dxa"/>
            <w:vAlign w:val="bottom"/>
          </w:tcPr>
          <w:p>
            <w:pPr>
              <w:jc w:val="right"/>
              <w:spacing w:after="0"/>
              <w:rPr>
                <w:sz w:val="20"/>
                <w:szCs w:val="20"/>
                <w:color w:val="auto"/>
              </w:rPr>
            </w:pPr>
            <w:r>
              <w:rPr>
                <w:rFonts w:ascii="Arial" w:cs="Arial" w:eastAsia="Arial" w:hAnsi="Arial"/>
                <w:sz w:val="13"/>
                <w:szCs w:val="13"/>
                <w:color w:val="auto"/>
              </w:rPr>
              <w:t>1,883,060</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790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operating expenses</w:t>
            </w:r>
          </w:p>
        </w:tc>
        <w:tc>
          <w:tcPr>
            <w:tcW w:w="340" w:type="dxa"/>
            <w:vAlign w:val="bottom"/>
            <w:tcBorders>
              <w:top w:val="single" w:sz="8" w:color="auto"/>
              <w:bottom w:val="single" w:sz="8" w:color="auto"/>
            </w:tcBorders>
            <w:shd w:val="clear" w:color="auto" w:fill="CCEEFF"/>
          </w:tcPr>
          <w:p>
            <w:pPr>
              <w:spacing w:after="0"/>
              <w:rPr>
                <w:sz w:val="12"/>
                <w:szCs w:val="12"/>
                <w:color w:val="auto"/>
              </w:rPr>
            </w:pPr>
          </w:p>
        </w:tc>
        <w:tc>
          <w:tcPr>
            <w:tcW w:w="114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13,342,788</w:t>
            </w:r>
          </w:p>
        </w:tc>
        <w:tc>
          <w:tcPr>
            <w:tcW w:w="320" w:type="dxa"/>
            <w:vAlign w:val="bottom"/>
            <w:tcBorders>
              <w:top w:val="single" w:sz="8" w:color="CCEEFF"/>
            </w:tcBorders>
            <w:shd w:val="clear" w:color="auto" w:fill="CCEEFF"/>
          </w:tcPr>
          <w:p>
            <w:pPr>
              <w:spacing w:after="0"/>
              <w:rPr>
                <w:sz w:val="12"/>
                <w:szCs w:val="12"/>
                <w:color w:val="auto"/>
              </w:rPr>
            </w:pPr>
          </w:p>
        </w:tc>
        <w:tc>
          <w:tcPr>
            <w:tcW w:w="580" w:type="dxa"/>
            <w:vAlign w:val="bottom"/>
            <w:tcBorders>
              <w:top w:val="single" w:sz="8" w:color="auto"/>
              <w:bottom w:val="single" w:sz="8" w:color="auto"/>
            </w:tcBorders>
            <w:shd w:val="clear" w:color="auto" w:fill="CCEEFF"/>
          </w:tcPr>
          <w:p>
            <w:pPr>
              <w:spacing w:after="0"/>
              <w:rPr>
                <w:sz w:val="12"/>
                <w:szCs w:val="12"/>
                <w:color w:val="auto"/>
              </w:rPr>
            </w:pPr>
          </w:p>
        </w:tc>
        <w:tc>
          <w:tcPr>
            <w:tcW w:w="88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8,462,561</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79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1140" w:type="dxa"/>
            <w:vAlign w:val="bottom"/>
          </w:tcPr>
          <w:p>
            <w:pPr>
              <w:spacing w:after="0"/>
              <w:rPr>
                <w:sz w:val="12"/>
                <w:szCs w:val="12"/>
                <w:color w:val="auto"/>
              </w:rPr>
            </w:pPr>
          </w:p>
        </w:tc>
        <w:tc>
          <w:tcPr>
            <w:tcW w:w="32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8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vMerge w:val="continue"/>
          </w:tcPr>
          <w:p>
            <w:pPr>
              <w:spacing w:after="0"/>
              <w:rPr>
                <w:sz w:val="14"/>
                <w:szCs w:val="14"/>
                <w:color w:val="auto"/>
              </w:rPr>
            </w:pPr>
          </w:p>
        </w:tc>
        <w:tc>
          <w:tcPr>
            <w:tcW w:w="7900" w:type="dxa"/>
            <w:vAlign w:val="bottom"/>
            <w:shd w:val="clear" w:color="auto" w:fill="CCEEFF"/>
          </w:tcPr>
          <w:p>
            <w:pPr>
              <w:spacing w:after="0"/>
              <w:rPr>
                <w:sz w:val="20"/>
                <w:szCs w:val="20"/>
                <w:color w:val="auto"/>
              </w:rPr>
            </w:pPr>
            <w:r>
              <w:rPr>
                <w:rFonts w:ascii="Arial" w:cs="Arial" w:eastAsia="Arial" w:hAnsi="Arial"/>
                <w:sz w:val="13"/>
                <w:szCs w:val="13"/>
                <w:color w:val="auto"/>
              </w:rPr>
              <w:t>Loss from operations</w:t>
            </w:r>
          </w:p>
        </w:tc>
        <w:tc>
          <w:tcPr>
            <w:tcW w:w="340" w:type="dxa"/>
            <w:vAlign w:val="bottom"/>
            <w:shd w:val="clear" w:color="auto" w:fill="CCEEFF"/>
          </w:tcPr>
          <w:p>
            <w:pPr>
              <w:spacing w:after="0"/>
              <w:rPr>
                <w:sz w:val="14"/>
                <w:szCs w:val="14"/>
                <w:color w:val="auto"/>
              </w:rPr>
            </w:pPr>
          </w:p>
        </w:tc>
        <w:tc>
          <w:tcPr>
            <w:tcW w:w="1460" w:type="dxa"/>
            <w:vAlign w:val="bottom"/>
            <w:gridSpan w:val="2"/>
            <w:shd w:val="clear" w:color="auto" w:fill="CCEEFF"/>
          </w:tcPr>
          <w:p>
            <w:pPr>
              <w:jc w:val="right"/>
              <w:ind w:right="280"/>
              <w:spacing w:after="0"/>
              <w:rPr>
                <w:sz w:val="20"/>
                <w:szCs w:val="20"/>
                <w:color w:val="auto"/>
              </w:rPr>
            </w:pPr>
            <w:r>
              <w:rPr>
                <w:rFonts w:ascii="Arial" w:cs="Arial" w:eastAsia="Arial" w:hAnsi="Arial"/>
                <w:sz w:val="13"/>
                <w:szCs w:val="13"/>
                <w:color w:val="auto"/>
              </w:rPr>
              <w:t>(14,641,771)</w:t>
            </w:r>
          </w:p>
        </w:tc>
        <w:tc>
          <w:tcPr>
            <w:tcW w:w="580" w:type="dxa"/>
            <w:vAlign w:val="bottom"/>
            <w:shd w:val="clear" w:color="auto" w:fill="CCEEFF"/>
          </w:tcPr>
          <w:p>
            <w:pPr>
              <w:spacing w:after="0"/>
              <w:rPr>
                <w:sz w:val="14"/>
                <w:szCs w:val="14"/>
                <w:color w:val="auto"/>
              </w:rPr>
            </w:pPr>
          </w:p>
        </w:tc>
        <w:tc>
          <w:tcPr>
            <w:tcW w:w="98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(10,070,121)</w:t>
            </w: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7900" w:type="dxa"/>
            <w:vAlign w:val="bottom"/>
          </w:tcPr>
          <w:p>
            <w:pPr>
              <w:spacing w:after="0"/>
              <w:rPr>
                <w:sz w:val="12"/>
                <w:szCs w:val="12"/>
                <w:color w:val="auto"/>
              </w:rPr>
            </w:pPr>
          </w:p>
        </w:tc>
        <w:tc>
          <w:tcPr>
            <w:tcW w:w="340" w:type="dxa"/>
            <w:vAlign w:val="bottom"/>
            <w:tcBorders>
              <w:top w:val="single" w:sz="8" w:color="auto"/>
            </w:tcBorders>
          </w:tcPr>
          <w:p>
            <w:pPr>
              <w:spacing w:after="0"/>
              <w:rPr>
                <w:sz w:val="12"/>
                <w:szCs w:val="12"/>
                <w:color w:val="auto"/>
              </w:rPr>
            </w:pPr>
          </w:p>
        </w:tc>
        <w:tc>
          <w:tcPr>
            <w:tcW w:w="1140" w:type="dxa"/>
            <w:vAlign w:val="bottom"/>
            <w:tcBorders>
              <w:top w:val="single" w:sz="8" w:color="auto"/>
            </w:tcBorders>
          </w:tcPr>
          <w:p>
            <w:pPr>
              <w:spacing w:after="0"/>
              <w:rPr>
                <w:sz w:val="12"/>
                <w:szCs w:val="12"/>
                <w:color w:val="auto"/>
              </w:rPr>
            </w:pPr>
          </w:p>
        </w:tc>
        <w:tc>
          <w:tcPr>
            <w:tcW w:w="320" w:type="dxa"/>
            <w:vAlign w:val="bottom"/>
          </w:tcPr>
          <w:p>
            <w:pPr>
              <w:spacing w:after="0"/>
              <w:rPr>
                <w:sz w:val="12"/>
                <w:szCs w:val="12"/>
                <w:color w:val="auto"/>
              </w:rPr>
            </w:pPr>
          </w:p>
        </w:tc>
        <w:tc>
          <w:tcPr>
            <w:tcW w:w="580" w:type="dxa"/>
            <w:vAlign w:val="bottom"/>
            <w:tcBorders>
              <w:top w:val="single" w:sz="8" w:color="auto"/>
            </w:tcBorders>
          </w:tcPr>
          <w:p>
            <w:pPr>
              <w:spacing w:after="0"/>
              <w:rPr>
                <w:sz w:val="12"/>
                <w:szCs w:val="12"/>
                <w:color w:val="auto"/>
              </w:rPr>
            </w:pPr>
          </w:p>
        </w:tc>
        <w:tc>
          <w:tcPr>
            <w:tcW w:w="880" w:type="dxa"/>
            <w:vAlign w:val="bottom"/>
            <w:tcBorders>
              <w:top w:val="single" w:sz="8" w:color="auto"/>
            </w:tcBorders>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7900" w:type="dxa"/>
            <w:vAlign w:val="bottom"/>
            <w:shd w:val="clear" w:color="auto" w:fill="CCEEFF"/>
          </w:tcPr>
          <w:p>
            <w:pPr>
              <w:spacing w:after="0"/>
              <w:rPr>
                <w:sz w:val="20"/>
                <w:szCs w:val="20"/>
                <w:color w:val="auto"/>
              </w:rPr>
            </w:pPr>
            <w:r>
              <w:rPr>
                <w:rFonts w:ascii="Arial" w:cs="Arial" w:eastAsia="Arial" w:hAnsi="Arial"/>
                <w:sz w:val="13"/>
                <w:szCs w:val="13"/>
                <w:color w:val="auto"/>
              </w:rPr>
              <w:t>Other income (expense):</w:t>
            </w:r>
          </w:p>
        </w:tc>
        <w:tc>
          <w:tcPr>
            <w:tcW w:w="340" w:type="dxa"/>
            <w:vAlign w:val="bottom"/>
            <w:shd w:val="clear" w:color="auto" w:fill="CCEEFF"/>
          </w:tcPr>
          <w:p>
            <w:pPr>
              <w:spacing w:after="0"/>
              <w:rPr>
                <w:sz w:val="13"/>
                <w:szCs w:val="13"/>
                <w:color w:val="auto"/>
              </w:rPr>
            </w:pPr>
          </w:p>
        </w:tc>
        <w:tc>
          <w:tcPr>
            <w:tcW w:w="1140" w:type="dxa"/>
            <w:vAlign w:val="bottom"/>
            <w:shd w:val="clear" w:color="auto" w:fill="CCEEFF"/>
          </w:tcPr>
          <w:p>
            <w:pPr>
              <w:spacing w:after="0"/>
              <w:rPr>
                <w:sz w:val="13"/>
                <w:szCs w:val="13"/>
                <w:color w:val="auto"/>
              </w:rPr>
            </w:pPr>
          </w:p>
        </w:tc>
        <w:tc>
          <w:tcPr>
            <w:tcW w:w="320" w:type="dxa"/>
            <w:vAlign w:val="bottom"/>
            <w:shd w:val="clear" w:color="auto" w:fill="CCEEFF"/>
          </w:tcPr>
          <w:p>
            <w:pPr>
              <w:spacing w:after="0"/>
              <w:rPr>
                <w:sz w:val="13"/>
                <w:szCs w:val="13"/>
                <w:color w:val="auto"/>
              </w:rPr>
            </w:pPr>
          </w:p>
        </w:tc>
        <w:tc>
          <w:tcPr>
            <w:tcW w:w="580" w:type="dxa"/>
            <w:vAlign w:val="bottom"/>
            <w:shd w:val="clear" w:color="auto" w:fill="CCEEFF"/>
          </w:tcPr>
          <w:p>
            <w:pPr>
              <w:spacing w:after="0"/>
              <w:rPr>
                <w:sz w:val="13"/>
                <w:szCs w:val="13"/>
                <w:color w:val="auto"/>
              </w:rPr>
            </w:pPr>
          </w:p>
        </w:tc>
        <w:tc>
          <w:tcPr>
            <w:tcW w:w="8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7900" w:type="dxa"/>
            <w:vAlign w:val="bottom"/>
          </w:tcPr>
          <w:p>
            <w:pPr>
              <w:ind w:left="100"/>
              <w:spacing w:after="0"/>
              <w:rPr>
                <w:sz w:val="20"/>
                <w:szCs w:val="20"/>
                <w:color w:val="auto"/>
              </w:rPr>
            </w:pPr>
            <w:r>
              <w:rPr>
                <w:rFonts w:ascii="Arial" w:cs="Arial" w:eastAsia="Arial" w:hAnsi="Arial"/>
                <w:sz w:val="13"/>
                <w:szCs w:val="13"/>
                <w:color w:val="auto"/>
              </w:rPr>
              <w:t>Interest expense, net</w:t>
            </w:r>
          </w:p>
        </w:tc>
        <w:tc>
          <w:tcPr>
            <w:tcW w:w="340" w:type="dxa"/>
            <w:vAlign w:val="bottom"/>
          </w:tcPr>
          <w:p>
            <w:pPr>
              <w:spacing w:after="0"/>
              <w:rPr>
                <w:sz w:val="13"/>
                <w:szCs w:val="13"/>
                <w:color w:val="auto"/>
              </w:rPr>
            </w:pPr>
          </w:p>
        </w:tc>
        <w:tc>
          <w:tcPr>
            <w:tcW w:w="1460" w:type="dxa"/>
            <w:vAlign w:val="bottom"/>
            <w:gridSpan w:val="2"/>
          </w:tcPr>
          <w:p>
            <w:pPr>
              <w:jc w:val="right"/>
              <w:ind w:right="280"/>
              <w:spacing w:after="0"/>
              <w:rPr>
                <w:sz w:val="20"/>
                <w:szCs w:val="20"/>
                <w:color w:val="auto"/>
              </w:rPr>
            </w:pPr>
            <w:r>
              <w:rPr>
                <w:rFonts w:ascii="Arial" w:cs="Arial" w:eastAsia="Arial" w:hAnsi="Arial"/>
                <w:sz w:val="13"/>
                <w:szCs w:val="13"/>
                <w:color w:val="auto"/>
              </w:rPr>
              <w:t>(2,259,108)</w:t>
            </w:r>
          </w:p>
        </w:tc>
        <w:tc>
          <w:tcPr>
            <w:tcW w:w="580" w:type="dxa"/>
            <w:vAlign w:val="bottom"/>
          </w:tcPr>
          <w:p>
            <w:pPr>
              <w:spacing w:after="0"/>
              <w:rPr>
                <w:sz w:val="13"/>
                <w:szCs w:val="13"/>
                <w:color w:val="auto"/>
              </w:rPr>
            </w:pPr>
          </w:p>
        </w:tc>
        <w:tc>
          <w:tcPr>
            <w:tcW w:w="980" w:type="dxa"/>
            <w:vAlign w:val="bottom"/>
            <w:gridSpan w:val="2"/>
          </w:tcPr>
          <w:p>
            <w:pPr>
              <w:jc w:val="right"/>
              <w:ind w:right="60"/>
              <w:spacing w:after="0"/>
              <w:rPr>
                <w:sz w:val="20"/>
                <w:szCs w:val="20"/>
                <w:color w:val="auto"/>
              </w:rPr>
            </w:pPr>
            <w:r>
              <w:rPr>
                <w:rFonts w:ascii="Arial" w:cs="Arial" w:eastAsia="Arial" w:hAnsi="Arial"/>
                <w:sz w:val="13"/>
                <w:szCs w:val="13"/>
                <w:color w:val="auto"/>
              </w:rPr>
              <w:t>(2,103,111)</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79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Change in fair value of warrant liabilities</w:t>
            </w:r>
          </w:p>
        </w:tc>
        <w:tc>
          <w:tcPr>
            <w:tcW w:w="340" w:type="dxa"/>
            <w:vAlign w:val="bottom"/>
            <w:shd w:val="clear" w:color="auto" w:fill="CCEEFF"/>
          </w:tcPr>
          <w:p>
            <w:pPr>
              <w:spacing w:after="0"/>
              <w:rPr>
                <w:sz w:val="13"/>
                <w:szCs w:val="13"/>
                <w:color w:val="auto"/>
              </w:rPr>
            </w:pPr>
          </w:p>
        </w:tc>
        <w:tc>
          <w:tcPr>
            <w:tcW w:w="1460" w:type="dxa"/>
            <w:vAlign w:val="bottom"/>
            <w:gridSpan w:val="2"/>
            <w:shd w:val="clear" w:color="auto" w:fill="CCEEFF"/>
          </w:tcPr>
          <w:p>
            <w:pPr>
              <w:jc w:val="right"/>
              <w:ind w:right="280"/>
              <w:spacing w:after="0"/>
              <w:rPr>
                <w:sz w:val="20"/>
                <w:szCs w:val="20"/>
                <w:color w:val="auto"/>
              </w:rPr>
            </w:pPr>
            <w:r>
              <w:rPr>
                <w:rFonts w:ascii="Arial" w:cs="Arial" w:eastAsia="Arial" w:hAnsi="Arial"/>
                <w:sz w:val="13"/>
                <w:szCs w:val="13"/>
                <w:color w:val="auto"/>
              </w:rPr>
              <w:t>(2,424,706)</w:t>
            </w:r>
          </w:p>
        </w:tc>
        <w:tc>
          <w:tcPr>
            <w:tcW w:w="580" w:type="dxa"/>
            <w:vAlign w:val="bottom"/>
            <w:shd w:val="clear" w:color="auto" w:fill="CCEEFF"/>
          </w:tcPr>
          <w:p>
            <w:pPr>
              <w:spacing w:after="0"/>
              <w:rPr>
                <w:sz w:val="13"/>
                <w:szCs w:val="13"/>
                <w:color w:val="auto"/>
              </w:rPr>
            </w:pPr>
          </w:p>
        </w:tc>
        <w:tc>
          <w:tcPr>
            <w:tcW w:w="8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284,751</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7900" w:type="dxa"/>
            <w:vAlign w:val="bottom"/>
          </w:tcPr>
          <w:p>
            <w:pPr>
              <w:ind w:left="100"/>
              <w:spacing w:after="0"/>
              <w:rPr>
                <w:sz w:val="20"/>
                <w:szCs w:val="20"/>
                <w:color w:val="auto"/>
              </w:rPr>
            </w:pPr>
            <w:r>
              <w:rPr>
                <w:rFonts w:ascii="Arial" w:cs="Arial" w:eastAsia="Arial" w:hAnsi="Arial"/>
                <w:sz w:val="13"/>
                <w:szCs w:val="13"/>
                <w:color w:val="auto"/>
              </w:rPr>
              <w:t>Other expense, net</w:t>
            </w:r>
          </w:p>
        </w:tc>
        <w:tc>
          <w:tcPr>
            <w:tcW w:w="340" w:type="dxa"/>
            <w:vAlign w:val="bottom"/>
          </w:tcPr>
          <w:p>
            <w:pPr>
              <w:spacing w:after="0"/>
              <w:rPr>
                <w:sz w:val="14"/>
                <w:szCs w:val="14"/>
                <w:color w:val="auto"/>
              </w:rPr>
            </w:pPr>
          </w:p>
        </w:tc>
        <w:tc>
          <w:tcPr>
            <w:tcW w:w="1460" w:type="dxa"/>
            <w:vAlign w:val="bottom"/>
            <w:gridSpan w:val="2"/>
          </w:tcPr>
          <w:p>
            <w:pPr>
              <w:jc w:val="right"/>
              <w:ind w:right="280"/>
              <w:spacing w:after="0"/>
              <w:rPr>
                <w:sz w:val="20"/>
                <w:szCs w:val="20"/>
                <w:color w:val="auto"/>
              </w:rPr>
            </w:pPr>
            <w:r>
              <w:rPr>
                <w:rFonts w:ascii="Arial" w:cs="Arial" w:eastAsia="Arial" w:hAnsi="Arial"/>
                <w:sz w:val="13"/>
                <w:szCs w:val="13"/>
                <w:color w:val="auto"/>
              </w:rPr>
              <w:t>(11,008)</w:t>
            </w:r>
          </w:p>
        </w:tc>
        <w:tc>
          <w:tcPr>
            <w:tcW w:w="580" w:type="dxa"/>
            <w:vAlign w:val="bottom"/>
          </w:tcPr>
          <w:p>
            <w:pPr>
              <w:spacing w:after="0"/>
              <w:rPr>
                <w:sz w:val="14"/>
                <w:szCs w:val="14"/>
                <w:color w:val="auto"/>
              </w:rPr>
            </w:pPr>
          </w:p>
        </w:tc>
        <w:tc>
          <w:tcPr>
            <w:tcW w:w="980" w:type="dxa"/>
            <w:vAlign w:val="bottom"/>
            <w:gridSpan w:val="2"/>
          </w:tcPr>
          <w:p>
            <w:pPr>
              <w:jc w:val="right"/>
              <w:ind w:right="60"/>
              <w:spacing w:after="0"/>
              <w:rPr>
                <w:sz w:val="20"/>
                <w:szCs w:val="20"/>
                <w:color w:val="auto"/>
              </w:rPr>
            </w:pPr>
            <w:r>
              <w:rPr>
                <w:rFonts w:ascii="Arial" w:cs="Arial" w:eastAsia="Arial" w:hAnsi="Arial"/>
                <w:sz w:val="13"/>
                <w:szCs w:val="13"/>
                <w:color w:val="auto"/>
              </w:rPr>
              <w:t>(68,386)</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7900" w:type="dxa"/>
            <w:vAlign w:val="bottom"/>
            <w:tcBorders>
              <w:top w:val="single" w:sz="8" w:color="CCEEFF"/>
            </w:tcBorders>
            <w:shd w:val="clear" w:color="auto" w:fill="CCEEFF"/>
          </w:tcPr>
          <w:p>
            <w:pPr>
              <w:ind w:left="220"/>
              <w:spacing w:after="0" w:line="144" w:lineRule="exact"/>
              <w:rPr>
                <w:sz w:val="20"/>
                <w:szCs w:val="20"/>
                <w:color w:val="auto"/>
              </w:rPr>
            </w:pPr>
            <w:r>
              <w:rPr>
                <w:rFonts w:ascii="Arial" w:cs="Arial" w:eastAsia="Arial" w:hAnsi="Arial"/>
                <w:sz w:val="13"/>
                <w:szCs w:val="13"/>
                <w:color w:val="auto"/>
              </w:rPr>
              <w:t>Total other income (expense)</w:t>
            </w:r>
          </w:p>
        </w:tc>
        <w:tc>
          <w:tcPr>
            <w:tcW w:w="340" w:type="dxa"/>
            <w:vAlign w:val="bottom"/>
            <w:tcBorders>
              <w:top w:val="single" w:sz="8" w:color="auto"/>
              <w:bottom w:val="single" w:sz="8" w:color="auto"/>
            </w:tcBorders>
            <w:shd w:val="clear" w:color="auto" w:fill="CCEEFF"/>
          </w:tcPr>
          <w:p>
            <w:pPr>
              <w:spacing w:after="0"/>
              <w:rPr>
                <w:sz w:val="12"/>
                <w:szCs w:val="12"/>
                <w:color w:val="auto"/>
              </w:rPr>
            </w:pPr>
          </w:p>
        </w:tc>
        <w:tc>
          <w:tcPr>
            <w:tcW w:w="114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(4,694,822)</w:t>
            </w:r>
          </w:p>
        </w:tc>
        <w:tc>
          <w:tcPr>
            <w:tcW w:w="320" w:type="dxa"/>
            <w:vAlign w:val="bottom"/>
            <w:tcBorders>
              <w:top w:val="single" w:sz="8" w:color="CCEEFF"/>
            </w:tcBorders>
            <w:shd w:val="clear" w:color="auto" w:fill="CCEEFF"/>
          </w:tcPr>
          <w:p>
            <w:pPr>
              <w:spacing w:after="0"/>
              <w:rPr>
                <w:sz w:val="12"/>
                <w:szCs w:val="12"/>
                <w:color w:val="auto"/>
              </w:rPr>
            </w:pPr>
          </w:p>
        </w:tc>
        <w:tc>
          <w:tcPr>
            <w:tcW w:w="580" w:type="dxa"/>
            <w:vAlign w:val="bottom"/>
            <w:tcBorders>
              <w:top w:val="single" w:sz="8" w:color="auto"/>
              <w:bottom w:val="single" w:sz="8" w:color="auto"/>
            </w:tcBorders>
            <w:shd w:val="clear" w:color="auto" w:fill="CCEEFF"/>
          </w:tcPr>
          <w:p>
            <w:pPr>
              <w:spacing w:after="0"/>
              <w:rPr>
                <w:sz w:val="12"/>
                <w:szCs w:val="12"/>
                <w:color w:val="auto"/>
              </w:rPr>
            </w:pPr>
          </w:p>
        </w:tc>
        <w:tc>
          <w:tcPr>
            <w:tcW w:w="88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(1,886,746)</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bl>
    <w:p>
      <w:pPr>
        <w:spacing w:after="0" w:line="148" w:lineRule="exact"/>
        <w:rPr>
          <w:sz w:val="20"/>
          <w:szCs w:val="20"/>
          <w:color w:val="auto"/>
        </w:rPr>
      </w:pPr>
    </w:p>
    <w:p>
      <w:pPr>
        <w:sectPr>
          <w:pgSz w:w="11900" w:h="16838" w:orient="portrait"/>
          <w:cols w:equalWidth="0" w:num="1">
            <w:col w:w="11280"/>
          </w:cols>
          <w:pgMar w:left="300" w:top="698" w:right="319" w:bottom="1440" w:gutter="0" w:footer="0" w:header="0"/>
          <w:type w:val="continuous"/>
        </w:sectPr>
      </w:pPr>
    </w:p>
    <w:p>
      <w:pPr>
        <w:spacing w:after="0"/>
        <w:rPr>
          <w:sz w:val="20"/>
          <w:szCs w:val="20"/>
          <w:color w:val="auto"/>
        </w:rPr>
      </w:pPr>
      <w:r>
        <w:rPr>
          <w:rFonts w:ascii="Arial" w:cs="Arial" w:eastAsia="Arial" w:hAnsi="Arial"/>
          <w:sz w:val="11"/>
          <w:szCs w:val="11"/>
          <w:color w:val="auto"/>
        </w:rPr>
        <w:t>Net loss before income tax expense</w:t>
      </w:r>
    </w:p>
    <w:p>
      <w:pPr>
        <w:spacing w:after="0" w:line="38" w:lineRule="exact"/>
        <w:rPr>
          <w:sz w:val="20"/>
          <w:szCs w:val="20"/>
          <w:color w:val="auto"/>
        </w:rPr>
      </w:pPr>
    </w:p>
    <w:p>
      <w:pPr>
        <w:spacing w:after="0"/>
        <w:rPr>
          <w:sz w:val="20"/>
          <w:szCs w:val="20"/>
          <w:color w:val="auto"/>
        </w:rPr>
      </w:pPr>
      <w:r>
        <w:rPr>
          <w:rFonts w:ascii="Arial" w:cs="Arial" w:eastAsia="Arial" w:hAnsi="Arial"/>
          <w:sz w:val="13"/>
          <w:szCs w:val="13"/>
          <w:color w:val="auto"/>
        </w:rPr>
        <w:t>Income tax expense</w:t>
      </w:r>
    </w:p>
    <w:p>
      <w:pPr>
        <w:spacing w:after="0" w:line="9" w:lineRule="exact"/>
        <w:rPr>
          <w:sz w:val="20"/>
          <w:szCs w:val="20"/>
          <w:color w:val="auto"/>
        </w:rPr>
      </w:pPr>
    </w:p>
    <w:p>
      <w:pPr>
        <w:spacing w:after="0"/>
        <w:rPr>
          <w:sz w:val="20"/>
          <w:szCs w:val="20"/>
          <w:color w:val="auto"/>
        </w:rPr>
      </w:pPr>
      <w:r>
        <w:rPr>
          <w:rFonts w:ascii="Arial" w:cs="Arial" w:eastAsia="Arial" w:hAnsi="Arial"/>
          <w:sz w:val="13"/>
          <w:szCs w:val="13"/>
          <w:color w:val="auto"/>
        </w:rPr>
        <w:t>Net loss</w:t>
      </w:r>
    </w:p>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156"/>
        </w:trPr>
        <w:tc>
          <w:tcPr>
            <w:tcW w:w="460" w:type="dxa"/>
            <w:vAlign w:val="bottom"/>
          </w:tcPr>
          <w:p>
            <w:pPr>
              <w:spacing w:after="0"/>
              <w:rPr>
                <w:sz w:val="13"/>
                <w:szCs w:val="13"/>
                <w:color w:val="auto"/>
              </w:rPr>
            </w:pPr>
          </w:p>
        </w:tc>
        <w:tc>
          <w:tcPr>
            <w:tcW w:w="1340" w:type="dxa"/>
            <w:vAlign w:val="bottom"/>
            <w:gridSpan w:val="2"/>
          </w:tcPr>
          <w:p>
            <w:pPr>
              <w:jc w:val="right"/>
              <w:ind w:right="242"/>
              <w:spacing w:after="0"/>
              <w:rPr>
                <w:sz w:val="20"/>
                <w:szCs w:val="20"/>
                <w:color w:val="auto"/>
              </w:rPr>
            </w:pPr>
            <w:r>
              <w:rPr>
                <w:rFonts w:ascii="Arial" w:cs="Arial" w:eastAsia="Arial" w:hAnsi="Arial"/>
                <w:sz w:val="13"/>
                <w:szCs w:val="13"/>
                <w:color w:val="auto"/>
              </w:rPr>
              <w:t>(19,336,593)</w:t>
            </w:r>
          </w:p>
        </w:tc>
        <w:tc>
          <w:tcPr>
            <w:tcW w:w="460" w:type="dxa"/>
            <w:vAlign w:val="bottom"/>
          </w:tcPr>
          <w:p>
            <w:pPr>
              <w:spacing w:after="0"/>
              <w:rPr>
                <w:sz w:val="13"/>
                <w:szCs w:val="13"/>
                <w:color w:val="auto"/>
              </w:rPr>
            </w:pPr>
          </w:p>
        </w:tc>
        <w:tc>
          <w:tcPr>
            <w:tcW w:w="1040" w:type="dxa"/>
            <w:vAlign w:val="bottom"/>
            <w:gridSpan w:val="2"/>
          </w:tcPr>
          <w:p>
            <w:pPr>
              <w:jc w:val="right"/>
              <w:spacing w:after="0"/>
              <w:rPr>
                <w:sz w:val="20"/>
                <w:szCs w:val="20"/>
                <w:color w:val="auto"/>
              </w:rPr>
            </w:pPr>
            <w:r>
              <w:rPr>
                <w:rFonts w:ascii="Arial" w:cs="Arial" w:eastAsia="Arial" w:hAnsi="Arial"/>
                <w:sz w:val="13"/>
                <w:szCs w:val="13"/>
                <w:color w:val="auto"/>
              </w:rPr>
              <w:t>(11,956,867)</w:t>
            </w:r>
          </w:p>
        </w:tc>
      </w:tr>
      <w:tr>
        <w:trPr>
          <w:trHeight w:val="174"/>
        </w:trPr>
        <w:tc>
          <w:tcPr>
            <w:tcW w:w="460" w:type="dxa"/>
            <w:vAlign w:val="bottom"/>
          </w:tcPr>
          <w:p>
            <w:pPr>
              <w:spacing w:after="0"/>
              <w:rPr>
                <w:sz w:val="15"/>
                <w:szCs w:val="15"/>
                <w:color w:val="auto"/>
              </w:rPr>
            </w:pPr>
          </w:p>
        </w:tc>
        <w:tc>
          <w:tcPr>
            <w:tcW w:w="1340" w:type="dxa"/>
            <w:vAlign w:val="bottom"/>
            <w:gridSpan w:val="2"/>
          </w:tcPr>
          <w:p>
            <w:pPr>
              <w:jc w:val="right"/>
              <w:ind w:right="242"/>
              <w:spacing w:after="0"/>
              <w:rPr>
                <w:sz w:val="20"/>
                <w:szCs w:val="20"/>
                <w:color w:val="auto"/>
              </w:rPr>
            </w:pPr>
            <w:r>
              <w:rPr>
                <w:rFonts w:ascii="Arial" w:cs="Arial" w:eastAsia="Arial" w:hAnsi="Arial"/>
                <w:sz w:val="13"/>
                <w:szCs w:val="13"/>
                <w:color w:val="auto"/>
              </w:rPr>
              <w:t>(3,949)</w:t>
            </w:r>
          </w:p>
        </w:tc>
        <w:tc>
          <w:tcPr>
            <w:tcW w:w="460" w:type="dxa"/>
            <w:vAlign w:val="bottom"/>
          </w:tcPr>
          <w:p>
            <w:pPr>
              <w:spacing w:after="0"/>
              <w:rPr>
                <w:sz w:val="15"/>
                <w:szCs w:val="15"/>
                <w:color w:val="auto"/>
              </w:rPr>
            </w:pPr>
          </w:p>
        </w:tc>
        <w:tc>
          <w:tcPr>
            <w:tcW w:w="1040" w:type="dxa"/>
            <w:vAlign w:val="bottom"/>
            <w:gridSpan w:val="2"/>
          </w:tcPr>
          <w:p>
            <w:pPr>
              <w:jc w:val="right"/>
              <w:spacing w:after="0"/>
              <w:rPr>
                <w:sz w:val="20"/>
                <w:szCs w:val="20"/>
                <w:color w:val="auto"/>
              </w:rPr>
            </w:pPr>
            <w:r>
              <w:rPr>
                <w:rFonts w:ascii="Arial" w:cs="Arial" w:eastAsia="Arial" w:hAnsi="Arial"/>
                <w:sz w:val="13"/>
                <w:szCs w:val="13"/>
                <w:color w:val="auto"/>
              </w:rPr>
              <w:t>(800)</w:t>
            </w:r>
          </w:p>
        </w:tc>
      </w:tr>
      <w:tr>
        <w:trPr>
          <w:trHeight w:val="166"/>
        </w:trPr>
        <w:tc>
          <w:tcPr>
            <w:tcW w:w="460" w:type="dxa"/>
            <w:vAlign w:val="bottom"/>
            <w:tcBorders>
              <w:top w:val="single" w:sz="8" w:color="auto"/>
              <w:bottom w:val="single" w:sz="8" w:color="auto"/>
            </w:tcBorders>
          </w:tcPr>
          <w:p>
            <w:pPr>
              <w:jc w:val="right"/>
              <w:ind w:right="351"/>
              <w:spacing w:after="0"/>
              <w:rPr>
                <w:sz w:val="20"/>
                <w:szCs w:val="20"/>
                <w:color w:val="auto"/>
              </w:rPr>
            </w:pPr>
            <w:r>
              <w:rPr>
                <w:rFonts w:ascii="Arial" w:cs="Arial" w:eastAsia="Arial" w:hAnsi="Arial"/>
                <w:sz w:val="10"/>
                <w:szCs w:val="10"/>
                <w:color w:val="auto"/>
                <w:w w:val="71"/>
              </w:rPr>
              <w:t>$</w:t>
            </w:r>
          </w:p>
        </w:tc>
        <w:tc>
          <w:tcPr>
            <w:tcW w:w="10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3"/>
                <w:szCs w:val="13"/>
                <w:color w:val="auto"/>
              </w:rPr>
              <w:t>(19,340,542</w:t>
            </w:r>
          </w:p>
        </w:tc>
        <w:tc>
          <w:tcPr>
            <w:tcW w:w="320" w:type="dxa"/>
            <w:vAlign w:val="bottom"/>
          </w:tcPr>
          <w:p>
            <w:pPr>
              <w:jc w:val="right"/>
              <w:ind w:right="242"/>
              <w:spacing w:after="0"/>
              <w:rPr>
                <w:sz w:val="20"/>
                <w:szCs w:val="20"/>
                <w:color w:val="auto"/>
              </w:rPr>
            </w:pPr>
            <w:r>
              <w:rPr>
                <w:rFonts w:ascii="Arial" w:cs="Arial" w:eastAsia="Arial" w:hAnsi="Arial"/>
                <w:sz w:val="8"/>
                <w:szCs w:val="8"/>
                <w:color w:val="auto"/>
                <w:w w:val="73"/>
              </w:rPr>
              <w:t>)</w:t>
            </w:r>
          </w:p>
        </w:tc>
        <w:tc>
          <w:tcPr>
            <w:tcW w:w="460" w:type="dxa"/>
            <w:vAlign w:val="bottom"/>
            <w:tcBorders>
              <w:top w:val="single" w:sz="8" w:color="auto"/>
              <w:bottom w:val="single" w:sz="8" w:color="auto"/>
            </w:tcBorders>
          </w:tcPr>
          <w:p>
            <w:pPr>
              <w:jc w:val="right"/>
              <w:ind w:right="315"/>
              <w:spacing w:after="0"/>
              <w:rPr>
                <w:sz w:val="20"/>
                <w:szCs w:val="20"/>
                <w:color w:val="auto"/>
              </w:rPr>
            </w:pPr>
            <w:r>
              <w:rPr>
                <w:rFonts w:ascii="Arial" w:cs="Arial" w:eastAsia="Arial" w:hAnsi="Arial"/>
                <w:sz w:val="13"/>
                <w:szCs w:val="13"/>
                <w:color w:val="auto"/>
                <w:w w:val="82"/>
              </w:rPr>
              <w:t>$</w:t>
            </w:r>
          </w:p>
        </w:tc>
        <w:tc>
          <w:tcPr>
            <w:tcW w:w="10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3"/>
                <w:szCs w:val="13"/>
                <w:color w:val="auto"/>
              </w:rPr>
              <w:t>(11,957,667</w:t>
            </w:r>
          </w:p>
        </w:tc>
        <w:tc>
          <w:tcPr>
            <w:tcW w:w="40" w:type="dxa"/>
            <w:vAlign w:val="bottom"/>
          </w:tcPr>
          <w:p>
            <w:pPr>
              <w:jc w:val="right"/>
              <w:spacing w:after="0"/>
              <w:rPr>
                <w:sz w:val="20"/>
                <w:szCs w:val="20"/>
                <w:color w:val="auto"/>
              </w:rPr>
            </w:pPr>
            <w:r>
              <w:rPr>
                <w:rFonts w:ascii="Arial" w:cs="Arial" w:eastAsia="Arial" w:hAnsi="Arial"/>
                <w:sz w:val="8"/>
                <w:szCs w:val="8"/>
                <w:color w:val="auto"/>
                <w:w w:val="73"/>
              </w:rPr>
              <w:t>)</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-5029835</wp:posOffset>
            </wp:positionH>
            <wp:positionV relativeFrom="paragraph">
              <wp:posOffset>-334645</wp:posOffset>
            </wp:positionV>
            <wp:extent cx="7170420" cy="9906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70420" cy="99060"/>
                    </a:xfrm>
                    <a:prstGeom prst="rect">
                      <a:avLst/>
                    </a:prstGeom>
                    <a:noFill/>
                  </pic:spPr>
                </pic:pic>
              </a:graphicData>
            </a:graphic>
          </wp:anchor>
        </w:drawing>
        <w:drawing>
          <wp:anchor simplePos="0" relativeHeight="251657728" behindDoc="1" locked="0" layoutInCell="0" allowOverlap="1">
            <wp:simplePos x="0" y="0"/>
            <wp:positionH relativeFrom="column">
              <wp:posOffset>-5029835</wp:posOffset>
            </wp:positionH>
            <wp:positionV relativeFrom="paragraph">
              <wp:posOffset>-129540</wp:posOffset>
            </wp:positionV>
            <wp:extent cx="7170420" cy="11811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70420" cy="118110"/>
                    </a:xfrm>
                    <a:prstGeom prst="rect">
                      <a:avLst/>
                    </a:prstGeom>
                    <a:noFill/>
                  </pic:spPr>
                </pic:pic>
              </a:graphicData>
            </a:graphic>
          </wp:anchor>
        </w:drawing>
      </w:r>
    </w:p>
    <w:p>
      <w:pPr>
        <w:spacing w:after="0" w:line="153" w:lineRule="exact"/>
        <w:rPr>
          <w:sz w:val="20"/>
          <w:szCs w:val="20"/>
          <w:color w:val="auto"/>
        </w:rPr>
      </w:pPr>
    </w:p>
    <w:p>
      <w:pPr>
        <w:sectPr>
          <w:pgSz w:w="11900" w:h="16838" w:orient="portrait"/>
          <w:cols w:equalWidth="0" w:num="2">
            <w:col w:w="7200" w:space="720"/>
            <w:col w:w="3360"/>
          </w:cols>
          <w:pgMar w:left="300" w:top="698" w:right="319" w:bottom="1440" w:gutter="0" w:footer="0" w:header="0"/>
          <w:type w:val="continuous"/>
        </w:sectPr>
      </w:pPr>
    </w:p>
    <w:tbl>
      <w:tblPr>
        <w:tblLayout w:type="fixed"/>
        <w:tblInd w:w="0" w:type="dxa"/>
        <w:tblCellMar>
          <w:top w:w="0" w:type="dxa"/>
          <w:left w:w="0" w:type="dxa"/>
          <w:bottom w:w="0" w:type="dxa"/>
          <w:right w:w="0" w:type="dxa"/>
        </w:tblCellMar>
      </w:tblPr>
      <w:tr>
        <w:trPr>
          <w:trHeight w:val="169"/>
        </w:trPr>
        <w:tc>
          <w:tcPr>
            <w:tcW w:w="8740" w:type="dxa"/>
            <w:vAlign w:val="bottom"/>
            <w:gridSpan w:val="3"/>
          </w:tcPr>
          <w:p>
            <w:pPr>
              <w:spacing w:after="0"/>
              <w:rPr>
                <w:sz w:val="20"/>
                <w:szCs w:val="20"/>
                <w:color w:val="auto"/>
              </w:rPr>
            </w:pPr>
            <w:r>
              <w:rPr>
                <w:rFonts w:ascii="Arial" w:cs="Arial" w:eastAsia="Arial" w:hAnsi="Arial"/>
                <w:sz w:val="13"/>
                <w:szCs w:val="13"/>
                <w:b w:val="1"/>
                <w:bCs w:val="1"/>
                <w:color w:val="auto"/>
              </w:rPr>
              <w:t>Percentages of Revenue</w:t>
            </w:r>
          </w:p>
        </w:tc>
        <w:tc>
          <w:tcPr>
            <w:tcW w:w="1500" w:type="dxa"/>
            <w:vAlign w:val="bottom"/>
            <w:gridSpan w:val="3"/>
          </w:tcPr>
          <w:p>
            <w:pPr>
              <w:ind w:left="40"/>
              <w:spacing w:after="0"/>
              <w:rPr>
                <w:sz w:val="20"/>
                <w:szCs w:val="20"/>
                <w:color w:val="auto"/>
              </w:rPr>
            </w:pPr>
            <w:r>
              <w:rPr>
                <w:rFonts w:ascii="Arial" w:cs="Arial" w:eastAsia="Arial" w:hAnsi="Arial"/>
                <w:sz w:val="13"/>
                <w:szCs w:val="13"/>
                <w:b w:val="1"/>
                <w:bCs w:val="1"/>
                <w:color w:val="auto"/>
                <w:w w:val="90"/>
              </w:rPr>
              <w:t>Year ended December 31,</w:t>
            </w:r>
          </w:p>
        </w:tc>
        <w:tc>
          <w:tcPr>
            <w:tcW w:w="9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7"/>
        </w:trPr>
        <w:tc>
          <w:tcPr>
            <w:tcW w:w="20" w:type="dxa"/>
            <w:vAlign w:val="bottom"/>
          </w:tcPr>
          <w:p>
            <w:pPr>
              <w:spacing w:after="0"/>
              <w:rPr>
                <w:sz w:val="13"/>
                <w:szCs w:val="13"/>
                <w:color w:val="auto"/>
              </w:rPr>
            </w:pPr>
          </w:p>
        </w:tc>
        <w:tc>
          <w:tcPr>
            <w:tcW w:w="7820" w:type="dxa"/>
            <w:vAlign w:val="bottom"/>
            <w:tcBorders>
              <w:bottom w:val="single" w:sz="8" w:color="CCEEFF"/>
            </w:tcBorders>
          </w:tcPr>
          <w:p>
            <w:pPr>
              <w:spacing w:after="0"/>
              <w:rPr>
                <w:sz w:val="13"/>
                <w:szCs w:val="13"/>
                <w:color w:val="auto"/>
              </w:rPr>
            </w:pPr>
          </w:p>
        </w:tc>
        <w:tc>
          <w:tcPr>
            <w:tcW w:w="9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3"/>
                <w:szCs w:val="13"/>
                <w:b w:val="1"/>
                <w:bCs w:val="1"/>
                <w:color w:val="auto"/>
              </w:rPr>
              <w:t>2020</w:t>
            </w:r>
          </w:p>
        </w:tc>
        <w:tc>
          <w:tcPr>
            <w:tcW w:w="560" w:type="dxa"/>
            <w:vAlign w:val="bottom"/>
            <w:tcBorders>
              <w:top w:val="single" w:sz="8" w:color="auto"/>
              <w:bottom w:val="single" w:sz="8" w:color="auto"/>
            </w:tcBorders>
          </w:tcPr>
          <w:p>
            <w:pPr>
              <w:spacing w:after="0"/>
              <w:rPr>
                <w:sz w:val="13"/>
                <w:szCs w:val="13"/>
                <w:color w:val="auto"/>
              </w:rPr>
            </w:pPr>
          </w:p>
        </w:tc>
        <w:tc>
          <w:tcPr>
            <w:tcW w:w="380" w:type="dxa"/>
            <w:vAlign w:val="bottom"/>
            <w:tcBorders>
              <w:top w:val="single" w:sz="8" w:color="auto"/>
              <w:bottom w:val="single" w:sz="8" w:color="CCEEFF"/>
            </w:tcBorders>
          </w:tcPr>
          <w:p>
            <w:pPr>
              <w:spacing w:after="0"/>
              <w:rPr>
                <w:sz w:val="13"/>
                <w:szCs w:val="13"/>
                <w:color w:val="auto"/>
              </w:rPr>
            </w:pPr>
          </w:p>
        </w:tc>
        <w:tc>
          <w:tcPr>
            <w:tcW w:w="560" w:type="dxa"/>
            <w:vAlign w:val="bottom"/>
            <w:tcBorders>
              <w:top w:val="single" w:sz="8" w:color="auto"/>
              <w:bottom w:val="single" w:sz="8" w:color="auto"/>
            </w:tcBorders>
          </w:tcPr>
          <w:p>
            <w:pPr>
              <w:spacing w:after="0"/>
              <w:rPr>
                <w:sz w:val="13"/>
                <w:szCs w:val="13"/>
                <w:color w:val="auto"/>
              </w:rPr>
            </w:pPr>
          </w:p>
        </w:tc>
        <w:tc>
          <w:tcPr>
            <w:tcW w:w="900" w:type="dxa"/>
            <w:vAlign w:val="bottom"/>
            <w:tcBorders>
              <w:top w:val="single" w:sz="8" w:color="auto"/>
              <w:bottom w:val="single" w:sz="8" w:color="auto"/>
            </w:tcBorders>
          </w:tcPr>
          <w:p>
            <w:pPr>
              <w:jc w:val="right"/>
              <w:ind w:right="535"/>
              <w:spacing w:after="0"/>
              <w:rPr>
                <w:sz w:val="20"/>
                <w:szCs w:val="20"/>
                <w:color w:val="auto"/>
              </w:rPr>
            </w:pPr>
            <w:r>
              <w:rPr>
                <w:rFonts w:ascii="Arial" w:cs="Arial" w:eastAsia="Arial" w:hAnsi="Arial"/>
                <w:sz w:val="13"/>
                <w:szCs w:val="13"/>
                <w:b w:val="1"/>
                <w:bCs w:val="1"/>
                <w:color w:val="auto"/>
                <w:w w:val="96"/>
              </w:rPr>
              <w:t>2019</w:t>
            </w:r>
          </w:p>
        </w:tc>
        <w:tc>
          <w:tcPr>
            <w:tcW w:w="14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782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Revenue</w:t>
            </w:r>
          </w:p>
        </w:tc>
        <w:tc>
          <w:tcPr>
            <w:tcW w:w="900" w:type="dxa"/>
            <w:vAlign w:val="bottom"/>
            <w:shd w:val="clear" w:color="auto" w:fill="CCEEFF"/>
          </w:tcPr>
          <w:p>
            <w:pPr>
              <w:spacing w:after="0"/>
              <w:rPr>
                <w:sz w:val="12"/>
                <w:szCs w:val="12"/>
                <w:color w:val="auto"/>
              </w:rPr>
            </w:pPr>
          </w:p>
        </w:tc>
        <w:tc>
          <w:tcPr>
            <w:tcW w:w="940" w:type="dxa"/>
            <w:vAlign w:val="bottom"/>
            <w:gridSpan w:val="2"/>
            <w:shd w:val="clear" w:color="auto" w:fill="CCEEFF"/>
          </w:tcPr>
          <w:p>
            <w:pPr>
              <w:jc w:val="right"/>
              <w:ind w:right="280"/>
              <w:spacing w:after="0" w:line="146" w:lineRule="exact"/>
              <w:rPr>
                <w:sz w:val="20"/>
                <w:szCs w:val="20"/>
                <w:color w:val="auto"/>
              </w:rPr>
            </w:pPr>
            <w:r>
              <w:rPr>
                <w:rFonts w:ascii="Arial" w:cs="Arial" w:eastAsia="Arial" w:hAnsi="Arial"/>
                <w:sz w:val="13"/>
                <w:szCs w:val="13"/>
                <w:color w:val="auto"/>
              </w:rPr>
              <w:t>100%</w:t>
            </w:r>
          </w:p>
        </w:tc>
        <w:tc>
          <w:tcPr>
            <w:tcW w:w="560" w:type="dxa"/>
            <w:vAlign w:val="bottom"/>
            <w:shd w:val="clear" w:color="auto" w:fill="CCEEFF"/>
          </w:tcPr>
          <w:p>
            <w:pPr>
              <w:spacing w:after="0"/>
              <w:rPr>
                <w:sz w:val="12"/>
                <w:szCs w:val="12"/>
                <w:color w:val="auto"/>
              </w:rPr>
            </w:pPr>
          </w:p>
        </w:tc>
        <w:tc>
          <w:tcPr>
            <w:tcW w:w="1040" w:type="dxa"/>
            <w:vAlign w:val="bottom"/>
            <w:gridSpan w:val="2"/>
            <w:shd w:val="clear" w:color="auto" w:fill="CCEEFF"/>
          </w:tcPr>
          <w:p>
            <w:pPr>
              <w:jc w:val="right"/>
              <w:ind w:right="40"/>
              <w:spacing w:after="0" w:line="146" w:lineRule="exact"/>
              <w:rPr>
                <w:sz w:val="20"/>
                <w:szCs w:val="20"/>
                <w:color w:val="auto"/>
              </w:rPr>
            </w:pPr>
            <w:r>
              <w:rPr>
                <w:rFonts w:ascii="Arial" w:cs="Arial" w:eastAsia="Arial" w:hAnsi="Arial"/>
                <w:sz w:val="13"/>
                <w:szCs w:val="13"/>
                <w:color w:val="auto"/>
              </w:rPr>
              <w:t>100%</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8720" w:type="dxa"/>
            <w:vAlign w:val="bottom"/>
            <w:gridSpan w:val="2"/>
          </w:tcPr>
          <w:p>
            <w:pPr>
              <w:spacing w:after="0"/>
              <w:rPr>
                <w:sz w:val="20"/>
                <w:szCs w:val="20"/>
                <w:color w:val="auto"/>
              </w:rPr>
            </w:pPr>
            <w:r>
              <w:rPr>
                <w:rFonts w:ascii="Arial" w:cs="Arial" w:eastAsia="Arial" w:hAnsi="Arial"/>
                <w:sz w:val="13"/>
                <w:szCs w:val="13"/>
                <w:color w:val="auto"/>
              </w:rPr>
              <w:t>Cost of services</w:t>
            </w:r>
          </w:p>
        </w:tc>
        <w:tc>
          <w:tcPr>
            <w:tcW w:w="940" w:type="dxa"/>
            <w:vAlign w:val="bottom"/>
            <w:gridSpan w:val="2"/>
          </w:tcPr>
          <w:p>
            <w:pPr>
              <w:jc w:val="right"/>
              <w:ind w:right="340"/>
              <w:spacing w:after="0"/>
              <w:rPr>
                <w:sz w:val="20"/>
                <w:szCs w:val="20"/>
                <w:color w:val="auto"/>
              </w:rPr>
            </w:pPr>
            <w:r>
              <w:rPr>
                <w:rFonts w:ascii="Arial" w:cs="Arial" w:eastAsia="Arial" w:hAnsi="Arial"/>
                <w:sz w:val="13"/>
                <w:szCs w:val="13"/>
                <w:color w:val="auto"/>
              </w:rPr>
              <w:t>(139)</w:t>
            </w:r>
          </w:p>
        </w:tc>
        <w:tc>
          <w:tcPr>
            <w:tcW w:w="560" w:type="dxa"/>
            <w:vAlign w:val="bottom"/>
          </w:tcPr>
          <w:p>
            <w:pPr>
              <w:spacing w:after="0"/>
              <w:rPr>
                <w:sz w:val="14"/>
                <w:szCs w:val="14"/>
                <w:color w:val="auto"/>
              </w:rPr>
            </w:pPr>
          </w:p>
        </w:tc>
        <w:tc>
          <w:tcPr>
            <w:tcW w:w="1040" w:type="dxa"/>
            <w:vAlign w:val="bottom"/>
            <w:gridSpan w:val="2"/>
          </w:tcPr>
          <w:p>
            <w:pPr>
              <w:jc w:val="right"/>
              <w:ind w:right="100"/>
              <w:spacing w:after="0"/>
              <w:rPr>
                <w:sz w:val="20"/>
                <w:szCs w:val="20"/>
                <w:color w:val="auto"/>
              </w:rPr>
            </w:pPr>
            <w:r>
              <w:rPr>
                <w:rFonts w:ascii="Arial" w:cs="Arial" w:eastAsia="Arial" w:hAnsi="Arial"/>
                <w:sz w:val="13"/>
                <w:szCs w:val="13"/>
                <w:color w:val="auto"/>
              </w:rPr>
              <w:t>(153)</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7820" w:type="dxa"/>
            <w:vAlign w:val="bottom"/>
            <w:tcBorders>
              <w:top w:val="single" w:sz="8" w:color="CCEEFF"/>
            </w:tcBorders>
            <w:shd w:val="clear" w:color="auto" w:fill="CCEEFF"/>
          </w:tcPr>
          <w:p>
            <w:pPr>
              <w:ind w:left="220"/>
              <w:spacing w:after="0" w:line="144" w:lineRule="exact"/>
              <w:rPr>
                <w:sz w:val="20"/>
                <w:szCs w:val="20"/>
                <w:color w:val="auto"/>
              </w:rPr>
            </w:pPr>
            <w:r>
              <w:rPr>
                <w:rFonts w:ascii="Arial" w:cs="Arial" w:eastAsia="Arial" w:hAnsi="Arial"/>
                <w:sz w:val="13"/>
                <w:szCs w:val="13"/>
                <w:color w:val="auto"/>
              </w:rPr>
              <w:t>Total gross loss</w:t>
            </w:r>
          </w:p>
        </w:tc>
        <w:tc>
          <w:tcPr>
            <w:tcW w:w="900" w:type="dxa"/>
            <w:vAlign w:val="bottom"/>
            <w:tcBorders>
              <w:top w:val="single" w:sz="8" w:color="auto"/>
              <w:bottom w:val="single" w:sz="8" w:color="auto"/>
            </w:tcBorders>
            <w:shd w:val="clear" w:color="auto" w:fill="CCEEFF"/>
          </w:tcPr>
          <w:p>
            <w:pPr>
              <w:spacing w:after="0"/>
              <w:rPr>
                <w:sz w:val="12"/>
                <w:szCs w:val="12"/>
                <w:color w:val="auto"/>
              </w:rPr>
            </w:pPr>
          </w:p>
        </w:tc>
        <w:tc>
          <w:tcPr>
            <w:tcW w:w="5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(39)</w:t>
            </w:r>
          </w:p>
        </w:tc>
        <w:tc>
          <w:tcPr>
            <w:tcW w:w="380" w:type="dxa"/>
            <w:vAlign w:val="bottom"/>
            <w:tcBorders>
              <w:top w:val="single" w:sz="8" w:color="CCEEFF"/>
            </w:tcBorders>
            <w:shd w:val="clear" w:color="auto" w:fill="CCEEFF"/>
          </w:tcPr>
          <w:p>
            <w:pPr>
              <w:spacing w:after="0"/>
              <w:rPr>
                <w:sz w:val="12"/>
                <w:szCs w:val="12"/>
                <w:color w:val="auto"/>
              </w:rPr>
            </w:pPr>
          </w:p>
        </w:tc>
        <w:tc>
          <w:tcPr>
            <w:tcW w:w="560" w:type="dxa"/>
            <w:vAlign w:val="bottom"/>
            <w:tcBorders>
              <w:top w:val="single" w:sz="8" w:color="auto"/>
              <w:bottom w:val="single" w:sz="8" w:color="auto"/>
            </w:tcBorders>
            <w:shd w:val="clear" w:color="auto" w:fill="CCEEFF"/>
          </w:tcPr>
          <w:p>
            <w:pPr>
              <w:spacing w:after="0"/>
              <w:rPr>
                <w:sz w:val="12"/>
                <w:szCs w:val="12"/>
                <w:color w:val="auto"/>
              </w:rPr>
            </w:pPr>
          </w:p>
        </w:tc>
        <w:tc>
          <w:tcPr>
            <w:tcW w:w="90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(53)</w:t>
            </w:r>
          </w:p>
        </w:tc>
        <w:tc>
          <w:tcPr>
            <w:tcW w:w="14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7820" w:type="dxa"/>
            <w:vAlign w:val="bottom"/>
          </w:tcPr>
          <w:p>
            <w:pPr>
              <w:spacing w:after="0"/>
              <w:rPr>
                <w:sz w:val="12"/>
                <w:szCs w:val="12"/>
                <w:color w:val="auto"/>
              </w:rPr>
            </w:pPr>
          </w:p>
        </w:tc>
        <w:tc>
          <w:tcPr>
            <w:tcW w:w="90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90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872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Operating expenses:</w:t>
            </w:r>
          </w:p>
        </w:tc>
        <w:tc>
          <w:tcPr>
            <w:tcW w:w="560" w:type="dxa"/>
            <w:vAlign w:val="bottom"/>
            <w:shd w:val="clear" w:color="auto" w:fill="CCEEFF"/>
          </w:tcPr>
          <w:p>
            <w:pPr>
              <w:spacing w:after="0"/>
              <w:rPr>
                <w:sz w:val="13"/>
                <w:szCs w:val="13"/>
                <w:color w:val="auto"/>
              </w:rPr>
            </w:pPr>
          </w:p>
        </w:tc>
        <w:tc>
          <w:tcPr>
            <w:tcW w:w="380" w:type="dxa"/>
            <w:vAlign w:val="bottom"/>
            <w:shd w:val="clear" w:color="auto" w:fill="CCEEFF"/>
          </w:tcPr>
          <w:p>
            <w:pPr>
              <w:spacing w:after="0"/>
              <w:rPr>
                <w:sz w:val="13"/>
                <w:szCs w:val="13"/>
                <w:color w:val="auto"/>
              </w:rPr>
            </w:pPr>
          </w:p>
        </w:tc>
        <w:tc>
          <w:tcPr>
            <w:tcW w:w="560" w:type="dxa"/>
            <w:vAlign w:val="bottom"/>
            <w:shd w:val="clear" w:color="auto" w:fill="CCEEFF"/>
          </w:tcPr>
          <w:p>
            <w:pPr>
              <w:spacing w:after="0"/>
              <w:rPr>
                <w:sz w:val="13"/>
                <w:szCs w:val="13"/>
                <w:color w:val="auto"/>
              </w:rPr>
            </w:pPr>
          </w:p>
        </w:tc>
        <w:tc>
          <w:tcPr>
            <w:tcW w:w="90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720" w:type="dxa"/>
            <w:vAlign w:val="bottom"/>
            <w:gridSpan w:val="2"/>
          </w:tcPr>
          <w:p>
            <w:pPr>
              <w:ind w:left="100"/>
              <w:spacing w:after="0"/>
              <w:rPr>
                <w:sz w:val="20"/>
                <w:szCs w:val="20"/>
                <w:color w:val="auto"/>
              </w:rPr>
            </w:pPr>
            <w:r>
              <w:rPr>
                <w:rFonts w:ascii="Arial" w:cs="Arial" w:eastAsia="Arial" w:hAnsi="Arial"/>
                <w:sz w:val="13"/>
                <w:szCs w:val="13"/>
                <w:color w:val="auto"/>
              </w:rPr>
              <w:t>Research and development</w:t>
            </w:r>
          </w:p>
        </w:tc>
        <w:tc>
          <w:tcPr>
            <w:tcW w:w="560" w:type="dxa"/>
            <w:vAlign w:val="bottom"/>
          </w:tcPr>
          <w:p>
            <w:pPr>
              <w:jc w:val="right"/>
              <w:spacing w:after="0"/>
              <w:rPr>
                <w:sz w:val="20"/>
                <w:szCs w:val="20"/>
                <w:color w:val="auto"/>
              </w:rPr>
            </w:pPr>
            <w:r>
              <w:rPr>
                <w:rFonts w:ascii="Arial" w:cs="Arial" w:eastAsia="Arial" w:hAnsi="Arial"/>
                <w:sz w:val="13"/>
                <w:szCs w:val="13"/>
                <w:color w:val="auto"/>
              </w:rPr>
              <w:t>97</w:t>
            </w:r>
          </w:p>
        </w:tc>
        <w:tc>
          <w:tcPr>
            <w:tcW w:w="38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1040" w:type="dxa"/>
            <w:vAlign w:val="bottom"/>
            <w:gridSpan w:val="2"/>
          </w:tcPr>
          <w:p>
            <w:pPr>
              <w:jc w:val="right"/>
              <w:ind w:right="140"/>
              <w:spacing w:after="0"/>
              <w:rPr>
                <w:sz w:val="20"/>
                <w:szCs w:val="20"/>
                <w:color w:val="auto"/>
              </w:rPr>
            </w:pPr>
            <w:r>
              <w:rPr>
                <w:rFonts w:ascii="Arial" w:cs="Arial" w:eastAsia="Arial" w:hAnsi="Arial"/>
                <w:sz w:val="13"/>
                <w:szCs w:val="13"/>
                <w:color w:val="auto"/>
              </w:rPr>
              <w:t>102</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72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Sales and marketing</w:t>
            </w:r>
          </w:p>
        </w:tc>
        <w:tc>
          <w:tcPr>
            <w:tcW w:w="940" w:type="dxa"/>
            <w:vAlign w:val="bottom"/>
            <w:gridSpan w:val="2"/>
            <w:shd w:val="clear" w:color="auto" w:fill="CCEEFF"/>
          </w:tcPr>
          <w:p>
            <w:pPr>
              <w:jc w:val="right"/>
              <w:ind w:right="380"/>
              <w:spacing w:after="0"/>
              <w:rPr>
                <w:sz w:val="20"/>
                <w:szCs w:val="20"/>
                <w:color w:val="auto"/>
              </w:rPr>
            </w:pPr>
            <w:r>
              <w:rPr>
                <w:rFonts w:ascii="Arial" w:cs="Arial" w:eastAsia="Arial" w:hAnsi="Arial"/>
                <w:sz w:val="13"/>
                <w:szCs w:val="13"/>
                <w:color w:val="auto"/>
              </w:rPr>
              <w:t>219</w:t>
            </w:r>
          </w:p>
        </w:tc>
        <w:tc>
          <w:tcPr>
            <w:tcW w:w="560" w:type="dxa"/>
            <w:vAlign w:val="bottom"/>
            <w:shd w:val="clear" w:color="auto" w:fill="CCEEFF"/>
          </w:tcPr>
          <w:p>
            <w:pPr>
              <w:spacing w:after="0"/>
              <w:rPr>
                <w:sz w:val="13"/>
                <w:szCs w:val="13"/>
                <w:color w:val="auto"/>
              </w:rPr>
            </w:pPr>
          </w:p>
        </w:tc>
        <w:tc>
          <w:tcPr>
            <w:tcW w:w="104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116</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8720" w:type="dxa"/>
            <w:vAlign w:val="bottom"/>
            <w:gridSpan w:val="2"/>
          </w:tcPr>
          <w:p>
            <w:pPr>
              <w:ind w:left="100"/>
              <w:spacing w:after="0"/>
              <w:rPr>
                <w:sz w:val="20"/>
                <w:szCs w:val="20"/>
                <w:color w:val="auto"/>
              </w:rPr>
            </w:pPr>
            <w:r>
              <w:rPr>
                <w:rFonts w:ascii="Arial" w:cs="Arial" w:eastAsia="Arial" w:hAnsi="Arial"/>
                <w:sz w:val="13"/>
                <w:szCs w:val="13"/>
                <w:color w:val="auto"/>
              </w:rPr>
              <w:t>General and administrative</w:t>
            </w:r>
          </w:p>
        </w:tc>
        <w:tc>
          <w:tcPr>
            <w:tcW w:w="560" w:type="dxa"/>
            <w:vAlign w:val="bottom"/>
          </w:tcPr>
          <w:p>
            <w:pPr>
              <w:jc w:val="right"/>
              <w:spacing w:after="0"/>
              <w:rPr>
                <w:sz w:val="20"/>
                <w:szCs w:val="20"/>
                <w:color w:val="auto"/>
              </w:rPr>
            </w:pPr>
            <w:r>
              <w:rPr>
                <w:rFonts w:ascii="Arial" w:cs="Arial" w:eastAsia="Arial" w:hAnsi="Arial"/>
                <w:sz w:val="13"/>
                <w:szCs w:val="13"/>
                <w:color w:val="auto"/>
              </w:rPr>
              <w:t>84</w:t>
            </w:r>
          </w:p>
        </w:tc>
        <w:tc>
          <w:tcPr>
            <w:tcW w:w="38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1040" w:type="dxa"/>
            <w:vAlign w:val="bottom"/>
            <w:gridSpan w:val="2"/>
          </w:tcPr>
          <w:p>
            <w:pPr>
              <w:jc w:val="right"/>
              <w:ind w:right="140"/>
              <w:spacing w:after="0"/>
              <w:rPr>
                <w:sz w:val="20"/>
                <w:szCs w:val="20"/>
                <w:color w:val="auto"/>
              </w:rPr>
            </w:pPr>
            <w:r>
              <w:rPr>
                <w:rFonts w:ascii="Arial" w:cs="Arial" w:eastAsia="Arial" w:hAnsi="Arial"/>
                <w:sz w:val="13"/>
                <w:szCs w:val="13"/>
                <w:color w:val="auto"/>
              </w:rPr>
              <w:t>62</w:t>
            </w: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782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operating expenses</w:t>
            </w:r>
          </w:p>
        </w:tc>
        <w:tc>
          <w:tcPr>
            <w:tcW w:w="900" w:type="dxa"/>
            <w:vAlign w:val="bottom"/>
            <w:tcBorders>
              <w:top w:val="single" w:sz="8" w:color="auto"/>
              <w:bottom w:val="single" w:sz="8" w:color="auto"/>
            </w:tcBorders>
            <w:shd w:val="clear" w:color="auto" w:fill="CCEEFF"/>
          </w:tcPr>
          <w:p>
            <w:pPr>
              <w:spacing w:after="0"/>
              <w:rPr>
                <w:sz w:val="12"/>
                <w:szCs w:val="12"/>
                <w:color w:val="auto"/>
              </w:rPr>
            </w:pPr>
          </w:p>
        </w:tc>
        <w:tc>
          <w:tcPr>
            <w:tcW w:w="5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400</w:t>
            </w:r>
          </w:p>
        </w:tc>
        <w:tc>
          <w:tcPr>
            <w:tcW w:w="380" w:type="dxa"/>
            <w:vAlign w:val="bottom"/>
            <w:tcBorders>
              <w:top w:val="single" w:sz="8" w:color="CCEEFF"/>
            </w:tcBorders>
            <w:shd w:val="clear" w:color="auto" w:fill="CCEEFF"/>
          </w:tcPr>
          <w:p>
            <w:pPr>
              <w:spacing w:after="0"/>
              <w:rPr>
                <w:sz w:val="12"/>
                <w:szCs w:val="12"/>
                <w:color w:val="auto"/>
              </w:rPr>
            </w:pPr>
          </w:p>
        </w:tc>
        <w:tc>
          <w:tcPr>
            <w:tcW w:w="560" w:type="dxa"/>
            <w:vAlign w:val="bottom"/>
            <w:tcBorders>
              <w:top w:val="single" w:sz="8" w:color="auto"/>
              <w:bottom w:val="single" w:sz="8" w:color="auto"/>
            </w:tcBorders>
            <w:shd w:val="clear" w:color="auto" w:fill="CCEEFF"/>
          </w:tcPr>
          <w:p>
            <w:pPr>
              <w:spacing w:after="0"/>
              <w:rPr>
                <w:sz w:val="12"/>
                <w:szCs w:val="12"/>
                <w:color w:val="auto"/>
              </w:rPr>
            </w:pPr>
          </w:p>
        </w:tc>
        <w:tc>
          <w:tcPr>
            <w:tcW w:w="90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280</w:t>
            </w:r>
          </w:p>
        </w:tc>
        <w:tc>
          <w:tcPr>
            <w:tcW w:w="14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7820" w:type="dxa"/>
            <w:vAlign w:val="bottom"/>
          </w:tcPr>
          <w:p>
            <w:pPr>
              <w:spacing w:after="0"/>
              <w:rPr>
                <w:sz w:val="12"/>
                <w:szCs w:val="12"/>
                <w:color w:val="auto"/>
              </w:rPr>
            </w:pPr>
          </w:p>
        </w:tc>
        <w:tc>
          <w:tcPr>
            <w:tcW w:w="90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38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90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vMerge w:val="continue"/>
          </w:tcPr>
          <w:p>
            <w:pPr>
              <w:spacing w:after="0"/>
              <w:rPr>
                <w:sz w:val="14"/>
                <w:szCs w:val="14"/>
                <w:color w:val="auto"/>
              </w:rPr>
            </w:pPr>
          </w:p>
        </w:tc>
        <w:tc>
          <w:tcPr>
            <w:tcW w:w="872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Loss from operations</w:t>
            </w:r>
          </w:p>
        </w:tc>
        <w:tc>
          <w:tcPr>
            <w:tcW w:w="940" w:type="dxa"/>
            <w:vAlign w:val="bottom"/>
            <w:gridSpan w:val="2"/>
            <w:shd w:val="clear" w:color="auto" w:fill="CCEEFF"/>
          </w:tcPr>
          <w:p>
            <w:pPr>
              <w:jc w:val="right"/>
              <w:ind w:right="340"/>
              <w:spacing w:after="0"/>
              <w:rPr>
                <w:sz w:val="20"/>
                <w:szCs w:val="20"/>
                <w:color w:val="auto"/>
              </w:rPr>
            </w:pPr>
            <w:r>
              <w:rPr>
                <w:rFonts w:ascii="Arial" w:cs="Arial" w:eastAsia="Arial" w:hAnsi="Arial"/>
                <w:sz w:val="13"/>
                <w:szCs w:val="13"/>
                <w:color w:val="auto"/>
              </w:rPr>
              <w:t>(439)</w:t>
            </w:r>
          </w:p>
        </w:tc>
        <w:tc>
          <w:tcPr>
            <w:tcW w:w="560" w:type="dxa"/>
            <w:vAlign w:val="bottom"/>
            <w:shd w:val="clear" w:color="auto" w:fill="CCEEFF"/>
          </w:tcPr>
          <w:p>
            <w:pPr>
              <w:spacing w:after="0"/>
              <w:rPr>
                <w:sz w:val="14"/>
                <w:szCs w:val="14"/>
                <w:color w:val="auto"/>
              </w:rPr>
            </w:pPr>
          </w:p>
        </w:tc>
        <w:tc>
          <w:tcPr>
            <w:tcW w:w="10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(333)</w:t>
            </w: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7820" w:type="dxa"/>
            <w:vAlign w:val="bottom"/>
          </w:tcPr>
          <w:p>
            <w:pPr>
              <w:spacing w:after="0"/>
              <w:rPr>
                <w:sz w:val="12"/>
                <w:szCs w:val="12"/>
                <w:color w:val="auto"/>
              </w:rPr>
            </w:pPr>
          </w:p>
        </w:tc>
        <w:tc>
          <w:tcPr>
            <w:tcW w:w="900" w:type="dxa"/>
            <w:vAlign w:val="bottom"/>
            <w:tcBorders>
              <w:top w:val="single" w:sz="8" w:color="auto"/>
            </w:tcBorders>
          </w:tcPr>
          <w:p>
            <w:pPr>
              <w:spacing w:after="0"/>
              <w:rPr>
                <w:sz w:val="12"/>
                <w:szCs w:val="12"/>
                <w:color w:val="auto"/>
              </w:rPr>
            </w:pPr>
          </w:p>
        </w:tc>
        <w:tc>
          <w:tcPr>
            <w:tcW w:w="560" w:type="dxa"/>
            <w:vAlign w:val="bottom"/>
            <w:tcBorders>
              <w:top w:val="single" w:sz="8" w:color="auto"/>
            </w:tcBorders>
          </w:tcPr>
          <w:p>
            <w:pPr>
              <w:spacing w:after="0"/>
              <w:rPr>
                <w:sz w:val="12"/>
                <w:szCs w:val="12"/>
                <w:color w:val="auto"/>
              </w:rPr>
            </w:pPr>
          </w:p>
        </w:tc>
        <w:tc>
          <w:tcPr>
            <w:tcW w:w="380" w:type="dxa"/>
            <w:vAlign w:val="bottom"/>
          </w:tcPr>
          <w:p>
            <w:pPr>
              <w:spacing w:after="0"/>
              <w:rPr>
                <w:sz w:val="12"/>
                <w:szCs w:val="12"/>
                <w:color w:val="auto"/>
              </w:rPr>
            </w:pPr>
          </w:p>
        </w:tc>
        <w:tc>
          <w:tcPr>
            <w:tcW w:w="560" w:type="dxa"/>
            <w:vAlign w:val="bottom"/>
            <w:tcBorders>
              <w:top w:val="single" w:sz="8" w:color="auto"/>
            </w:tcBorders>
          </w:tcPr>
          <w:p>
            <w:pPr>
              <w:spacing w:after="0"/>
              <w:rPr>
                <w:sz w:val="12"/>
                <w:szCs w:val="12"/>
                <w:color w:val="auto"/>
              </w:rPr>
            </w:pPr>
          </w:p>
        </w:tc>
        <w:tc>
          <w:tcPr>
            <w:tcW w:w="900" w:type="dxa"/>
            <w:vAlign w:val="bottom"/>
            <w:tcBorders>
              <w:top w:val="single" w:sz="8" w:color="auto"/>
            </w:tcBorders>
          </w:tcPr>
          <w:p>
            <w:pPr>
              <w:spacing w:after="0"/>
              <w:rPr>
                <w:sz w:val="12"/>
                <w:szCs w:val="12"/>
                <w:color w:val="auto"/>
              </w:rPr>
            </w:pPr>
          </w:p>
        </w:tc>
        <w:tc>
          <w:tcPr>
            <w:tcW w:w="1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872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Other income (expense):</w:t>
            </w:r>
          </w:p>
        </w:tc>
        <w:tc>
          <w:tcPr>
            <w:tcW w:w="560" w:type="dxa"/>
            <w:vAlign w:val="bottom"/>
            <w:shd w:val="clear" w:color="auto" w:fill="CCEEFF"/>
          </w:tcPr>
          <w:p>
            <w:pPr>
              <w:spacing w:after="0"/>
              <w:rPr>
                <w:sz w:val="13"/>
                <w:szCs w:val="13"/>
                <w:color w:val="auto"/>
              </w:rPr>
            </w:pPr>
          </w:p>
        </w:tc>
        <w:tc>
          <w:tcPr>
            <w:tcW w:w="380" w:type="dxa"/>
            <w:vAlign w:val="bottom"/>
            <w:shd w:val="clear" w:color="auto" w:fill="CCEEFF"/>
          </w:tcPr>
          <w:p>
            <w:pPr>
              <w:spacing w:after="0"/>
              <w:rPr>
                <w:sz w:val="13"/>
                <w:szCs w:val="13"/>
                <w:color w:val="auto"/>
              </w:rPr>
            </w:pPr>
          </w:p>
        </w:tc>
        <w:tc>
          <w:tcPr>
            <w:tcW w:w="560" w:type="dxa"/>
            <w:vAlign w:val="bottom"/>
            <w:shd w:val="clear" w:color="auto" w:fill="CCEEFF"/>
          </w:tcPr>
          <w:p>
            <w:pPr>
              <w:spacing w:after="0"/>
              <w:rPr>
                <w:sz w:val="13"/>
                <w:szCs w:val="13"/>
                <w:color w:val="auto"/>
              </w:rPr>
            </w:pPr>
          </w:p>
        </w:tc>
        <w:tc>
          <w:tcPr>
            <w:tcW w:w="90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720" w:type="dxa"/>
            <w:vAlign w:val="bottom"/>
            <w:gridSpan w:val="2"/>
          </w:tcPr>
          <w:p>
            <w:pPr>
              <w:ind w:left="100"/>
              <w:spacing w:after="0"/>
              <w:rPr>
                <w:sz w:val="20"/>
                <w:szCs w:val="20"/>
                <w:color w:val="auto"/>
              </w:rPr>
            </w:pPr>
            <w:r>
              <w:rPr>
                <w:rFonts w:ascii="Arial" w:cs="Arial" w:eastAsia="Arial" w:hAnsi="Arial"/>
                <w:sz w:val="13"/>
                <w:szCs w:val="13"/>
                <w:color w:val="auto"/>
              </w:rPr>
              <w:t>Interest expense, net</w:t>
            </w:r>
          </w:p>
        </w:tc>
        <w:tc>
          <w:tcPr>
            <w:tcW w:w="940" w:type="dxa"/>
            <w:vAlign w:val="bottom"/>
            <w:gridSpan w:val="2"/>
          </w:tcPr>
          <w:p>
            <w:pPr>
              <w:jc w:val="right"/>
              <w:ind w:right="340"/>
              <w:spacing w:after="0"/>
              <w:rPr>
                <w:sz w:val="20"/>
                <w:szCs w:val="20"/>
                <w:color w:val="auto"/>
              </w:rPr>
            </w:pPr>
            <w:r>
              <w:rPr>
                <w:rFonts w:ascii="Arial" w:cs="Arial" w:eastAsia="Arial" w:hAnsi="Arial"/>
                <w:sz w:val="13"/>
                <w:szCs w:val="13"/>
                <w:color w:val="auto"/>
              </w:rPr>
              <w:t>(68)</w:t>
            </w:r>
          </w:p>
        </w:tc>
        <w:tc>
          <w:tcPr>
            <w:tcW w:w="560" w:type="dxa"/>
            <w:vAlign w:val="bottom"/>
          </w:tcPr>
          <w:p>
            <w:pPr>
              <w:spacing w:after="0"/>
              <w:rPr>
                <w:sz w:val="13"/>
                <w:szCs w:val="13"/>
                <w:color w:val="auto"/>
              </w:rPr>
            </w:pPr>
          </w:p>
        </w:tc>
        <w:tc>
          <w:tcPr>
            <w:tcW w:w="1040" w:type="dxa"/>
            <w:vAlign w:val="bottom"/>
            <w:gridSpan w:val="2"/>
          </w:tcPr>
          <w:p>
            <w:pPr>
              <w:jc w:val="right"/>
              <w:ind w:right="100"/>
              <w:spacing w:after="0"/>
              <w:rPr>
                <w:sz w:val="20"/>
                <w:szCs w:val="20"/>
                <w:color w:val="auto"/>
              </w:rPr>
            </w:pPr>
            <w:r>
              <w:rPr>
                <w:rFonts w:ascii="Arial" w:cs="Arial" w:eastAsia="Arial" w:hAnsi="Arial"/>
                <w:sz w:val="13"/>
                <w:szCs w:val="13"/>
                <w:color w:val="auto"/>
              </w:rPr>
              <w:t>(70)</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72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Change in fair value of warrant liabilities</w:t>
            </w:r>
          </w:p>
        </w:tc>
        <w:tc>
          <w:tcPr>
            <w:tcW w:w="940" w:type="dxa"/>
            <w:vAlign w:val="bottom"/>
            <w:gridSpan w:val="2"/>
            <w:shd w:val="clear" w:color="auto" w:fill="CCEEFF"/>
          </w:tcPr>
          <w:p>
            <w:pPr>
              <w:jc w:val="right"/>
              <w:ind w:right="340"/>
              <w:spacing w:after="0"/>
              <w:rPr>
                <w:sz w:val="20"/>
                <w:szCs w:val="20"/>
                <w:color w:val="auto"/>
              </w:rPr>
            </w:pPr>
            <w:r>
              <w:rPr>
                <w:rFonts w:ascii="Arial" w:cs="Arial" w:eastAsia="Arial" w:hAnsi="Arial"/>
                <w:sz w:val="13"/>
                <w:szCs w:val="13"/>
                <w:color w:val="auto"/>
              </w:rPr>
              <w:t>(73)</w:t>
            </w:r>
          </w:p>
        </w:tc>
        <w:tc>
          <w:tcPr>
            <w:tcW w:w="560" w:type="dxa"/>
            <w:vAlign w:val="bottom"/>
            <w:shd w:val="clear" w:color="auto" w:fill="CCEEFF"/>
          </w:tcPr>
          <w:p>
            <w:pPr>
              <w:spacing w:after="0"/>
              <w:rPr>
                <w:sz w:val="13"/>
                <w:szCs w:val="13"/>
                <w:color w:val="auto"/>
              </w:rPr>
            </w:pPr>
          </w:p>
        </w:tc>
        <w:tc>
          <w:tcPr>
            <w:tcW w:w="104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9</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8720" w:type="dxa"/>
            <w:vAlign w:val="bottom"/>
            <w:gridSpan w:val="2"/>
          </w:tcPr>
          <w:p>
            <w:pPr>
              <w:ind w:left="100"/>
              <w:spacing w:after="0"/>
              <w:rPr>
                <w:sz w:val="20"/>
                <w:szCs w:val="20"/>
                <w:color w:val="auto"/>
              </w:rPr>
            </w:pPr>
            <w:r>
              <w:rPr>
                <w:rFonts w:ascii="Arial" w:cs="Arial" w:eastAsia="Arial" w:hAnsi="Arial"/>
                <w:sz w:val="13"/>
                <w:szCs w:val="13"/>
                <w:color w:val="auto"/>
              </w:rPr>
              <w:t>Other expense, net</w:t>
            </w:r>
          </w:p>
        </w:tc>
        <w:tc>
          <w:tcPr>
            <w:tcW w:w="560" w:type="dxa"/>
            <w:vAlign w:val="bottom"/>
          </w:tcPr>
          <w:p>
            <w:pPr>
              <w:jc w:val="right"/>
              <w:spacing w:after="0"/>
              <w:rPr>
                <w:sz w:val="20"/>
                <w:szCs w:val="20"/>
                <w:color w:val="auto"/>
              </w:rPr>
            </w:pPr>
            <w:r>
              <w:rPr>
                <w:rFonts w:ascii="Arial" w:cs="Arial" w:eastAsia="Arial" w:hAnsi="Arial"/>
                <w:sz w:val="13"/>
                <w:szCs w:val="13"/>
                <w:color w:val="auto"/>
              </w:rPr>
              <w:t>-</w:t>
            </w:r>
          </w:p>
        </w:tc>
        <w:tc>
          <w:tcPr>
            <w:tcW w:w="38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1040" w:type="dxa"/>
            <w:vAlign w:val="bottom"/>
            <w:gridSpan w:val="2"/>
          </w:tcPr>
          <w:p>
            <w:pPr>
              <w:jc w:val="right"/>
              <w:ind w:right="100"/>
              <w:spacing w:after="0"/>
              <w:rPr>
                <w:sz w:val="20"/>
                <w:szCs w:val="20"/>
                <w:color w:val="auto"/>
              </w:rPr>
            </w:pPr>
            <w:r>
              <w:rPr>
                <w:rFonts w:ascii="Arial" w:cs="Arial" w:eastAsia="Arial" w:hAnsi="Arial"/>
                <w:sz w:val="13"/>
                <w:szCs w:val="13"/>
                <w:color w:val="auto"/>
              </w:rPr>
              <w:t>(2)</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7820" w:type="dxa"/>
            <w:vAlign w:val="bottom"/>
            <w:tcBorders>
              <w:top w:val="single" w:sz="8" w:color="CCEEFF"/>
            </w:tcBorders>
            <w:shd w:val="clear" w:color="auto" w:fill="CCEEFF"/>
          </w:tcPr>
          <w:p>
            <w:pPr>
              <w:ind w:left="220"/>
              <w:spacing w:after="0" w:line="144" w:lineRule="exact"/>
              <w:rPr>
                <w:sz w:val="20"/>
                <w:szCs w:val="20"/>
                <w:color w:val="auto"/>
              </w:rPr>
            </w:pPr>
            <w:r>
              <w:rPr>
                <w:rFonts w:ascii="Arial" w:cs="Arial" w:eastAsia="Arial" w:hAnsi="Arial"/>
                <w:sz w:val="13"/>
                <w:szCs w:val="13"/>
                <w:color w:val="auto"/>
              </w:rPr>
              <w:t>Total other income (expense)</w:t>
            </w:r>
          </w:p>
        </w:tc>
        <w:tc>
          <w:tcPr>
            <w:tcW w:w="900" w:type="dxa"/>
            <w:vAlign w:val="bottom"/>
            <w:tcBorders>
              <w:top w:val="single" w:sz="8" w:color="auto"/>
              <w:bottom w:val="single" w:sz="8" w:color="auto"/>
            </w:tcBorders>
            <w:shd w:val="clear" w:color="auto" w:fill="CCEEFF"/>
          </w:tcPr>
          <w:p>
            <w:pPr>
              <w:spacing w:after="0"/>
              <w:rPr>
                <w:sz w:val="12"/>
                <w:szCs w:val="12"/>
                <w:color w:val="auto"/>
              </w:rPr>
            </w:pPr>
          </w:p>
        </w:tc>
        <w:tc>
          <w:tcPr>
            <w:tcW w:w="5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(141)</w:t>
            </w:r>
          </w:p>
        </w:tc>
        <w:tc>
          <w:tcPr>
            <w:tcW w:w="380" w:type="dxa"/>
            <w:vAlign w:val="bottom"/>
            <w:tcBorders>
              <w:top w:val="single" w:sz="8" w:color="CCEEFF"/>
            </w:tcBorders>
            <w:shd w:val="clear" w:color="auto" w:fill="CCEEFF"/>
          </w:tcPr>
          <w:p>
            <w:pPr>
              <w:spacing w:after="0"/>
              <w:rPr>
                <w:sz w:val="12"/>
                <w:szCs w:val="12"/>
                <w:color w:val="auto"/>
              </w:rPr>
            </w:pPr>
          </w:p>
        </w:tc>
        <w:tc>
          <w:tcPr>
            <w:tcW w:w="560" w:type="dxa"/>
            <w:vAlign w:val="bottom"/>
            <w:tcBorders>
              <w:top w:val="single" w:sz="8" w:color="auto"/>
              <w:bottom w:val="single" w:sz="8" w:color="auto"/>
            </w:tcBorders>
            <w:shd w:val="clear" w:color="auto" w:fill="CCEEFF"/>
          </w:tcPr>
          <w:p>
            <w:pPr>
              <w:spacing w:after="0"/>
              <w:rPr>
                <w:sz w:val="12"/>
                <w:szCs w:val="12"/>
                <w:color w:val="auto"/>
              </w:rPr>
            </w:pPr>
          </w:p>
        </w:tc>
        <w:tc>
          <w:tcPr>
            <w:tcW w:w="90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(62)</w:t>
            </w:r>
          </w:p>
        </w:tc>
        <w:tc>
          <w:tcPr>
            <w:tcW w:w="14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bl>
    <w:p>
      <w:pPr>
        <w:spacing w:after="0" w:line="148" w:lineRule="exact"/>
        <w:rPr>
          <w:sz w:val="20"/>
          <w:szCs w:val="20"/>
          <w:color w:val="auto"/>
        </w:rPr>
      </w:pPr>
    </w:p>
    <w:p>
      <w:pPr>
        <w:sectPr>
          <w:pgSz w:w="11900" w:h="16838" w:orient="portrait"/>
          <w:cols w:equalWidth="0" w:num="1">
            <w:col w:w="11280"/>
          </w:cols>
          <w:pgMar w:left="300" w:top="698" w:right="319" w:bottom="1440" w:gutter="0" w:footer="0" w:header="0"/>
          <w:type w:val="continuous"/>
        </w:sectPr>
      </w:pPr>
    </w:p>
    <w:p>
      <w:pPr>
        <w:spacing w:after="0"/>
        <w:rPr>
          <w:sz w:val="20"/>
          <w:szCs w:val="20"/>
          <w:color w:val="auto"/>
        </w:rPr>
      </w:pPr>
      <w:r>
        <w:rPr>
          <w:rFonts w:ascii="Arial" w:cs="Arial" w:eastAsia="Arial" w:hAnsi="Arial"/>
          <w:sz w:val="11"/>
          <w:szCs w:val="11"/>
          <w:color w:val="auto"/>
        </w:rPr>
        <w:t>Net loss before income tax expense</w:t>
      </w:r>
    </w:p>
    <w:p>
      <w:pPr>
        <w:spacing w:after="0" w:line="38" w:lineRule="exact"/>
        <w:rPr>
          <w:sz w:val="20"/>
          <w:szCs w:val="20"/>
          <w:color w:val="auto"/>
        </w:rPr>
      </w:pPr>
    </w:p>
    <w:p>
      <w:pPr>
        <w:spacing w:after="0"/>
        <w:rPr>
          <w:sz w:val="20"/>
          <w:szCs w:val="20"/>
          <w:color w:val="auto"/>
        </w:rPr>
      </w:pPr>
      <w:r>
        <w:rPr>
          <w:rFonts w:ascii="Arial" w:cs="Arial" w:eastAsia="Arial" w:hAnsi="Arial"/>
          <w:sz w:val="13"/>
          <w:szCs w:val="13"/>
          <w:color w:val="auto"/>
        </w:rPr>
        <w:t>Income tax expense</w:t>
      </w:r>
    </w:p>
    <w:p>
      <w:pPr>
        <w:spacing w:after="0" w:line="9" w:lineRule="exact"/>
        <w:rPr>
          <w:sz w:val="20"/>
          <w:szCs w:val="20"/>
          <w:color w:val="auto"/>
        </w:rPr>
      </w:pPr>
    </w:p>
    <w:p>
      <w:pPr>
        <w:spacing w:after="0"/>
        <w:rPr>
          <w:sz w:val="20"/>
          <w:szCs w:val="20"/>
          <w:color w:val="auto"/>
        </w:rPr>
      </w:pPr>
      <w:r>
        <w:rPr>
          <w:rFonts w:ascii="Arial" w:cs="Arial" w:eastAsia="Arial" w:hAnsi="Arial"/>
          <w:sz w:val="13"/>
          <w:szCs w:val="13"/>
          <w:color w:val="auto"/>
        </w:rPr>
        <w:t>Net loss</w:t>
      </w:r>
    </w:p>
    <w:p>
      <w:pPr>
        <w:spacing w:after="0" w:line="20" w:lineRule="exact"/>
        <w:rPr>
          <w:sz w:val="20"/>
          <w:szCs w:val="20"/>
          <w:color w:val="auto"/>
        </w:rPr>
      </w:pPr>
      <w:r>
        <w:rPr>
          <w:sz w:val="20"/>
          <w:szCs w:val="20"/>
          <w:color w:val="auto"/>
        </w:rPr>
        <w:br w:type="column"/>
      </w: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164"/>
        </w:trPr>
        <w:tc>
          <w:tcPr>
            <w:tcW w:w="1840" w:type="dxa"/>
            <w:vAlign w:val="bottom"/>
            <w:gridSpan w:val="2"/>
          </w:tcPr>
          <w:p>
            <w:pPr>
              <w:jc w:val="right"/>
              <w:ind w:right="275"/>
              <w:spacing w:after="0"/>
              <w:rPr>
                <w:sz w:val="20"/>
                <w:szCs w:val="20"/>
                <w:color w:val="auto"/>
              </w:rPr>
            </w:pPr>
            <w:r>
              <w:rPr>
                <w:rFonts w:ascii="Arial" w:cs="Arial" w:eastAsia="Arial" w:hAnsi="Arial"/>
                <w:sz w:val="13"/>
                <w:szCs w:val="13"/>
                <w:color w:val="auto"/>
              </w:rPr>
              <w:t>(580)</w:t>
            </w:r>
          </w:p>
        </w:tc>
        <w:tc>
          <w:tcPr>
            <w:tcW w:w="1600" w:type="dxa"/>
            <w:vAlign w:val="bottom"/>
            <w:gridSpan w:val="2"/>
          </w:tcPr>
          <w:p>
            <w:pPr>
              <w:jc w:val="right"/>
              <w:ind w:right="35"/>
              <w:spacing w:after="0"/>
              <w:rPr>
                <w:sz w:val="20"/>
                <w:szCs w:val="20"/>
                <w:color w:val="auto"/>
              </w:rPr>
            </w:pPr>
            <w:r>
              <w:rPr>
                <w:rFonts w:ascii="Arial" w:cs="Arial" w:eastAsia="Arial" w:hAnsi="Arial"/>
                <w:sz w:val="13"/>
                <w:szCs w:val="13"/>
                <w:color w:val="auto"/>
              </w:rPr>
              <w:t>(395)</w:t>
            </w:r>
          </w:p>
        </w:tc>
        <w:tc>
          <w:tcPr>
            <w:tcW w:w="0" w:type="dxa"/>
            <w:vAlign w:val="bottom"/>
          </w:tcPr>
          <w:p>
            <w:pPr>
              <w:spacing w:after="0"/>
              <w:rPr>
                <w:sz w:val="1"/>
                <w:szCs w:val="1"/>
                <w:color w:val="auto"/>
              </w:rPr>
            </w:pPr>
          </w:p>
        </w:tc>
      </w:tr>
      <w:tr>
        <w:trPr>
          <w:trHeight w:val="167"/>
        </w:trPr>
        <w:tc>
          <w:tcPr>
            <w:tcW w:w="146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w:t>
            </w:r>
          </w:p>
        </w:tc>
        <w:tc>
          <w:tcPr>
            <w:tcW w:w="380" w:type="dxa"/>
            <w:vAlign w:val="bottom"/>
            <w:vMerge w:val="restart"/>
          </w:tcPr>
          <w:p>
            <w:pPr>
              <w:jc w:val="right"/>
              <w:ind w:right="175"/>
              <w:spacing w:after="0"/>
              <w:rPr>
                <w:sz w:val="20"/>
                <w:szCs w:val="20"/>
                <w:color w:val="auto"/>
              </w:rPr>
            </w:pPr>
            <w:r>
              <w:rPr>
                <w:rFonts w:ascii="Arial" w:cs="Arial" w:eastAsia="Arial" w:hAnsi="Arial"/>
                <w:sz w:val="13"/>
                <w:szCs w:val="13"/>
                <w:color w:val="auto"/>
                <w:w w:val="75"/>
              </w:rPr>
              <w:t>)%</w:t>
            </w:r>
          </w:p>
        </w:tc>
        <w:tc>
          <w:tcPr>
            <w:tcW w:w="146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w:t>
            </w:r>
          </w:p>
        </w:tc>
        <w:tc>
          <w:tcPr>
            <w:tcW w:w="140" w:type="dxa"/>
            <w:vAlign w:val="bottom"/>
            <w:vMerge w:val="restart"/>
          </w:tcPr>
          <w:p>
            <w:pPr>
              <w:jc w:val="right"/>
              <w:spacing w:after="0"/>
              <w:rPr>
                <w:sz w:val="20"/>
                <w:szCs w:val="20"/>
                <w:color w:val="auto"/>
              </w:rPr>
            </w:pPr>
            <w:r>
              <w:rPr>
                <w:rFonts w:ascii="Arial" w:cs="Arial" w:eastAsia="Arial" w:hAnsi="Arial"/>
                <w:sz w:val="13"/>
                <w:szCs w:val="13"/>
                <w:color w:val="auto"/>
                <w:w w:val="75"/>
              </w:rPr>
              <w:t>)%</w:t>
            </w:r>
          </w:p>
        </w:tc>
        <w:tc>
          <w:tcPr>
            <w:tcW w:w="0" w:type="dxa"/>
            <w:vAlign w:val="bottom"/>
          </w:tcPr>
          <w:p>
            <w:pPr>
              <w:spacing w:after="0"/>
              <w:rPr>
                <w:sz w:val="1"/>
                <w:szCs w:val="1"/>
                <w:color w:val="auto"/>
              </w:rPr>
            </w:pPr>
          </w:p>
        </w:tc>
      </w:tr>
      <w:tr>
        <w:trPr>
          <w:trHeight w:val="166"/>
        </w:trPr>
        <w:tc>
          <w:tcPr>
            <w:tcW w:w="146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(580</w:t>
            </w:r>
          </w:p>
        </w:tc>
        <w:tc>
          <w:tcPr>
            <w:tcW w:w="380" w:type="dxa"/>
            <w:vAlign w:val="bottom"/>
            <w:vMerge w:val="continue"/>
          </w:tcPr>
          <w:p>
            <w:pPr>
              <w:spacing w:after="0"/>
              <w:rPr>
                <w:sz w:val="14"/>
                <w:szCs w:val="14"/>
                <w:color w:val="auto"/>
              </w:rPr>
            </w:pPr>
          </w:p>
        </w:tc>
        <w:tc>
          <w:tcPr>
            <w:tcW w:w="146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(395</w:t>
            </w:r>
          </w:p>
        </w:tc>
        <w:tc>
          <w:tcPr>
            <w:tcW w:w="14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-4979035</wp:posOffset>
            </wp:positionH>
            <wp:positionV relativeFrom="paragraph">
              <wp:posOffset>-334645</wp:posOffset>
            </wp:positionV>
            <wp:extent cx="7170420" cy="9906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70420" cy="99060"/>
                    </a:xfrm>
                    <a:prstGeom prst="rect">
                      <a:avLst/>
                    </a:prstGeom>
                    <a:noFill/>
                  </pic:spPr>
                </pic:pic>
              </a:graphicData>
            </a:graphic>
          </wp:anchor>
        </w:drawing>
        <w:drawing>
          <wp:anchor simplePos="0" relativeHeight="251657728" behindDoc="1" locked="0" layoutInCell="0" allowOverlap="1">
            <wp:simplePos x="0" y="0"/>
            <wp:positionH relativeFrom="column">
              <wp:posOffset>-4979035</wp:posOffset>
            </wp:positionH>
            <wp:positionV relativeFrom="paragraph">
              <wp:posOffset>-129540</wp:posOffset>
            </wp:positionV>
            <wp:extent cx="7170420" cy="1181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70420" cy="118110"/>
                    </a:xfrm>
                    <a:prstGeom prst="rect">
                      <a:avLst/>
                    </a:prstGeom>
                    <a:noFill/>
                  </pic:spPr>
                </pic:pic>
              </a:graphicData>
            </a:graphic>
          </wp:anchor>
        </w:drawing>
      </w:r>
    </w:p>
    <w:p>
      <w:pPr>
        <w:spacing w:after="0" w:line="200" w:lineRule="exact"/>
        <w:rPr>
          <w:sz w:val="20"/>
          <w:szCs w:val="20"/>
          <w:color w:val="auto"/>
        </w:rPr>
      </w:pPr>
    </w:p>
    <w:p>
      <w:pPr>
        <w:sectPr>
          <w:pgSz w:w="11900" w:h="16838" w:orient="portrait"/>
          <w:cols w:equalWidth="0" w:num="2">
            <w:col w:w="7120" w:space="720"/>
            <w:col w:w="3440"/>
          </w:cols>
          <w:pgMar w:left="300" w:top="698" w:right="319" w:bottom="1440" w:gutter="0" w:footer="0" w:header="0"/>
          <w:type w:val="continuous"/>
        </w:sectPr>
      </w:pPr>
    </w:p>
    <w:p>
      <w:pPr>
        <w:spacing w:after="0" w:line="104" w:lineRule="exact"/>
        <w:rPr>
          <w:sz w:val="20"/>
          <w:szCs w:val="20"/>
          <w:color w:val="auto"/>
        </w:rPr>
      </w:pPr>
    </w:p>
    <w:p>
      <w:pPr>
        <w:jc w:val="center"/>
        <w:ind w:right="-59"/>
        <w:spacing w:after="0"/>
        <w:rPr>
          <w:sz w:val="20"/>
          <w:szCs w:val="20"/>
          <w:color w:val="auto"/>
        </w:rPr>
      </w:pPr>
      <w:r>
        <w:rPr>
          <w:rFonts w:ascii="Arial" w:cs="Arial" w:eastAsia="Arial" w:hAnsi="Arial"/>
          <w:sz w:val="12"/>
          <w:szCs w:val="12"/>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17145</wp:posOffset>
            </wp:positionV>
            <wp:extent cx="7170420" cy="6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type w:val="continuous"/>
        </w:sectPr>
      </w:pPr>
    </w:p>
    <w:bookmarkStart w:id="30" w:name="page31"/>
    <w:bookmarkEnd w:id="30"/>
    <w:p>
      <w:pPr>
        <w:spacing w:after="0"/>
        <w:rPr>
          <w:sz w:val="20"/>
          <w:szCs w:val="20"/>
          <w:color w:val="auto"/>
        </w:rPr>
      </w:pPr>
      <w:r>
        <w:rPr>
          <w:rFonts w:ascii="Arial" w:cs="Arial" w:eastAsia="Arial" w:hAnsi="Arial"/>
          <w:sz w:val="13"/>
          <w:szCs w:val="13"/>
          <w:b w:val="1"/>
          <w:bCs w:val="1"/>
          <w:i w:val="1"/>
          <w:iCs w:val="1"/>
          <w:color w:val="auto"/>
        </w:rPr>
        <w:t>Revenue</w:t>
      </w:r>
    </w:p>
    <w:p>
      <w:pPr>
        <w:spacing w:after="0" w:line="163" w:lineRule="exact"/>
        <w:rPr>
          <w:sz w:val="20"/>
          <w:szCs w:val="20"/>
          <w:color w:val="auto"/>
        </w:rPr>
      </w:pPr>
    </w:p>
    <w:p>
      <w:pPr>
        <w:spacing w:after="0" w:line="256" w:lineRule="auto"/>
        <w:rPr>
          <w:sz w:val="20"/>
          <w:szCs w:val="20"/>
          <w:color w:val="auto"/>
        </w:rPr>
      </w:pPr>
      <w:r>
        <w:rPr>
          <w:rFonts w:ascii="Arial" w:cs="Arial" w:eastAsia="Arial" w:hAnsi="Arial"/>
          <w:sz w:val="13"/>
          <w:szCs w:val="13"/>
          <w:color w:val="auto"/>
        </w:rPr>
        <w:t>Revenue increased by $0.3 million from $3.0 million for the year ended December 31, 2019 to $3.3 million for the year ended December 31, 2020, or by 10%. The increase in revenue was due primarily from contracts executed during 2019 that resulted in partial 2019 and full 2020 revenue. As of December 31, 2019, we had 23 clients and 52 machines-in-network. As of December 31, 2020, our client base grew by 4% over 2019 to 24 clients with 52 machines-in-network. Despite the impact of COVID-19 on our existing client base during 2020, causing some contracts to be placed on hold until their businesses can safely reopen, the Company was able to offset that financial impact with the addition of new clients in 2020 and carrying forward into 2021. As of April 30, 2021, the Company had a backlog of orders to deploy 27 ASRs, representing an aggregate annual subscription value of approximately $1.8 million.</w:t>
      </w:r>
    </w:p>
    <w:p>
      <w:pPr>
        <w:spacing w:after="0" w:line="141"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Cost of Services</w:t>
      </w:r>
    </w:p>
    <w:p>
      <w:pPr>
        <w:spacing w:after="0" w:line="163" w:lineRule="exact"/>
        <w:rPr>
          <w:sz w:val="20"/>
          <w:szCs w:val="20"/>
          <w:color w:val="auto"/>
        </w:rPr>
      </w:pPr>
    </w:p>
    <w:p>
      <w:pPr>
        <w:ind w:right="400"/>
        <w:spacing w:after="0" w:line="274" w:lineRule="auto"/>
        <w:rPr>
          <w:sz w:val="20"/>
          <w:szCs w:val="20"/>
          <w:color w:val="auto"/>
        </w:rPr>
      </w:pPr>
      <w:r>
        <w:rPr>
          <w:rFonts w:ascii="Arial" w:cs="Arial" w:eastAsia="Arial" w:hAnsi="Arial"/>
          <w:sz w:val="13"/>
          <w:szCs w:val="13"/>
          <w:color w:val="auto"/>
        </w:rPr>
        <w:t>Cost of services for the year ended December 31, 2020 and December 31, 2019 remained unchanged at $4.6 million. The cost of services during these periods is primarily related to the average service cost per machine.</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Gross Loss</w:t>
      </w:r>
    </w:p>
    <w:p>
      <w:pPr>
        <w:spacing w:after="0" w:line="163" w:lineRule="exact"/>
        <w:rPr>
          <w:sz w:val="20"/>
          <w:szCs w:val="20"/>
          <w:color w:val="auto"/>
        </w:rPr>
      </w:pPr>
    </w:p>
    <w:p>
      <w:pPr>
        <w:spacing w:after="0"/>
        <w:rPr>
          <w:sz w:val="20"/>
          <w:szCs w:val="20"/>
          <w:color w:val="auto"/>
        </w:rPr>
      </w:pPr>
      <w:r>
        <w:rPr>
          <w:rFonts w:ascii="Arial" w:cs="Arial" w:eastAsia="Arial" w:hAnsi="Arial"/>
          <w:sz w:val="12"/>
          <w:szCs w:val="12"/>
          <w:color w:val="auto"/>
        </w:rPr>
        <w:t>The revenue and cost of services described above resulted in a gross loss for the year ended December 31, 2020 of $1.3 million compared to a gross loss of $1.6 million for the year ended December 31, 2019.</w:t>
      </w:r>
    </w:p>
    <w:p>
      <w:pPr>
        <w:spacing w:after="0" w:line="175"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5200" w:type="dxa"/>
            <w:vAlign w:val="bottom"/>
          </w:tcPr>
          <w:p>
            <w:pPr>
              <w:spacing w:after="0"/>
              <w:rPr>
                <w:sz w:val="20"/>
                <w:szCs w:val="20"/>
                <w:color w:val="auto"/>
              </w:rPr>
            </w:pPr>
            <w:r>
              <w:rPr>
                <w:rFonts w:ascii="Arial" w:cs="Arial" w:eastAsia="Arial" w:hAnsi="Arial"/>
                <w:sz w:val="13"/>
                <w:szCs w:val="13"/>
                <w:b w:val="1"/>
                <w:bCs w:val="1"/>
                <w:i w:val="1"/>
                <w:iCs w:val="1"/>
                <w:color w:val="auto"/>
              </w:rPr>
              <w:t>Research and Development</w:t>
            </w:r>
          </w:p>
        </w:tc>
        <w:tc>
          <w:tcPr>
            <w:tcW w:w="28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52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900" w:type="dxa"/>
            <w:vAlign w:val="bottom"/>
            <w:gridSpan w:val="5"/>
          </w:tcPr>
          <w:p>
            <w:pPr>
              <w:jc w:val="right"/>
              <w:ind w:right="1040"/>
              <w:spacing w:after="0"/>
              <w:rPr>
                <w:sz w:val="20"/>
                <w:szCs w:val="20"/>
                <w:color w:val="auto"/>
              </w:rPr>
            </w:pPr>
            <w:r>
              <w:rPr>
                <w:rFonts w:ascii="Arial" w:cs="Arial" w:eastAsia="Arial" w:hAnsi="Arial"/>
                <w:sz w:val="13"/>
                <w:szCs w:val="13"/>
                <w:b w:val="1"/>
                <w:bCs w:val="1"/>
                <w:color w:val="auto"/>
              </w:rPr>
              <w:t>Year ended December 31,</w:t>
            </w:r>
          </w:p>
        </w:tc>
        <w:tc>
          <w:tcPr>
            <w:tcW w:w="2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157"/>
        </w:trPr>
        <w:tc>
          <w:tcPr>
            <w:tcW w:w="520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80" w:type="dxa"/>
            <w:vAlign w:val="bottom"/>
            <w:tcBorders>
              <w:top w:val="single" w:sz="8" w:color="auto"/>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2020</w:t>
            </w:r>
          </w:p>
        </w:tc>
        <w:tc>
          <w:tcPr>
            <w:tcW w:w="340" w:type="dxa"/>
            <w:vAlign w:val="bottom"/>
            <w:tcBorders>
              <w:top w:val="single" w:sz="8" w:color="auto"/>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2019</w:t>
            </w:r>
          </w:p>
        </w:tc>
        <w:tc>
          <w:tcPr>
            <w:tcW w:w="340" w:type="dxa"/>
            <w:vAlign w:val="bottom"/>
            <w:tcBorders>
              <w:bottom w:val="single" w:sz="8" w:color="CCEEFF"/>
            </w:tcBorders>
          </w:tcPr>
          <w:p>
            <w:pPr>
              <w:spacing w:after="0"/>
              <w:rPr>
                <w:sz w:val="13"/>
                <w:szCs w:val="13"/>
                <w:color w:val="auto"/>
              </w:rPr>
            </w:pPr>
          </w:p>
        </w:tc>
        <w:tc>
          <w:tcPr>
            <w:tcW w:w="200" w:type="dxa"/>
            <w:vAlign w:val="bottom"/>
            <w:tcBorders>
              <w:bottom w:val="single" w:sz="8" w:color="auto"/>
            </w:tcBorders>
          </w:tcPr>
          <w:p>
            <w:pPr>
              <w:spacing w:after="0"/>
              <w:rPr>
                <w:sz w:val="13"/>
                <w:szCs w:val="13"/>
                <w:color w:val="auto"/>
              </w:rPr>
            </w:pPr>
          </w:p>
        </w:tc>
        <w:tc>
          <w:tcPr>
            <w:tcW w:w="1020" w:type="dxa"/>
            <w:vAlign w:val="bottom"/>
            <w:tcBorders>
              <w:bottom w:val="single" w:sz="8" w:color="auto"/>
            </w:tcBorders>
          </w:tcPr>
          <w:p>
            <w:pPr>
              <w:jc w:val="right"/>
              <w:ind w:right="275"/>
              <w:spacing w:after="0"/>
              <w:rPr>
                <w:sz w:val="20"/>
                <w:szCs w:val="20"/>
                <w:color w:val="auto"/>
              </w:rPr>
            </w:pPr>
            <w:r>
              <w:rPr>
                <w:rFonts w:ascii="Arial" w:cs="Arial" w:eastAsia="Arial" w:hAnsi="Arial"/>
                <w:sz w:val="13"/>
                <w:szCs w:val="13"/>
                <w:b w:val="1"/>
                <w:bCs w:val="1"/>
                <w:color w:val="auto"/>
              </w:rPr>
              <w:t>$ Change</w:t>
            </w:r>
          </w:p>
        </w:tc>
        <w:tc>
          <w:tcPr>
            <w:tcW w:w="340" w:type="dxa"/>
            <w:vAlign w:val="bottom"/>
            <w:tcBorders>
              <w:bottom w:val="single" w:sz="8" w:color="CCEEFF"/>
            </w:tcBorders>
          </w:tcPr>
          <w:p>
            <w:pPr>
              <w:spacing w:after="0"/>
              <w:rPr>
                <w:sz w:val="13"/>
                <w:szCs w:val="13"/>
                <w:color w:val="auto"/>
              </w:rPr>
            </w:pPr>
          </w:p>
        </w:tc>
        <w:tc>
          <w:tcPr>
            <w:tcW w:w="1240" w:type="dxa"/>
            <w:vAlign w:val="bottom"/>
            <w:tcBorders>
              <w:bottom w:val="single" w:sz="8" w:color="auto"/>
            </w:tcBorders>
          </w:tcPr>
          <w:p>
            <w:pPr>
              <w:ind w:left="320"/>
              <w:spacing w:after="0"/>
              <w:rPr>
                <w:sz w:val="20"/>
                <w:szCs w:val="20"/>
                <w:color w:val="auto"/>
              </w:rPr>
            </w:pPr>
            <w:r>
              <w:rPr>
                <w:rFonts w:ascii="Arial" w:cs="Arial" w:eastAsia="Arial" w:hAnsi="Arial"/>
                <w:sz w:val="13"/>
                <w:szCs w:val="13"/>
                <w:b w:val="1"/>
                <w:bCs w:val="1"/>
                <w:color w:val="auto"/>
              </w:rPr>
              <w:t>% Change</w:t>
            </w:r>
          </w:p>
        </w:tc>
        <w:tc>
          <w:tcPr>
            <w:tcW w:w="100" w:type="dxa"/>
            <w:vAlign w:val="bottom"/>
            <w:tcBorders>
              <w:bottom w:val="single" w:sz="8" w:color="CCEEFF"/>
            </w:tcBorders>
          </w:tcPr>
          <w:p>
            <w:pPr>
              <w:spacing w:after="0"/>
              <w:rPr>
                <w:sz w:val="13"/>
                <w:szCs w:val="13"/>
                <w:color w:val="auto"/>
              </w:rPr>
            </w:pPr>
          </w:p>
        </w:tc>
      </w:tr>
      <w:tr>
        <w:trPr>
          <w:trHeight w:val="146"/>
        </w:trPr>
        <w:tc>
          <w:tcPr>
            <w:tcW w:w="520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Research and development</w:t>
            </w:r>
          </w:p>
        </w:tc>
        <w:tc>
          <w:tcPr>
            <w:tcW w:w="280" w:type="dxa"/>
            <w:vAlign w:val="bottom"/>
            <w:shd w:val="clear" w:color="auto" w:fill="CCEEFF"/>
          </w:tcPr>
          <w:p>
            <w:pPr>
              <w:jc w:val="right"/>
              <w:ind w:right="135"/>
              <w:spacing w:after="0" w:line="146" w:lineRule="exact"/>
              <w:rPr>
                <w:sz w:val="20"/>
                <w:szCs w:val="20"/>
                <w:color w:val="auto"/>
              </w:rPr>
            </w:pPr>
            <w:r>
              <w:rPr>
                <w:rFonts w:ascii="Arial" w:cs="Arial" w:eastAsia="Arial" w:hAnsi="Arial"/>
                <w:sz w:val="13"/>
                <w:szCs w:val="13"/>
                <w:color w:val="auto"/>
                <w:w w:val="82"/>
              </w:rPr>
              <w:t>$</w:t>
            </w:r>
          </w:p>
        </w:tc>
        <w:tc>
          <w:tcPr>
            <w:tcW w:w="98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3,244,684</w:t>
            </w:r>
          </w:p>
        </w:tc>
        <w:tc>
          <w:tcPr>
            <w:tcW w:w="340" w:type="dxa"/>
            <w:vAlign w:val="bottom"/>
            <w:shd w:val="clear" w:color="auto" w:fill="CCEEFF"/>
          </w:tcPr>
          <w:p>
            <w:pPr>
              <w:spacing w:after="0"/>
              <w:rPr>
                <w:sz w:val="12"/>
                <w:szCs w:val="12"/>
                <w:color w:val="auto"/>
              </w:rPr>
            </w:pP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3,083,695</w:t>
            </w:r>
          </w:p>
        </w:tc>
        <w:tc>
          <w:tcPr>
            <w:tcW w:w="340" w:type="dxa"/>
            <w:vAlign w:val="bottom"/>
            <w:shd w:val="clear" w:color="auto" w:fill="CCEEFF"/>
          </w:tcPr>
          <w:p>
            <w:pPr>
              <w:spacing w:after="0"/>
              <w:rPr>
                <w:sz w:val="12"/>
                <w:szCs w:val="12"/>
                <w:color w:val="auto"/>
              </w:rPr>
            </w:pPr>
          </w:p>
        </w:tc>
        <w:tc>
          <w:tcPr>
            <w:tcW w:w="200" w:type="dxa"/>
            <w:vAlign w:val="bottom"/>
            <w:shd w:val="clear" w:color="auto" w:fill="CCEEFF"/>
          </w:tcPr>
          <w:p>
            <w:pPr>
              <w:jc w:val="right"/>
              <w:ind w:right="9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160,989</w:t>
            </w:r>
          </w:p>
        </w:tc>
        <w:tc>
          <w:tcPr>
            <w:tcW w:w="340" w:type="dxa"/>
            <w:vAlign w:val="bottom"/>
            <w:shd w:val="clear" w:color="auto" w:fill="CCEEFF"/>
          </w:tcPr>
          <w:p>
            <w:pPr>
              <w:spacing w:after="0"/>
              <w:rPr>
                <w:sz w:val="12"/>
                <w:szCs w:val="12"/>
                <w:color w:val="auto"/>
              </w:rPr>
            </w:pPr>
          </w:p>
        </w:tc>
        <w:tc>
          <w:tcPr>
            <w:tcW w:w="1340" w:type="dxa"/>
            <w:vAlign w:val="bottom"/>
            <w:gridSpan w:val="2"/>
            <w:shd w:val="clear" w:color="auto" w:fill="CCEEFF"/>
          </w:tcPr>
          <w:p>
            <w:pPr>
              <w:jc w:val="right"/>
              <w:spacing w:after="0" w:line="146" w:lineRule="exact"/>
              <w:rPr>
                <w:sz w:val="20"/>
                <w:szCs w:val="20"/>
                <w:color w:val="auto"/>
              </w:rPr>
            </w:pPr>
            <w:r>
              <w:rPr>
                <w:rFonts w:ascii="Arial" w:cs="Arial" w:eastAsia="Arial" w:hAnsi="Arial"/>
                <w:sz w:val="13"/>
                <w:szCs w:val="13"/>
                <w:color w:val="auto"/>
              </w:rPr>
              <w:t>5%</w:t>
            </w:r>
          </w:p>
        </w:tc>
      </w:tr>
      <w:tr>
        <w:trPr>
          <w:trHeight w:val="164"/>
        </w:trPr>
        <w:tc>
          <w:tcPr>
            <w:tcW w:w="5200" w:type="dxa"/>
            <w:vAlign w:val="bottom"/>
          </w:tcPr>
          <w:p>
            <w:pPr>
              <w:spacing w:after="0"/>
              <w:rPr>
                <w:sz w:val="20"/>
                <w:szCs w:val="20"/>
                <w:color w:val="auto"/>
              </w:rPr>
            </w:pPr>
            <w:r>
              <w:rPr>
                <w:rFonts w:ascii="Arial" w:cs="Arial" w:eastAsia="Arial" w:hAnsi="Arial"/>
                <w:sz w:val="13"/>
                <w:szCs w:val="13"/>
                <w:color w:val="auto"/>
              </w:rPr>
              <w:t>Percentage of total revenue</w:t>
            </w:r>
          </w:p>
        </w:tc>
        <w:tc>
          <w:tcPr>
            <w:tcW w:w="280" w:type="dxa"/>
            <w:vAlign w:val="bottom"/>
          </w:tcPr>
          <w:p>
            <w:pPr>
              <w:spacing w:after="0"/>
              <w:rPr>
                <w:sz w:val="14"/>
                <w:szCs w:val="14"/>
                <w:color w:val="auto"/>
              </w:rPr>
            </w:pPr>
          </w:p>
        </w:tc>
        <w:tc>
          <w:tcPr>
            <w:tcW w:w="1320" w:type="dxa"/>
            <w:vAlign w:val="bottom"/>
            <w:gridSpan w:val="2"/>
          </w:tcPr>
          <w:p>
            <w:pPr>
              <w:jc w:val="right"/>
              <w:ind w:right="240"/>
              <w:spacing w:after="0"/>
              <w:rPr>
                <w:sz w:val="20"/>
                <w:szCs w:val="20"/>
                <w:color w:val="auto"/>
              </w:rPr>
            </w:pPr>
            <w:r>
              <w:rPr>
                <w:rFonts w:ascii="Arial" w:cs="Arial" w:eastAsia="Arial" w:hAnsi="Arial"/>
                <w:sz w:val="13"/>
                <w:szCs w:val="13"/>
                <w:color w:val="auto"/>
              </w:rPr>
              <w:t>97%</w:t>
            </w:r>
          </w:p>
        </w:tc>
        <w:tc>
          <w:tcPr>
            <w:tcW w:w="280" w:type="dxa"/>
            <w:vAlign w:val="bottom"/>
          </w:tcPr>
          <w:p>
            <w:pPr>
              <w:spacing w:after="0"/>
              <w:rPr>
                <w:sz w:val="14"/>
                <w:szCs w:val="14"/>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102%</w:t>
            </w: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bl>
    <w:p>
      <w:pPr>
        <w:spacing w:after="0" w:line="140" w:lineRule="exact"/>
        <w:rPr>
          <w:sz w:val="20"/>
          <w:szCs w:val="20"/>
          <w:color w:val="auto"/>
        </w:rPr>
      </w:pPr>
    </w:p>
    <w:p>
      <w:pPr>
        <w:ind w:right="280"/>
        <w:spacing w:after="0" w:line="274" w:lineRule="auto"/>
        <w:rPr>
          <w:sz w:val="20"/>
          <w:szCs w:val="20"/>
          <w:color w:val="auto"/>
        </w:rPr>
      </w:pPr>
      <w:r>
        <w:rPr>
          <w:rFonts w:ascii="Arial" w:cs="Arial" w:eastAsia="Arial" w:hAnsi="Arial"/>
          <w:sz w:val="13"/>
          <w:szCs w:val="13"/>
          <w:color w:val="auto"/>
        </w:rPr>
        <w:t>Research and development expenses increased by $0.2 million, or 5%, for the year ended December 31, 2020 as compared to the respective period of the prior year. The increase is due to increased costs of R&amp;D supplies and materials and an increase in third-party consulting services in 2020 compared to the prior year.</w:t>
      </w:r>
    </w:p>
    <w:p>
      <w:pPr>
        <w:spacing w:after="0" w:line="128"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5200" w:type="dxa"/>
            <w:vAlign w:val="bottom"/>
          </w:tcPr>
          <w:p>
            <w:pPr>
              <w:spacing w:after="0"/>
              <w:rPr>
                <w:sz w:val="20"/>
                <w:szCs w:val="20"/>
                <w:color w:val="auto"/>
              </w:rPr>
            </w:pPr>
            <w:r>
              <w:rPr>
                <w:rFonts w:ascii="Arial" w:cs="Arial" w:eastAsia="Arial" w:hAnsi="Arial"/>
                <w:sz w:val="13"/>
                <w:szCs w:val="13"/>
                <w:b w:val="1"/>
                <w:bCs w:val="1"/>
                <w:i w:val="1"/>
                <w:iCs w:val="1"/>
                <w:color w:val="auto"/>
              </w:rPr>
              <w:t>Sales and Marketing</w:t>
            </w:r>
          </w:p>
        </w:tc>
        <w:tc>
          <w:tcPr>
            <w:tcW w:w="28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52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900" w:type="dxa"/>
            <w:vAlign w:val="bottom"/>
            <w:gridSpan w:val="5"/>
          </w:tcPr>
          <w:p>
            <w:pPr>
              <w:jc w:val="right"/>
              <w:ind w:right="1040"/>
              <w:spacing w:after="0"/>
              <w:rPr>
                <w:sz w:val="20"/>
                <w:szCs w:val="20"/>
                <w:color w:val="auto"/>
              </w:rPr>
            </w:pPr>
            <w:r>
              <w:rPr>
                <w:rFonts w:ascii="Arial" w:cs="Arial" w:eastAsia="Arial" w:hAnsi="Arial"/>
                <w:sz w:val="13"/>
                <w:szCs w:val="13"/>
                <w:b w:val="1"/>
                <w:bCs w:val="1"/>
                <w:color w:val="auto"/>
              </w:rPr>
              <w:t>Year ended December 31,</w:t>
            </w:r>
          </w:p>
        </w:tc>
        <w:tc>
          <w:tcPr>
            <w:tcW w:w="2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157"/>
        </w:trPr>
        <w:tc>
          <w:tcPr>
            <w:tcW w:w="520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80" w:type="dxa"/>
            <w:vAlign w:val="bottom"/>
            <w:tcBorders>
              <w:top w:val="single" w:sz="8" w:color="auto"/>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2020</w:t>
            </w:r>
          </w:p>
        </w:tc>
        <w:tc>
          <w:tcPr>
            <w:tcW w:w="340" w:type="dxa"/>
            <w:vAlign w:val="bottom"/>
            <w:tcBorders>
              <w:top w:val="single" w:sz="8" w:color="auto"/>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2019</w:t>
            </w:r>
          </w:p>
        </w:tc>
        <w:tc>
          <w:tcPr>
            <w:tcW w:w="340" w:type="dxa"/>
            <w:vAlign w:val="bottom"/>
            <w:tcBorders>
              <w:bottom w:val="single" w:sz="8" w:color="CCEEFF"/>
            </w:tcBorders>
          </w:tcPr>
          <w:p>
            <w:pPr>
              <w:spacing w:after="0"/>
              <w:rPr>
                <w:sz w:val="13"/>
                <w:szCs w:val="13"/>
                <w:color w:val="auto"/>
              </w:rPr>
            </w:pPr>
          </w:p>
        </w:tc>
        <w:tc>
          <w:tcPr>
            <w:tcW w:w="200" w:type="dxa"/>
            <w:vAlign w:val="bottom"/>
            <w:tcBorders>
              <w:bottom w:val="single" w:sz="8" w:color="auto"/>
            </w:tcBorders>
          </w:tcPr>
          <w:p>
            <w:pPr>
              <w:spacing w:after="0"/>
              <w:rPr>
                <w:sz w:val="13"/>
                <w:szCs w:val="13"/>
                <w:color w:val="auto"/>
              </w:rPr>
            </w:pPr>
          </w:p>
        </w:tc>
        <w:tc>
          <w:tcPr>
            <w:tcW w:w="1020" w:type="dxa"/>
            <w:vAlign w:val="bottom"/>
            <w:tcBorders>
              <w:bottom w:val="single" w:sz="8" w:color="auto"/>
            </w:tcBorders>
          </w:tcPr>
          <w:p>
            <w:pPr>
              <w:jc w:val="right"/>
              <w:ind w:right="275"/>
              <w:spacing w:after="0"/>
              <w:rPr>
                <w:sz w:val="20"/>
                <w:szCs w:val="20"/>
                <w:color w:val="auto"/>
              </w:rPr>
            </w:pPr>
            <w:r>
              <w:rPr>
                <w:rFonts w:ascii="Arial" w:cs="Arial" w:eastAsia="Arial" w:hAnsi="Arial"/>
                <w:sz w:val="13"/>
                <w:szCs w:val="13"/>
                <w:b w:val="1"/>
                <w:bCs w:val="1"/>
                <w:color w:val="auto"/>
              </w:rPr>
              <w:t>$ Change</w:t>
            </w:r>
          </w:p>
        </w:tc>
        <w:tc>
          <w:tcPr>
            <w:tcW w:w="340" w:type="dxa"/>
            <w:vAlign w:val="bottom"/>
            <w:tcBorders>
              <w:bottom w:val="single" w:sz="8" w:color="CCEEFF"/>
            </w:tcBorders>
          </w:tcPr>
          <w:p>
            <w:pPr>
              <w:spacing w:after="0"/>
              <w:rPr>
                <w:sz w:val="13"/>
                <w:szCs w:val="13"/>
                <w:color w:val="auto"/>
              </w:rPr>
            </w:pPr>
          </w:p>
        </w:tc>
        <w:tc>
          <w:tcPr>
            <w:tcW w:w="1240" w:type="dxa"/>
            <w:vAlign w:val="bottom"/>
            <w:tcBorders>
              <w:bottom w:val="single" w:sz="8" w:color="auto"/>
            </w:tcBorders>
          </w:tcPr>
          <w:p>
            <w:pPr>
              <w:ind w:left="320"/>
              <w:spacing w:after="0"/>
              <w:rPr>
                <w:sz w:val="20"/>
                <w:szCs w:val="20"/>
                <w:color w:val="auto"/>
              </w:rPr>
            </w:pPr>
            <w:r>
              <w:rPr>
                <w:rFonts w:ascii="Arial" w:cs="Arial" w:eastAsia="Arial" w:hAnsi="Arial"/>
                <w:sz w:val="13"/>
                <w:szCs w:val="13"/>
                <w:b w:val="1"/>
                <w:bCs w:val="1"/>
                <w:color w:val="auto"/>
              </w:rPr>
              <w:t>% Change</w:t>
            </w:r>
          </w:p>
        </w:tc>
        <w:tc>
          <w:tcPr>
            <w:tcW w:w="100" w:type="dxa"/>
            <w:vAlign w:val="bottom"/>
            <w:tcBorders>
              <w:bottom w:val="single" w:sz="8" w:color="CCEEFF"/>
            </w:tcBorders>
          </w:tcPr>
          <w:p>
            <w:pPr>
              <w:spacing w:after="0"/>
              <w:rPr>
                <w:sz w:val="13"/>
                <w:szCs w:val="13"/>
                <w:color w:val="auto"/>
              </w:rPr>
            </w:pPr>
          </w:p>
        </w:tc>
      </w:tr>
      <w:tr>
        <w:trPr>
          <w:trHeight w:val="146"/>
        </w:trPr>
        <w:tc>
          <w:tcPr>
            <w:tcW w:w="520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Sales and marketing</w:t>
            </w:r>
          </w:p>
        </w:tc>
        <w:tc>
          <w:tcPr>
            <w:tcW w:w="280" w:type="dxa"/>
            <w:vAlign w:val="bottom"/>
            <w:shd w:val="clear" w:color="auto" w:fill="CCEEFF"/>
          </w:tcPr>
          <w:p>
            <w:pPr>
              <w:jc w:val="right"/>
              <w:ind w:right="135"/>
              <w:spacing w:after="0" w:line="146" w:lineRule="exact"/>
              <w:rPr>
                <w:sz w:val="20"/>
                <w:szCs w:val="20"/>
                <w:color w:val="auto"/>
              </w:rPr>
            </w:pPr>
            <w:r>
              <w:rPr>
                <w:rFonts w:ascii="Arial" w:cs="Arial" w:eastAsia="Arial" w:hAnsi="Arial"/>
                <w:sz w:val="13"/>
                <w:szCs w:val="13"/>
                <w:color w:val="auto"/>
                <w:w w:val="82"/>
              </w:rPr>
              <w:t>$</w:t>
            </w:r>
          </w:p>
        </w:tc>
        <w:tc>
          <w:tcPr>
            <w:tcW w:w="98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7,310,083</w:t>
            </w:r>
          </w:p>
        </w:tc>
        <w:tc>
          <w:tcPr>
            <w:tcW w:w="340" w:type="dxa"/>
            <w:vAlign w:val="bottom"/>
            <w:shd w:val="clear" w:color="auto" w:fill="CCEEFF"/>
          </w:tcPr>
          <w:p>
            <w:pPr>
              <w:spacing w:after="0"/>
              <w:rPr>
                <w:sz w:val="12"/>
                <w:szCs w:val="12"/>
                <w:color w:val="auto"/>
              </w:rPr>
            </w:pP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3,495,806</w:t>
            </w:r>
          </w:p>
        </w:tc>
        <w:tc>
          <w:tcPr>
            <w:tcW w:w="340" w:type="dxa"/>
            <w:vAlign w:val="bottom"/>
            <w:shd w:val="clear" w:color="auto" w:fill="CCEEFF"/>
          </w:tcPr>
          <w:p>
            <w:pPr>
              <w:spacing w:after="0"/>
              <w:rPr>
                <w:sz w:val="12"/>
                <w:szCs w:val="12"/>
                <w:color w:val="auto"/>
              </w:rPr>
            </w:pPr>
          </w:p>
        </w:tc>
        <w:tc>
          <w:tcPr>
            <w:tcW w:w="200" w:type="dxa"/>
            <w:vAlign w:val="bottom"/>
            <w:shd w:val="clear" w:color="auto" w:fill="CCEEFF"/>
          </w:tcPr>
          <w:p>
            <w:pPr>
              <w:jc w:val="right"/>
              <w:ind w:right="9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3,814,277</w:t>
            </w:r>
          </w:p>
        </w:tc>
        <w:tc>
          <w:tcPr>
            <w:tcW w:w="340" w:type="dxa"/>
            <w:vAlign w:val="bottom"/>
            <w:shd w:val="clear" w:color="auto" w:fill="CCEEFF"/>
          </w:tcPr>
          <w:p>
            <w:pPr>
              <w:spacing w:after="0"/>
              <w:rPr>
                <w:sz w:val="12"/>
                <w:szCs w:val="12"/>
                <w:color w:val="auto"/>
              </w:rPr>
            </w:pPr>
          </w:p>
        </w:tc>
        <w:tc>
          <w:tcPr>
            <w:tcW w:w="1340" w:type="dxa"/>
            <w:vAlign w:val="bottom"/>
            <w:gridSpan w:val="2"/>
            <w:shd w:val="clear" w:color="auto" w:fill="CCEEFF"/>
          </w:tcPr>
          <w:p>
            <w:pPr>
              <w:jc w:val="right"/>
              <w:spacing w:after="0" w:line="146" w:lineRule="exact"/>
              <w:rPr>
                <w:sz w:val="20"/>
                <w:szCs w:val="20"/>
                <w:color w:val="auto"/>
              </w:rPr>
            </w:pPr>
            <w:r>
              <w:rPr>
                <w:rFonts w:ascii="Arial" w:cs="Arial" w:eastAsia="Arial" w:hAnsi="Arial"/>
                <w:sz w:val="13"/>
                <w:szCs w:val="13"/>
                <w:color w:val="auto"/>
              </w:rPr>
              <w:t>109%</w:t>
            </w:r>
          </w:p>
        </w:tc>
      </w:tr>
      <w:tr>
        <w:trPr>
          <w:trHeight w:val="164"/>
        </w:trPr>
        <w:tc>
          <w:tcPr>
            <w:tcW w:w="5200" w:type="dxa"/>
            <w:vAlign w:val="bottom"/>
          </w:tcPr>
          <w:p>
            <w:pPr>
              <w:spacing w:after="0"/>
              <w:rPr>
                <w:sz w:val="20"/>
                <w:szCs w:val="20"/>
                <w:color w:val="auto"/>
              </w:rPr>
            </w:pPr>
            <w:r>
              <w:rPr>
                <w:rFonts w:ascii="Arial" w:cs="Arial" w:eastAsia="Arial" w:hAnsi="Arial"/>
                <w:sz w:val="13"/>
                <w:szCs w:val="13"/>
                <w:color w:val="auto"/>
              </w:rPr>
              <w:t>Percentage of total revenue</w:t>
            </w:r>
          </w:p>
        </w:tc>
        <w:tc>
          <w:tcPr>
            <w:tcW w:w="280" w:type="dxa"/>
            <w:vAlign w:val="bottom"/>
          </w:tcPr>
          <w:p>
            <w:pPr>
              <w:spacing w:after="0"/>
              <w:rPr>
                <w:sz w:val="14"/>
                <w:szCs w:val="14"/>
                <w:color w:val="auto"/>
              </w:rPr>
            </w:pPr>
          </w:p>
        </w:tc>
        <w:tc>
          <w:tcPr>
            <w:tcW w:w="1320" w:type="dxa"/>
            <w:vAlign w:val="bottom"/>
            <w:gridSpan w:val="2"/>
          </w:tcPr>
          <w:p>
            <w:pPr>
              <w:jc w:val="right"/>
              <w:ind w:right="240"/>
              <w:spacing w:after="0"/>
              <w:rPr>
                <w:sz w:val="20"/>
                <w:szCs w:val="20"/>
                <w:color w:val="auto"/>
              </w:rPr>
            </w:pPr>
            <w:r>
              <w:rPr>
                <w:rFonts w:ascii="Arial" w:cs="Arial" w:eastAsia="Arial" w:hAnsi="Arial"/>
                <w:sz w:val="13"/>
                <w:szCs w:val="13"/>
                <w:color w:val="auto"/>
              </w:rPr>
              <w:t>219%</w:t>
            </w:r>
          </w:p>
        </w:tc>
        <w:tc>
          <w:tcPr>
            <w:tcW w:w="280" w:type="dxa"/>
            <w:vAlign w:val="bottom"/>
          </w:tcPr>
          <w:p>
            <w:pPr>
              <w:spacing w:after="0"/>
              <w:rPr>
                <w:sz w:val="14"/>
                <w:szCs w:val="14"/>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116%</w:t>
            </w: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bl>
    <w:p>
      <w:pPr>
        <w:spacing w:after="0" w:line="140" w:lineRule="exact"/>
        <w:rPr>
          <w:sz w:val="20"/>
          <w:szCs w:val="20"/>
          <w:color w:val="auto"/>
        </w:rPr>
      </w:pPr>
    </w:p>
    <w:p>
      <w:pPr>
        <w:ind w:right="100"/>
        <w:spacing w:after="0" w:line="274" w:lineRule="auto"/>
        <w:rPr>
          <w:sz w:val="20"/>
          <w:szCs w:val="20"/>
          <w:color w:val="auto"/>
        </w:rPr>
      </w:pPr>
      <w:r>
        <w:rPr>
          <w:rFonts w:ascii="Arial" w:cs="Arial" w:eastAsia="Arial" w:hAnsi="Arial"/>
          <w:sz w:val="13"/>
          <w:szCs w:val="13"/>
          <w:color w:val="auto"/>
        </w:rPr>
        <w:t>Sales and marketing expenses increased by $3.8 million, or 109%, for the year ended December 31, 2020 as compared to the respective period of the prior year. The increase was primarily due to significant increase in market research, advertising and website expenses in the year ended December 31, 2020 compared to those in the prior year.</w:t>
      </w:r>
    </w:p>
    <w:p>
      <w:pPr>
        <w:spacing w:after="0" w:line="284"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31" w:name="page32"/>
    <w:bookmarkEnd w:id="31"/>
    <w:tbl>
      <w:tblPr>
        <w:tblLayout w:type="fixed"/>
        <w:tblInd w:w="0" w:type="dxa"/>
        <w:tblCellMar>
          <w:top w:w="0" w:type="dxa"/>
          <w:left w:w="0" w:type="dxa"/>
          <w:bottom w:w="0" w:type="dxa"/>
          <w:right w:w="0" w:type="dxa"/>
        </w:tblCellMar>
      </w:tblPr>
      <w:tr>
        <w:trPr>
          <w:trHeight w:val="164"/>
        </w:trPr>
        <w:tc>
          <w:tcPr>
            <w:tcW w:w="5200" w:type="dxa"/>
            <w:vAlign w:val="bottom"/>
          </w:tcPr>
          <w:p>
            <w:pPr>
              <w:spacing w:after="0"/>
              <w:rPr>
                <w:sz w:val="20"/>
                <w:szCs w:val="20"/>
                <w:color w:val="auto"/>
              </w:rPr>
            </w:pPr>
            <w:r>
              <w:rPr>
                <w:rFonts w:ascii="Arial" w:cs="Arial" w:eastAsia="Arial" w:hAnsi="Arial"/>
                <w:sz w:val="13"/>
                <w:szCs w:val="13"/>
                <w:b w:val="1"/>
                <w:bCs w:val="1"/>
                <w:i w:val="1"/>
                <w:iCs w:val="1"/>
                <w:color w:val="auto"/>
              </w:rPr>
              <w:t>General and Administrative</w:t>
            </w:r>
          </w:p>
        </w:tc>
        <w:tc>
          <w:tcPr>
            <w:tcW w:w="28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52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900" w:type="dxa"/>
            <w:vAlign w:val="bottom"/>
            <w:gridSpan w:val="5"/>
          </w:tcPr>
          <w:p>
            <w:pPr>
              <w:jc w:val="right"/>
              <w:ind w:right="1040"/>
              <w:spacing w:after="0"/>
              <w:rPr>
                <w:sz w:val="20"/>
                <w:szCs w:val="20"/>
                <w:color w:val="auto"/>
              </w:rPr>
            </w:pPr>
            <w:r>
              <w:rPr>
                <w:rFonts w:ascii="Arial" w:cs="Arial" w:eastAsia="Arial" w:hAnsi="Arial"/>
                <w:sz w:val="13"/>
                <w:szCs w:val="13"/>
                <w:b w:val="1"/>
                <w:bCs w:val="1"/>
                <w:color w:val="auto"/>
              </w:rPr>
              <w:t>Year ended December 31,</w:t>
            </w:r>
          </w:p>
        </w:tc>
        <w:tc>
          <w:tcPr>
            <w:tcW w:w="2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157"/>
        </w:trPr>
        <w:tc>
          <w:tcPr>
            <w:tcW w:w="520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80" w:type="dxa"/>
            <w:vAlign w:val="bottom"/>
            <w:tcBorders>
              <w:top w:val="single" w:sz="8" w:color="auto"/>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2020</w:t>
            </w:r>
          </w:p>
        </w:tc>
        <w:tc>
          <w:tcPr>
            <w:tcW w:w="340" w:type="dxa"/>
            <w:vAlign w:val="bottom"/>
            <w:tcBorders>
              <w:top w:val="single" w:sz="8" w:color="auto"/>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2019</w:t>
            </w:r>
          </w:p>
        </w:tc>
        <w:tc>
          <w:tcPr>
            <w:tcW w:w="340" w:type="dxa"/>
            <w:vAlign w:val="bottom"/>
            <w:tcBorders>
              <w:bottom w:val="single" w:sz="8" w:color="CCEEFF"/>
            </w:tcBorders>
          </w:tcPr>
          <w:p>
            <w:pPr>
              <w:spacing w:after="0"/>
              <w:rPr>
                <w:sz w:val="13"/>
                <w:szCs w:val="13"/>
                <w:color w:val="auto"/>
              </w:rPr>
            </w:pPr>
          </w:p>
        </w:tc>
        <w:tc>
          <w:tcPr>
            <w:tcW w:w="200" w:type="dxa"/>
            <w:vAlign w:val="bottom"/>
            <w:tcBorders>
              <w:bottom w:val="single" w:sz="8" w:color="auto"/>
            </w:tcBorders>
          </w:tcPr>
          <w:p>
            <w:pPr>
              <w:spacing w:after="0"/>
              <w:rPr>
                <w:sz w:val="13"/>
                <w:szCs w:val="13"/>
                <w:color w:val="auto"/>
              </w:rPr>
            </w:pPr>
          </w:p>
        </w:tc>
        <w:tc>
          <w:tcPr>
            <w:tcW w:w="1020" w:type="dxa"/>
            <w:vAlign w:val="bottom"/>
            <w:tcBorders>
              <w:bottom w:val="single" w:sz="8" w:color="auto"/>
            </w:tcBorders>
          </w:tcPr>
          <w:p>
            <w:pPr>
              <w:jc w:val="right"/>
              <w:ind w:right="275"/>
              <w:spacing w:after="0"/>
              <w:rPr>
                <w:sz w:val="20"/>
                <w:szCs w:val="20"/>
                <w:color w:val="auto"/>
              </w:rPr>
            </w:pPr>
            <w:r>
              <w:rPr>
                <w:rFonts w:ascii="Arial" w:cs="Arial" w:eastAsia="Arial" w:hAnsi="Arial"/>
                <w:sz w:val="13"/>
                <w:szCs w:val="13"/>
                <w:b w:val="1"/>
                <w:bCs w:val="1"/>
                <w:color w:val="auto"/>
              </w:rPr>
              <w:t>$ Change</w:t>
            </w:r>
          </w:p>
        </w:tc>
        <w:tc>
          <w:tcPr>
            <w:tcW w:w="340" w:type="dxa"/>
            <w:vAlign w:val="bottom"/>
            <w:tcBorders>
              <w:bottom w:val="single" w:sz="8" w:color="CCEEFF"/>
            </w:tcBorders>
          </w:tcPr>
          <w:p>
            <w:pPr>
              <w:spacing w:after="0"/>
              <w:rPr>
                <w:sz w:val="13"/>
                <w:szCs w:val="13"/>
                <w:color w:val="auto"/>
              </w:rPr>
            </w:pPr>
          </w:p>
        </w:tc>
        <w:tc>
          <w:tcPr>
            <w:tcW w:w="1240" w:type="dxa"/>
            <w:vAlign w:val="bottom"/>
            <w:tcBorders>
              <w:bottom w:val="single" w:sz="8" w:color="auto"/>
            </w:tcBorders>
          </w:tcPr>
          <w:p>
            <w:pPr>
              <w:ind w:left="320"/>
              <w:spacing w:after="0"/>
              <w:rPr>
                <w:sz w:val="20"/>
                <w:szCs w:val="20"/>
                <w:color w:val="auto"/>
              </w:rPr>
            </w:pPr>
            <w:r>
              <w:rPr>
                <w:rFonts w:ascii="Arial" w:cs="Arial" w:eastAsia="Arial" w:hAnsi="Arial"/>
                <w:sz w:val="13"/>
                <w:szCs w:val="13"/>
                <w:b w:val="1"/>
                <w:bCs w:val="1"/>
                <w:color w:val="auto"/>
              </w:rPr>
              <w:t>% Change</w:t>
            </w:r>
          </w:p>
        </w:tc>
        <w:tc>
          <w:tcPr>
            <w:tcW w:w="100" w:type="dxa"/>
            <w:vAlign w:val="bottom"/>
            <w:tcBorders>
              <w:bottom w:val="single" w:sz="8" w:color="CCEEFF"/>
            </w:tcBorders>
          </w:tcPr>
          <w:p>
            <w:pPr>
              <w:spacing w:after="0"/>
              <w:rPr>
                <w:sz w:val="13"/>
                <w:szCs w:val="13"/>
                <w:color w:val="auto"/>
              </w:rPr>
            </w:pPr>
          </w:p>
        </w:tc>
      </w:tr>
      <w:tr>
        <w:trPr>
          <w:trHeight w:val="146"/>
        </w:trPr>
        <w:tc>
          <w:tcPr>
            <w:tcW w:w="520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General and administrative</w:t>
            </w:r>
          </w:p>
        </w:tc>
        <w:tc>
          <w:tcPr>
            <w:tcW w:w="280" w:type="dxa"/>
            <w:vAlign w:val="bottom"/>
            <w:shd w:val="clear" w:color="auto" w:fill="CCEEFF"/>
          </w:tcPr>
          <w:p>
            <w:pPr>
              <w:jc w:val="right"/>
              <w:ind w:right="135"/>
              <w:spacing w:after="0" w:line="146" w:lineRule="exact"/>
              <w:rPr>
                <w:sz w:val="20"/>
                <w:szCs w:val="20"/>
                <w:color w:val="auto"/>
              </w:rPr>
            </w:pPr>
            <w:r>
              <w:rPr>
                <w:rFonts w:ascii="Arial" w:cs="Arial" w:eastAsia="Arial" w:hAnsi="Arial"/>
                <w:sz w:val="13"/>
                <w:szCs w:val="13"/>
                <w:color w:val="auto"/>
                <w:w w:val="82"/>
              </w:rPr>
              <w:t>$</w:t>
            </w:r>
          </w:p>
        </w:tc>
        <w:tc>
          <w:tcPr>
            <w:tcW w:w="98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2,788,021</w:t>
            </w:r>
          </w:p>
        </w:tc>
        <w:tc>
          <w:tcPr>
            <w:tcW w:w="340" w:type="dxa"/>
            <w:vAlign w:val="bottom"/>
            <w:shd w:val="clear" w:color="auto" w:fill="CCEEFF"/>
          </w:tcPr>
          <w:p>
            <w:pPr>
              <w:spacing w:after="0"/>
              <w:rPr>
                <w:sz w:val="12"/>
                <w:szCs w:val="12"/>
                <w:color w:val="auto"/>
              </w:rPr>
            </w:pP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1,883,060</w:t>
            </w:r>
          </w:p>
        </w:tc>
        <w:tc>
          <w:tcPr>
            <w:tcW w:w="340" w:type="dxa"/>
            <w:vAlign w:val="bottom"/>
            <w:shd w:val="clear" w:color="auto" w:fill="CCEEFF"/>
          </w:tcPr>
          <w:p>
            <w:pPr>
              <w:spacing w:after="0"/>
              <w:rPr>
                <w:sz w:val="12"/>
                <w:szCs w:val="12"/>
                <w:color w:val="auto"/>
              </w:rPr>
            </w:pPr>
          </w:p>
        </w:tc>
        <w:tc>
          <w:tcPr>
            <w:tcW w:w="200" w:type="dxa"/>
            <w:vAlign w:val="bottom"/>
            <w:shd w:val="clear" w:color="auto" w:fill="CCEEFF"/>
          </w:tcPr>
          <w:p>
            <w:pPr>
              <w:jc w:val="right"/>
              <w:ind w:right="9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904,961</w:t>
            </w:r>
          </w:p>
        </w:tc>
        <w:tc>
          <w:tcPr>
            <w:tcW w:w="340" w:type="dxa"/>
            <w:vAlign w:val="bottom"/>
            <w:shd w:val="clear" w:color="auto" w:fill="CCEEFF"/>
          </w:tcPr>
          <w:p>
            <w:pPr>
              <w:spacing w:after="0"/>
              <w:rPr>
                <w:sz w:val="12"/>
                <w:szCs w:val="12"/>
                <w:color w:val="auto"/>
              </w:rPr>
            </w:pPr>
          </w:p>
        </w:tc>
        <w:tc>
          <w:tcPr>
            <w:tcW w:w="1340" w:type="dxa"/>
            <w:vAlign w:val="bottom"/>
            <w:gridSpan w:val="2"/>
            <w:shd w:val="clear" w:color="auto" w:fill="CCEEFF"/>
          </w:tcPr>
          <w:p>
            <w:pPr>
              <w:jc w:val="right"/>
              <w:spacing w:after="0" w:line="146" w:lineRule="exact"/>
              <w:rPr>
                <w:sz w:val="20"/>
                <w:szCs w:val="20"/>
                <w:color w:val="auto"/>
              </w:rPr>
            </w:pPr>
            <w:r>
              <w:rPr>
                <w:rFonts w:ascii="Arial" w:cs="Arial" w:eastAsia="Arial" w:hAnsi="Arial"/>
                <w:sz w:val="13"/>
                <w:szCs w:val="13"/>
                <w:color w:val="auto"/>
              </w:rPr>
              <w:t>48%</w:t>
            </w:r>
          </w:p>
        </w:tc>
      </w:tr>
      <w:tr>
        <w:trPr>
          <w:trHeight w:val="164"/>
        </w:trPr>
        <w:tc>
          <w:tcPr>
            <w:tcW w:w="5200" w:type="dxa"/>
            <w:vAlign w:val="bottom"/>
          </w:tcPr>
          <w:p>
            <w:pPr>
              <w:spacing w:after="0"/>
              <w:rPr>
                <w:sz w:val="20"/>
                <w:szCs w:val="20"/>
                <w:color w:val="auto"/>
              </w:rPr>
            </w:pPr>
            <w:r>
              <w:rPr>
                <w:rFonts w:ascii="Arial" w:cs="Arial" w:eastAsia="Arial" w:hAnsi="Arial"/>
                <w:sz w:val="13"/>
                <w:szCs w:val="13"/>
                <w:color w:val="auto"/>
              </w:rPr>
              <w:t>Percentage of total revenue</w:t>
            </w:r>
          </w:p>
        </w:tc>
        <w:tc>
          <w:tcPr>
            <w:tcW w:w="280" w:type="dxa"/>
            <w:vAlign w:val="bottom"/>
          </w:tcPr>
          <w:p>
            <w:pPr>
              <w:spacing w:after="0"/>
              <w:rPr>
                <w:sz w:val="14"/>
                <w:szCs w:val="14"/>
                <w:color w:val="auto"/>
              </w:rPr>
            </w:pPr>
          </w:p>
        </w:tc>
        <w:tc>
          <w:tcPr>
            <w:tcW w:w="1320" w:type="dxa"/>
            <w:vAlign w:val="bottom"/>
            <w:gridSpan w:val="2"/>
          </w:tcPr>
          <w:p>
            <w:pPr>
              <w:jc w:val="right"/>
              <w:ind w:right="240"/>
              <w:spacing w:after="0"/>
              <w:rPr>
                <w:sz w:val="20"/>
                <w:szCs w:val="20"/>
                <w:color w:val="auto"/>
              </w:rPr>
            </w:pPr>
            <w:r>
              <w:rPr>
                <w:rFonts w:ascii="Arial" w:cs="Arial" w:eastAsia="Arial" w:hAnsi="Arial"/>
                <w:sz w:val="13"/>
                <w:szCs w:val="13"/>
                <w:color w:val="auto"/>
              </w:rPr>
              <w:t>84%</w:t>
            </w:r>
          </w:p>
        </w:tc>
        <w:tc>
          <w:tcPr>
            <w:tcW w:w="280" w:type="dxa"/>
            <w:vAlign w:val="bottom"/>
          </w:tcPr>
          <w:p>
            <w:pPr>
              <w:spacing w:after="0"/>
              <w:rPr>
                <w:sz w:val="14"/>
                <w:szCs w:val="14"/>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62%</w:t>
            </w: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bl>
    <w:p>
      <w:pPr>
        <w:spacing w:after="0" w:line="296" w:lineRule="exact"/>
        <w:rPr>
          <w:sz w:val="20"/>
          <w:szCs w:val="20"/>
          <w:color w:val="auto"/>
        </w:rPr>
      </w:pPr>
    </w:p>
    <w:p>
      <w:pPr>
        <w:ind w:right="320"/>
        <w:spacing w:after="0" w:line="274" w:lineRule="auto"/>
        <w:rPr>
          <w:sz w:val="20"/>
          <w:szCs w:val="20"/>
          <w:color w:val="auto"/>
        </w:rPr>
      </w:pPr>
      <w:r>
        <w:rPr>
          <w:rFonts w:ascii="Arial" w:cs="Arial" w:eastAsia="Arial" w:hAnsi="Arial"/>
          <w:sz w:val="13"/>
          <w:szCs w:val="13"/>
          <w:color w:val="auto"/>
        </w:rPr>
        <w:t>General and administrative expenses increased by $0.9 million, or 48%, for the year ended December 31, 2020 as compared to the respective period of the prior year. The increase was primarily driven by higher professional services, consulting fees and bad debts reserve that we incurred surrounding our ongoing financial reporting requirements.</w:t>
      </w:r>
    </w:p>
    <w:p>
      <w:pPr>
        <w:spacing w:after="0" w:line="128"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5200" w:type="dxa"/>
            <w:vAlign w:val="bottom"/>
          </w:tcPr>
          <w:p>
            <w:pPr>
              <w:spacing w:after="0"/>
              <w:rPr>
                <w:sz w:val="20"/>
                <w:szCs w:val="20"/>
                <w:color w:val="auto"/>
              </w:rPr>
            </w:pPr>
            <w:r>
              <w:rPr>
                <w:rFonts w:ascii="Arial" w:cs="Arial" w:eastAsia="Arial" w:hAnsi="Arial"/>
                <w:sz w:val="13"/>
                <w:szCs w:val="13"/>
                <w:b w:val="1"/>
                <w:bCs w:val="1"/>
                <w:i w:val="1"/>
                <w:iCs w:val="1"/>
                <w:color w:val="auto"/>
              </w:rPr>
              <w:t>Other Income/(Expense), Net</w:t>
            </w:r>
          </w:p>
        </w:tc>
        <w:tc>
          <w:tcPr>
            <w:tcW w:w="28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04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240" w:type="dxa"/>
            <w:vAlign w:val="bottom"/>
          </w:tcPr>
          <w:p>
            <w:pPr>
              <w:spacing w:after="0"/>
              <w:rPr>
                <w:sz w:val="14"/>
                <w:szCs w:val="14"/>
                <w:color w:val="auto"/>
              </w:rPr>
            </w:pPr>
          </w:p>
        </w:tc>
        <w:tc>
          <w:tcPr>
            <w:tcW w:w="140" w:type="dxa"/>
            <w:vAlign w:val="bottom"/>
          </w:tcPr>
          <w:p>
            <w:pPr>
              <w:spacing w:after="0"/>
              <w:rPr>
                <w:sz w:val="14"/>
                <w:szCs w:val="14"/>
                <w:color w:val="auto"/>
              </w:rPr>
            </w:pPr>
          </w:p>
        </w:tc>
      </w:tr>
      <w:tr>
        <w:trPr>
          <w:trHeight w:val="323"/>
        </w:trPr>
        <w:tc>
          <w:tcPr>
            <w:tcW w:w="52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860" w:type="dxa"/>
            <w:vAlign w:val="bottom"/>
            <w:gridSpan w:val="5"/>
          </w:tcPr>
          <w:p>
            <w:pPr>
              <w:jc w:val="right"/>
              <w:ind w:right="1002"/>
              <w:spacing w:after="0"/>
              <w:rPr>
                <w:sz w:val="20"/>
                <w:szCs w:val="20"/>
                <w:color w:val="auto"/>
              </w:rPr>
            </w:pPr>
            <w:r>
              <w:rPr>
                <w:rFonts w:ascii="Arial" w:cs="Arial" w:eastAsia="Arial" w:hAnsi="Arial"/>
                <w:sz w:val="13"/>
                <w:szCs w:val="13"/>
                <w:b w:val="1"/>
                <w:bCs w:val="1"/>
                <w:color w:val="auto"/>
              </w:rPr>
              <w:t>Year ended December 31</w:t>
            </w:r>
          </w:p>
        </w:tc>
        <w:tc>
          <w:tcPr>
            <w:tcW w:w="20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40" w:type="dxa"/>
            <w:vAlign w:val="bottom"/>
          </w:tcPr>
          <w:p>
            <w:pPr>
              <w:spacing w:after="0"/>
              <w:rPr>
                <w:sz w:val="24"/>
                <w:szCs w:val="24"/>
                <w:color w:val="auto"/>
              </w:rPr>
            </w:pPr>
          </w:p>
        </w:tc>
      </w:tr>
      <w:tr>
        <w:trPr>
          <w:trHeight w:val="157"/>
        </w:trPr>
        <w:tc>
          <w:tcPr>
            <w:tcW w:w="520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340" w:type="dxa"/>
            <w:vAlign w:val="bottom"/>
            <w:tcBorders>
              <w:top w:val="single" w:sz="8" w:color="auto"/>
              <w:bottom w:val="single" w:sz="8" w:color="CCEEFF"/>
            </w:tcBorders>
          </w:tcPr>
          <w:p>
            <w:pPr>
              <w:spacing w:after="0"/>
              <w:rPr>
                <w:sz w:val="13"/>
                <w:szCs w:val="13"/>
                <w:color w:val="auto"/>
              </w:rPr>
            </w:pPr>
          </w:p>
        </w:tc>
        <w:tc>
          <w:tcPr>
            <w:tcW w:w="26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2019</w:t>
            </w:r>
          </w:p>
        </w:tc>
        <w:tc>
          <w:tcPr>
            <w:tcW w:w="340" w:type="dxa"/>
            <w:vAlign w:val="bottom"/>
            <w:tcBorders>
              <w:bottom w:val="single" w:sz="8" w:color="CCEEFF"/>
            </w:tcBorders>
          </w:tcPr>
          <w:p>
            <w:pPr>
              <w:spacing w:after="0"/>
              <w:rPr>
                <w:sz w:val="13"/>
                <w:szCs w:val="13"/>
                <w:color w:val="auto"/>
              </w:rPr>
            </w:pPr>
          </w:p>
        </w:tc>
        <w:tc>
          <w:tcPr>
            <w:tcW w:w="200" w:type="dxa"/>
            <w:vAlign w:val="bottom"/>
            <w:tcBorders>
              <w:bottom w:val="single" w:sz="8" w:color="auto"/>
            </w:tcBorders>
          </w:tcPr>
          <w:p>
            <w:pPr>
              <w:spacing w:after="0"/>
              <w:rPr>
                <w:sz w:val="13"/>
                <w:szCs w:val="13"/>
                <w:color w:val="auto"/>
              </w:rPr>
            </w:pPr>
          </w:p>
        </w:tc>
        <w:tc>
          <w:tcPr>
            <w:tcW w:w="1040" w:type="dxa"/>
            <w:vAlign w:val="bottom"/>
            <w:tcBorders>
              <w:bottom w:val="single" w:sz="8" w:color="auto"/>
            </w:tcBorders>
          </w:tcPr>
          <w:p>
            <w:pPr>
              <w:jc w:val="right"/>
              <w:ind w:right="295"/>
              <w:spacing w:after="0"/>
              <w:rPr>
                <w:sz w:val="20"/>
                <w:szCs w:val="20"/>
                <w:color w:val="auto"/>
              </w:rPr>
            </w:pPr>
            <w:r>
              <w:rPr>
                <w:rFonts w:ascii="Arial" w:cs="Arial" w:eastAsia="Arial" w:hAnsi="Arial"/>
                <w:sz w:val="13"/>
                <w:szCs w:val="13"/>
                <w:b w:val="1"/>
                <w:bCs w:val="1"/>
                <w:color w:val="auto"/>
              </w:rPr>
              <w:t>$ Change</w:t>
            </w:r>
          </w:p>
        </w:tc>
        <w:tc>
          <w:tcPr>
            <w:tcW w:w="320" w:type="dxa"/>
            <w:vAlign w:val="bottom"/>
            <w:tcBorders>
              <w:bottom w:val="single" w:sz="8" w:color="CCEEFF"/>
            </w:tcBorders>
          </w:tcPr>
          <w:p>
            <w:pPr>
              <w:spacing w:after="0"/>
              <w:rPr>
                <w:sz w:val="13"/>
                <w:szCs w:val="13"/>
                <w:color w:val="auto"/>
              </w:rPr>
            </w:pPr>
          </w:p>
        </w:tc>
        <w:tc>
          <w:tcPr>
            <w:tcW w:w="1240" w:type="dxa"/>
            <w:vAlign w:val="bottom"/>
            <w:tcBorders>
              <w:bottom w:val="single" w:sz="8" w:color="auto"/>
            </w:tcBorders>
          </w:tcPr>
          <w:p>
            <w:pPr>
              <w:ind w:left="320"/>
              <w:spacing w:after="0"/>
              <w:rPr>
                <w:sz w:val="20"/>
                <w:szCs w:val="20"/>
                <w:color w:val="auto"/>
              </w:rPr>
            </w:pPr>
            <w:r>
              <w:rPr>
                <w:rFonts w:ascii="Arial" w:cs="Arial" w:eastAsia="Arial" w:hAnsi="Arial"/>
                <w:sz w:val="13"/>
                <w:szCs w:val="13"/>
                <w:b w:val="1"/>
                <w:bCs w:val="1"/>
                <w:color w:val="auto"/>
              </w:rPr>
              <w:t>% Change</w:t>
            </w:r>
          </w:p>
        </w:tc>
        <w:tc>
          <w:tcPr>
            <w:tcW w:w="140" w:type="dxa"/>
            <w:vAlign w:val="bottom"/>
            <w:tcBorders>
              <w:bottom w:val="single" w:sz="8" w:color="CCEEFF"/>
            </w:tcBorders>
          </w:tcPr>
          <w:p>
            <w:pPr>
              <w:spacing w:after="0"/>
              <w:rPr>
                <w:sz w:val="13"/>
                <w:szCs w:val="13"/>
                <w:color w:val="auto"/>
              </w:rPr>
            </w:pPr>
          </w:p>
        </w:tc>
      </w:tr>
      <w:tr>
        <w:trPr>
          <w:trHeight w:val="146"/>
        </w:trPr>
        <w:tc>
          <w:tcPr>
            <w:tcW w:w="520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Interest expense, net</w:t>
            </w:r>
          </w:p>
        </w:tc>
        <w:tc>
          <w:tcPr>
            <w:tcW w:w="280" w:type="dxa"/>
            <w:vAlign w:val="bottom"/>
            <w:shd w:val="clear" w:color="auto" w:fill="CCEEFF"/>
          </w:tcPr>
          <w:p>
            <w:pPr>
              <w:jc w:val="right"/>
              <w:ind w:right="135"/>
              <w:spacing w:after="0" w:line="146" w:lineRule="exact"/>
              <w:rPr>
                <w:sz w:val="20"/>
                <w:szCs w:val="20"/>
                <w:color w:val="auto"/>
              </w:rPr>
            </w:pPr>
            <w:r>
              <w:rPr>
                <w:rFonts w:ascii="Arial" w:cs="Arial" w:eastAsia="Arial" w:hAnsi="Arial"/>
                <w:sz w:val="13"/>
                <w:szCs w:val="13"/>
                <w:color w:val="auto"/>
                <w:w w:val="82"/>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(2,259,108)</w:t>
            </w:r>
          </w:p>
        </w:tc>
        <w:tc>
          <w:tcPr>
            <w:tcW w:w="340" w:type="dxa"/>
            <w:vAlign w:val="bottom"/>
            <w:shd w:val="clear" w:color="auto" w:fill="CCEEFF"/>
          </w:tcPr>
          <w:p>
            <w:pPr>
              <w:spacing w:after="0"/>
              <w:rPr>
                <w:sz w:val="12"/>
                <w:szCs w:val="12"/>
                <w:color w:val="auto"/>
              </w:rPr>
            </w:pPr>
          </w:p>
        </w:tc>
        <w:tc>
          <w:tcPr>
            <w:tcW w:w="260" w:type="dxa"/>
            <w:vAlign w:val="bottom"/>
            <w:shd w:val="clear" w:color="auto" w:fill="CCEEFF"/>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(2,103,111)</w:t>
            </w:r>
          </w:p>
        </w:tc>
        <w:tc>
          <w:tcPr>
            <w:tcW w:w="340" w:type="dxa"/>
            <w:vAlign w:val="bottom"/>
            <w:shd w:val="clear" w:color="auto" w:fill="CCEEFF"/>
          </w:tcPr>
          <w:p>
            <w:pPr>
              <w:spacing w:after="0"/>
              <w:rPr>
                <w:sz w:val="12"/>
                <w:szCs w:val="12"/>
                <w:color w:val="auto"/>
              </w:rPr>
            </w:pPr>
          </w:p>
        </w:tc>
        <w:tc>
          <w:tcPr>
            <w:tcW w:w="200" w:type="dxa"/>
            <w:vAlign w:val="bottom"/>
            <w:shd w:val="clear" w:color="auto" w:fill="CCEEFF"/>
          </w:tcPr>
          <w:p>
            <w:pPr>
              <w:jc w:val="right"/>
              <w:ind w:right="91"/>
              <w:spacing w:after="0"/>
              <w:rPr>
                <w:sz w:val="20"/>
                <w:szCs w:val="20"/>
                <w:color w:val="auto"/>
              </w:rPr>
            </w:pPr>
            <w:r>
              <w:rPr>
                <w:rFonts w:ascii="Arial" w:cs="Arial" w:eastAsia="Arial" w:hAnsi="Arial"/>
                <w:sz w:val="10"/>
                <w:szCs w:val="10"/>
                <w:color w:val="auto"/>
                <w:w w:val="71"/>
              </w:rPr>
              <w:t>$</w:t>
            </w:r>
          </w:p>
        </w:tc>
        <w:tc>
          <w:tcPr>
            <w:tcW w:w="1040" w:type="dxa"/>
            <w:vAlign w:val="bottom"/>
            <w:tcBorders>
              <w:right w:val="single" w:sz="8" w:color="CCEEFF"/>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(155,997)</w:t>
            </w:r>
          </w:p>
        </w:tc>
        <w:tc>
          <w:tcPr>
            <w:tcW w:w="320" w:type="dxa"/>
            <w:vAlign w:val="bottom"/>
            <w:shd w:val="clear" w:color="auto" w:fill="CCEEFF"/>
          </w:tcPr>
          <w:p>
            <w:pPr>
              <w:spacing w:after="0"/>
              <w:rPr>
                <w:sz w:val="12"/>
                <w:szCs w:val="12"/>
                <w:color w:val="auto"/>
              </w:rPr>
            </w:pPr>
          </w:p>
        </w:tc>
        <w:tc>
          <w:tcPr>
            <w:tcW w:w="1380" w:type="dxa"/>
            <w:vAlign w:val="bottom"/>
            <w:gridSpan w:val="2"/>
            <w:shd w:val="clear" w:color="auto" w:fill="CCEEFF"/>
          </w:tcPr>
          <w:p>
            <w:pPr>
              <w:jc w:val="right"/>
              <w:ind w:right="40"/>
              <w:spacing w:after="0" w:line="146" w:lineRule="exact"/>
              <w:rPr>
                <w:sz w:val="20"/>
                <w:szCs w:val="20"/>
                <w:color w:val="auto"/>
              </w:rPr>
            </w:pPr>
            <w:r>
              <w:rPr>
                <w:rFonts w:ascii="Arial" w:cs="Arial" w:eastAsia="Arial" w:hAnsi="Arial"/>
                <w:sz w:val="13"/>
                <w:szCs w:val="13"/>
                <w:color w:val="auto"/>
              </w:rPr>
              <w:t>7%</w:t>
            </w:r>
          </w:p>
        </w:tc>
      </w:tr>
      <w:tr>
        <w:trPr>
          <w:trHeight w:val="156"/>
        </w:trPr>
        <w:tc>
          <w:tcPr>
            <w:tcW w:w="5200" w:type="dxa"/>
            <w:vAlign w:val="bottom"/>
          </w:tcPr>
          <w:p>
            <w:pPr>
              <w:spacing w:after="0"/>
              <w:rPr>
                <w:sz w:val="20"/>
                <w:szCs w:val="20"/>
                <w:color w:val="auto"/>
              </w:rPr>
            </w:pPr>
            <w:r>
              <w:rPr>
                <w:rFonts w:ascii="Arial" w:cs="Arial" w:eastAsia="Arial" w:hAnsi="Arial"/>
                <w:sz w:val="13"/>
                <w:szCs w:val="13"/>
                <w:color w:val="auto"/>
              </w:rPr>
              <w:t>Change in fair value of warrant liabilities</w:t>
            </w:r>
          </w:p>
        </w:tc>
        <w:tc>
          <w:tcPr>
            <w:tcW w:w="280" w:type="dxa"/>
            <w:vAlign w:val="bottom"/>
          </w:tcPr>
          <w:p>
            <w:pPr>
              <w:spacing w:after="0"/>
              <w:rPr>
                <w:sz w:val="13"/>
                <w:szCs w:val="13"/>
                <w:color w:val="auto"/>
              </w:rPr>
            </w:pPr>
          </w:p>
        </w:tc>
        <w:tc>
          <w:tcPr>
            <w:tcW w:w="1300" w:type="dxa"/>
            <w:vAlign w:val="bottom"/>
            <w:gridSpan w:val="2"/>
          </w:tcPr>
          <w:p>
            <w:pPr>
              <w:jc w:val="right"/>
              <w:ind w:right="262"/>
              <w:spacing w:after="0"/>
              <w:rPr>
                <w:sz w:val="20"/>
                <w:szCs w:val="20"/>
                <w:color w:val="auto"/>
              </w:rPr>
            </w:pPr>
            <w:r>
              <w:rPr>
                <w:rFonts w:ascii="Arial" w:cs="Arial" w:eastAsia="Arial" w:hAnsi="Arial"/>
                <w:sz w:val="13"/>
                <w:szCs w:val="13"/>
                <w:color w:val="auto"/>
              </w:rPr>
              <w:t>(2,424,706)</w:t>
            </w:r>
          </w:p>
        </w:tc>
        <w:tc>
          <w:tcPr>
            <w:tcW w:w="260" w:type="dxa"/>
            <w:vAlign w:val="bottom"/>
          </w:tcPr>
          <w:p>
            <w:pPr>
              <w:spacing w:after="0"/>
              <w:rPr>
                <w:sz w:val="13"/>
                <w:szCs w:val="13"/>
                <w:color w:val="auto"/>
              </w:rPr>
            </w:pPr>
          </w:p>
        </w:tc>
        <w:tc>
          <w:tcPr>
            <w:tcW w:w="1300" w:type="dxa"/>
            <w:vAlign w:val="bottom"/>
            <w:gridSpan w:val="2"/>
          </w:tcPr>
          <w:p>
            <w:pPr>
              <w:jc w:val="right"/>
              <w:ind w:right="302"/>
              <w:spacing w:after="0"/>
              <w:rPr>
                <w:sz w:val="20"/>
                <w:szCs w:val="20"/>
                <w:color w:val="auto"/>
              </w:rPr>
            </w:pPr>
            <w:r>
              <w:rPr>
                <w:rFonts w:ascii="Arial" w:cs="Arial" w:eastAsia="Arial" w:hAnsi="Arial"/>
                <w:sz w:val="13"/>
                <w:szCs w:val="13"/>
                <w:color w:val="auto"/>
              </w:rPr>
              <w:t>284,751</w:t>
            </w:r>
          </w:p>
        </w:tc>
        <w:tc>
          <w:tcPr>
            <w:tcW w:w="200" w:type="dxa"/>
            <w:vAlign w:val="bottom"/>
          </w:tcPr>
          <w:p>
            <w:pPr>
              <w:spacing w:after="0"/>
              <w:rPr>
                <w:sz w:val="13"/>
                <w:szCs w:val="13"/>
                <w:color w:val="auto"/>
              </w:rPr>
            </w:pPr>
          </w:p>
        </w:tc>
        <w:tc>
          <w:tcPr>
            <w:tcW w:w="1360" w:type="dxa"/>
            <w:vAlign w:val="bottom"/>
            <w:gridSpan w:val="2"/>
          </w:tcPr>
          <w:p>
            <w:pPr>
              <w:jc w:val="right"/>
              <w:ind w:right="242"/>
              <w:spacing w:after="0"/>
              <w:rPr>
                <w:sz w:val="20"/>
                <w:szCs w:val="20"/>
                <w:color w:val="auto"/>
              </w:rPr>
            </w:pPr>
            <w:r>
              <w:rPr>
                <w:rFonts w:ascii="Arial" w:cs="Arial" w:eastAsia="Arial" w:hAnsi="Arial"/>
                <w:sz w:val="13"/>
                <w:szCs w:val="13"/>
                <w:color w:val="auto"/>
              </w:rPr>
              <w:t>(2,709,457)</w:t>
            </w:r>
          </w:p>
        </w:tc>
        <w:tc>
          <w:tcPr>
            <w:tcW w:w="1380" w:type="dxa"/>
            <w:vAlign w:val="bottom"/>
            <w:gridSpan w:val="2"/>
          </w:tcPr>
          <w:p>
            <w:pPr>
              <w:jc w:val="right"/>
              <w:spacing w:after="0"/>
              <w:rPr>
                <w:sz w:val="20"/>
                <w:szCs w:val="20"/>
                <w:color w:val="auto"/>
              </w:rPr>
            </w:pPr>
            <w:r>
              <w:rPr>
                <w:rFonts w:ascii="Arial" w:cs="Arial" w:eastAsia="Arial" w:hAnsi="Arial"/>
                <w:sz w:val="13"/>
                <w:szCs w:val="13"/>
                <w:color w:val="auto"/>
              </w:rPr>
              <w:t>(952)%</w:t>
            </w:r>
          </w:p>
        </w:tc>
      </w:tr>
      <w:tr>
        <w:trPr>
          <w:trHeight w:val="166"/>
        </w:trPr>
        <w:tc>
          <w:tcPr>
            <w:tcW w:w="5200" w:type="dxa"/>
            <w:vAlign w:val="bottom"/>
            <w:shd w:val="clear" w:color="auto" w:fill="CCEEFF"/>
          </w:tcPr>
          <w:p>
            <w:pPr>
              <w:spacing w:after="0"/>
              <w:rPr>
                <w:sz w:val="20"/>
                <w:szCs w:val="20"/>
                <w:color w:val="auto"/>
              </w:rPr>
            </w:pPr>
            <w:r>
              <w:rPr>
                <w:rFonts w:ascii="Arial" w:cs="Arial" w:eastAsia="Arial" w:hAnsi="Arial"/>
                <w:sz w:val="13"/>
                <w:szCs w:val="13"/>
                <w:color w:val="auto"/>
              </w:rPr>
              <w:t>Other expense, net</w:t>
            </w:r>
          </w:p>
        </w:tc>
        <w:tc>
          <w:tcPr>
            <w:tcW w:w="280" w:type="dxa"/>
            <w:vAlign w:val="bottom"/>
            <w:shd w:val="clear" w:color="auto" w:fill="CCEEFF"/>
          </w:tcPr>
          <w:p>
            <w:pPr>
              <w:spacing w:after="0"/>
              <w:rPr>
                <w:sz w:val="14"/>
                <w:szCs w:val="14"/>
                <w:color w:val="auto"/>
              </w:rPr>
            </w:pPr>
          </w:p>
        </w:tc>
        <w:tc>
          <w:tcPr>
            <w:tcW w:w="1300" w:type="dxa"/>
            <w:vAlign w:val="bottom"/>
            <w:gridSpan w:val="2"/>
            <w:shd w:val="clear" w:color="auto" w:fill="CCEEFF"/>
          </w:tcPr>
          <w:p>
            <w:pPr>
              <w:jc w:val="right"/>
              <w:ind w:right="262"/>
              <w:spacing w:after="0"/>
              <w:rPr>
                <w:sz w:val="20"/>
                <w:szCs w:val="20"/>
                <w:color w:val="auto"/>
              </w:rPr>
            </w:pPr>
            <w:r>
              <w:rPr>
                <w:rFonts w:ascii="Arial" w:cs="Arial" w:eastAsia="Arial" w:hAnsi="Arial"/>
                <w:sz w:val="13"/>
                <w:szCs w:val="13"/>
                <w:color w:val="auto"/>
              </w:rPr>
              <w:t>(11,008)</w:t>
            </w:r>
          </w:p>
        </w:tc>
        <w:tc>
          <w:tcPr>
            <w:tcW w:w="260" w:type="dxa"/>
            <w:vAlign w:val="bottom"/>
            <w:shd w:val="clear" w:color="auto" w:fill="CCEEFF"/>
          </w:tcPr>
          <w:p>
            <w:pPr>
              <w:spacing w:after="0"/>
              <w:rPr>
                <w:sz w:val="14"/>
                <w:szCs w:val="14"/>
                <w:color w:val="auto"/>
              </w:rPr>
            </w:pPr>
          </w:p>
        </w:tc>
        <w:tc>
          <w:tcPr>
            <w:tcW w:w="1300" w:type="dxa"/>
            <w:vAlign w:val="bottom"/>
            <w:gridSpan w:val="2"/>
            <w:shd w:val="clear" w:color="auto" w:fill="CCEEFF"/>
          </w:tcPr>
          <w:p>
            <w:pPr>
              <w:jc w:val="right"/>
              <w:ind w:right="262"/>
              <w:spacing w:after="0"/>
              <w:rPr>
                <w:sz w:val="20"/>
                <w:szCs w:val="20"/>
                <w:color w:val="auto"/>
              </w:rPr>
            </w:pPr>
            <w:r>
              <w:rPr>
                <w:rFonts w:ascii="Arial" w:cs="Arial" w:eastAsia="Arial" w:hAnsi="Arial"/>
                <w:sz w:val="13"/>
                <w:szCs w:val="13"/>
                <w:color w:val="auto"/>
              </w:rPr>
              <w:t>(68,386)</w:t>
            </w:r>
          </w:p>
        </w:tc>
        <w:tc>
          <w:tcPr>
            <w:tcW w:w="200" w:type="dxa"/>
            <w:vAlign w:val="bottom"/>
            <w:shd w:val="clear" w:color="auto" w:fill="CCEEFF"/>
          </w:tcPr>
          <w:p>
            <w:pPr>
              <w:spacing w:after="0"/>
              <w:rPr>
                <w:sz w:val="14"/>
                <w:szCs w:val="14"/>
                <w:color w:val="auto"/>
              </w:rPr>
            </w:pPr>
          </w:p>
        </w:tc>
        <w:tc>
          <w:tcPr>
            <w:tcW w:w="104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57,378</w:t>
            </w:r>
          </w:p>
        </w:tc>
        <w:tc>
          <w:tcPr>
            <w:tcW w:w="320" w:type="dxa"/>
            <w:vAlign w:val="bottom"/>
            <w:shd w:val="clear" w:color="auto" w:fill="CCEEFF"/>
          </w:tcPr>
          <w:p>
            <w:pPr>
              <w:spacing w:after="0"/>
              <w:rPr>
                <w:sz w:val="14"/>
                <w:szCs w:val="14"/>
                <w:color w:val="auto"/>
              </w:rPr>
            </w:pPr>
          </w:p>
        </w:tc>
        <w:tc>
          <w:tcPr>
            <w:tcW w:w="1380" w:type="dxa"/>
            <w:vAlign w:val="bottom"/>
            <w:gridSpan w:val="2"/>
            <w:shd w:val="clear" w:color="auto" w:fill="CCEEFF"/>
          </w:tcPr>
          <w:p>
            <w:pPr>
              <w:jc w:val="right"/>
              <w:spacing w:after="0"/>
              <w:rPr>
                <w:sz w:val="20"/>
                <w:szCs w:val="20"/>
                <w:color w:val="auto"/>
              </w:rPr>
            </w:pPr>
            <w:r>
              <w:rPr>
                <w:rFonts w:ascii="Arial" w:cs="Arial" w:eastAsia="Arial" w:hAnsi="Arial"/>
                <w:sz w:val="13"/>
                <w:szCs w:val="13"/>
                <w:color w:val="auto"/>
              </w:rPr>
              <w:t>(84)%</w:t>
            </w:r>
          </w:p>
        </w:tc>
      </w:tr>
      <w:tr>
        <w:trPr>
          <w:trHeight w:val="156"/>
        </w:trPr>
        <w:tc>
          <w:tcPr>
            <w:tcW w:w="5200" w:type="dxa"/>
            <w:vAlign w:val="bottom"/>
          </w:tcPr>
          <w:p>
            <w:pPr>
              <w:ind w:left="120"/>
              <w:spacing w:after="0" w:line="144" w:lineRule="exact"/>
              <w:rPr>
                <w:sz w:val="20"/>
                <w:szCs w:val="20"/>
                <w:color w:val="auto"/>
              </w:rPr>
            </w:pPr>
            <w:r>
              <w:rPr>
                <w:rFonts w:ascii="Arial" w:cs="Arial" w:eastAsia="Arial" w:hAnsi="Arial"/>
                <w:sz w:val="13"/>
                <w:szCs w:val="13"/>
                <w:color w:val="auto"/>
              </w:rPr>
              <w:t>Total other income (expense)</w:t>
            </w:r>
          </w:p>
        </w:tc>
        <w:tc>
          <w:tcPr>
            <w:tcW w:w="280" w:type="dxa"/>
            <w:vAlign w:val="bottom"/>
            <w:tcBorders>
              <w:top w:val="single" w:sz="8" w:color="auto"/>
            </w:tcBorders>
          </w:tcPr>
          <w:p>
            <w:pPr>
              <w:jc w:val="right"/>
              <w:ind w:right="135"/>
              <w:spacing w:after="0"/>
              <w:rPr>
                <w:sz w:val="20"/>
                <w:szCs w:val="20"/>
                <w:color w:val="auto"/>
              </w:rPr>
            </w:pPr>
            <w:r>
              <w:rPr>
                <w:rFonts w:ascii="Arial" w:cs="Arial" w:eastAsia="Arial" w:hAnsi="Arial"/>
                <w:sz w:val="13"/>
                <w:szCs w:val="13"/>
                <w:color w:val="auto"/>
                <w:w w:val="82"/>
              </w:rPr>
              <w:t>$</w:t>
            </w:r>
          </w:p>
        </w:tc>
        <w:tc>
          <w:tcPr>
            <w:tcW w:w="960" w:type="dxa"/>
            <w:vAlign w:val="bottom"/>
            <w:tcBorders>
              <w:top w:val="single" w:sz="8" w:color="auto"/>
            </w:tcBorders>
          </w:tcPr>
          <w:p>
            <w:pPr>
              <w:jc w:val="right"/>
              <w:spacing w:after="0"/>
              <w:rPr>
                <w:sz w:val="20"/>
                <w:szCs w:val="20"/>
                <w:color w:val="auto"/>
              </w:rPr>
            </w:pPr>
            <w:r>
              <w:rPr>
                <w:rFonts w:ascii="Arial" w:cs="Arial" w:eastAsia="Arial" w:hAnsi="Arial"/>
                <w:sz w:val="13"/>
                <w:szCs w:val="13"/>
                <w:color w:val="auto"/>
              </w:rPr>
              <w:t>(4,694,822</w:t>
            </w:r>
          </w:p>
        </w:tc>
        <w:tc>
          <w:tcPr>
            <w:tcW w:w="340" w:type="dxa"/>
            <w:vAlign w:val="bottom"/>
          </w:tcPr>
          <w:p>
            <w:pPr>
              <w:jc w:val="right"/>
              <w:ind w:right="262"/>
              <w:spacing w:after="0"/>
              <w:rPr>
                <w:sz w:val="20"/>
                <w:szCs w:val="20"/>
                <w:color w:val="auto"/>
              </w:rPr>
            </w:pPr>
            <w:r>
              <w:rPr>
                <w:rFonts w:ascii="Arial" w:cs="Arial" w:eastAsia="Arial" w:hAnsi="Arial"/>
                <w:sz w:val="8"/>
                <w:szCs w:val="8"/>
                <w:color w:val="auto"/>
                <w:w w:val="73"/>
              </w:rPr>
              <w:t>)</w:t>
            </w:r>
          </w:p>
        </w:tc>
        <w:tc>
          <w:tcPr>
            <w:tcW w:w="260" w:type="dxa"/>
            <w:vAlign w:val="bottom"/>
            <w:tcBorders>
              <w:top w:val="single" w:sz="8" w:color="auto"/>
            </w:tcBorders>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tcBorders>
          </w:tcPr>
          <w:p>
            <w:pPr>
              <w:jc w:val="right"/>
              <w:spacing w:after="0"/>
              <w:rPr>
                <w:sz w:val="20"/>
                <w:szCs w:val="20"/>
                <w:color w:val="auto"/>
              </w:rPr>
            </w:pPr>
            <w:r>
              <w:rPr>
                <w:rFonts w:ascii="Arial" w:cs="Arial" w:eastAsia="Arial" w:hAnsi="Arial"/>
                <w:sz w:val="13"/>
                <w:szCs w:val="13"/>
                <w:color w:val="auto"/>
              </w:rPr>
              <w:t>(1,886,746</w:t>
            </w:r>
          </w:p>
        </w:tc>
        <w:tc>
          <w:tcPr>
            <w:tcW w:w="340" w:type="dxa"/>
            <w:vAlign w:val="bottom"/>
          </w:tcPr>
          <w:p>
            <w:pPr>
              <w:jc w:val="right"/>
              <w:ind w:right="262"/>
              <w:spacing w:after="0"/>
              <w:rPr>
                <w:sz w:val="20"/>
                <w:szCs w:val="20"/>
                <w:color w:val="auto"/>
              </w:rPr>
            </w:pPr>
            <w:r>
              <w:rPr>
                <w:rFonts w:ascii="Arial" w:cs="Arial" w:eastAsia="Arial" w:hAnsi="Arial"/>
                <w:sz w:val="8"/>
                <w:szCs w:val="8"/>
                <w:color w:val="auto"/>
                <w:w w:val="73"/>
              </w:rPr>
              <w:t>)</w:t>
            </w:r>
          </w:p>
        </w:tc>
        <w:tc>
          <w:tcPr>
            <w:tcW w:w="200" w:type="dxa"/>
            <w:vAlign w:val="bottom"/>
            <w:tcBorders>
              <w:top w:val="single" w:sz="8" w:color="auto"/>
            </w:tcBorders>
          </w:tcPr>
          <w:p>
            <w:pPr>
              <w:jc w:val="right"/>
              <w:ind w:right="91"/>
              <w:spacing w:after="0"/>
              <w:rPr>
                <w:sz w:val="20"/>
                <w:szCs w:val="20"/>
                <w:color w:val="auto"/>
              </w:rPr>
            </w:pPr>
            <w:r>
              <w:rPr>
                <w:rFonts w:ascii="Arial" w:cs="Arial" w:eastAsia="Arial" w:hAnsi="Arial"/>
                <w:sz w:val="10"/>
                <w:szCs w:val="10"/>
                <w:color w:val="auto"/>
                <w:w w:val="71"/>
              </w:rPr>
              <w:t>$</w:t>
            </w:r>
          </w:p>
        </w:tc>
        <w:tc>
          <w:tcPr>
            <w:tcW w:w="1040" w:type="dxa"/>
            <w:vAlign w:val="bottom"/>
            <w:tcBorders>
              <w:top w:val="single" w:sz="8" w:color="auto"/>
            </w:tcBorders>
          </w:tcPr>
          <w:p>
            <w:pPr>
              <w:jc w:val="right"/>
              <w:spacing w:after="0"/>
              <w:rPr>
                <w:sz w:val="20"/>
                <w:szCs w:val="20"/>
                <w:color w:val="auto"/>
              </w:rPr>
            </w:pPr>
            <w:r>
              <w:rPr>
                <w:rFonts w:ascii="Arial" w:cs="Arial" w:eastAsia="Arial" w:hAnsi="Arial"/>
                <w:sz w:val="13"/>
                <w:szCs w:val="13"/>
                <w:color w:val="auto"/>
              </w:rPr>
              <w:t>(2,808,076</w:t>
            </w:r>
          </w:p>
        </w:tc>
        <w:tc>
          <w:tcPr>
            <w:tcW w:w="320" w:type="dxa"/>
            <w:vAlign w:val="bottom"/>
          </w:tcPr>
          <w:p>
            <w:pPr>
              <w:jc w:val="right"/>
              <w:ind w:right="242"/>
              <w:spacing w:after="0"/>
              <w:rPr>
                <w:sz w:val="20"/>
                <w:szCs w:val="20"/>
                <w:color w:val="auto"/>
              </w:rPr>
            </w:pPr>
            <w:r>
              <w:rPr>
                <w:rFonts w:ascii="Arial" w:cs="Arial" w:eastAsia="Arial" w:hAnsi="Arial"/>
                <w:sz w:val="8"/>
                <w:szCs w:val="8"/>
                <w:color w:val="auto"/>
                <w:w w:val="73"/>
              </w:rPr>
              <w:t>)</w:t>
            </w:r>
          </w:p>
        </w:tc>
        <w:tc>
          <w:tcPr>
            <w:tcW w:w="1380" w:type="dxa"/>
            <w:vAlign w:val="bottom"/>
            <w:gridSpan w:val="2"/>
          </w:tcPr>
          <w:p>
            <w:pPr>
              <w:jc w:val="right"/>
              <w:spacing w:after="0"/>
              <w:rPr>
                <w:sz w:val="20"/>
                <w:szCs w:val="20"/>
                <w:color w:val="auto"/>
              </w:rPr>
            </w:pPr>
            <w:r>
              <w:rPr>
                <w:rFonts w:ascii="Arial" w:cs="Arial" w:eastAsia="Arial" w:hAnsi="Arial"/>
                <w:sz w:val="13"/>
                <w:szCs w:val="13"/>
                <w:color w:val="auto"/>
              </w:rPr>
              <w:t>(149)%</w:t>
            </w:r>
          </w:p>
        </w:tc>
      </w:tr>
      <w:tr>
        <w:trPr>
          <w:trHeight w:val="29"/>
        </w:trPr>
        <w:tc>
          <w:tcPr>
            <w:tcW w:w="5200" w:type="dxa"/>
            <w:vAlign w:val="bottom"/>
          </w:tcPr>
          <w:p>
            <w:pPr>
              <w:spacing w:after="0"/>
              <w:rPr>
                <w:sz w:val="2"/>
                <w:szCs w:val="2"/>
                <w:color w:val="auto"/>
              </w:rPr>
            </w:pPr>
          </w:p>
        </w:tc>
        <w:tc>
          <w:tcPr>
            <w:tcW w:w="280" w:type="dxa"/>
            <w:vAlign w:val="bottom"/>
            <w:shd w:val="clear" w:color="auto" w:fill="000000"/>
          </w:tcPr>
          <w:p>
            <w:pPr>
              <w:spacing w:after="0"/>
              <w:rPr>
                <w:sz w:val="2"/>
                <w:szCs w:val="2"/>
                <w:color w:val="auto"/>
              </w:rPr>
            </w:pPr>
          </w:p>
        </w:tc>
        <w:tc>
          <w:tcPr>
            <w:tcW w:w="960" w:type="dxa"/>
            <w:vAlign w:val="bottom"/>
            <w:shd w:val="clear" w:color="auto" w:fill="000000"/>
          </w:tcPr>
          <w:p>
            <w:pPr>
              <w:spacing w:after="0"/>
              <w:rPr>
                <w:sz w:val="2"/>
                <w:szCs w:val="2"/>
                <w:color w:val="auto"/>
              </w:rPr>
            </w:pPr>
          </w:p>
        </w:tc>
        <w:tc>
          <w:tcPr>
            <w:tcW w:w="340" w:type="dxa"/>
            <w:vAlign w:val="bottom"/>
          </w:tcPr>
          <w:p>
            <w:pPr>
              <w:spacing w:after="0"/>
              <w:rPr>
                <w:sz w:val="2"/>
                <w:szCs w:val="2"/>
                <w:color w:val="auto"/>
              </w:rPr>
            </w:pPr>
          </w:p>
        </w:tc>
        <w:tc>
          <w:tcPr>
            <w:tcW w:w="260" w:type="dxa"/>
            <w:vAlign w:val="bottom"/>
            <w:shd w:val="clear" w:color="auto" w:fill="000000"/>
          </w:tcPr>
          <w:p>
            <w:pPr>
              <w:spacing w:after="0"/>
              <w:rPr>
                <w:sz w:val="2"/>
                <w:szCs w:val="2"/>
                <w:color w:val="auto"/>
              </w:rPr>
            </w:pPr>
          </w:p>
        </w:tc>
        <w:tc>
          <w:tcPr>
            <w:tcW w:w="960" w:type="dxa"/>
            <w:vAlign w:val="bottom"/>
            <w:shd w:val="clear" w:color="auto" w:fill="000000"/>
          </w:tcPr>
          <w:p>
            <w:pPr>
              <w:spacing w:after="0"/>
              <w:rPr>
                <w:sz w:val="2"/>
                <w:szCs w:val="2"/>
                <w:color w:val="auto"/>
              </w:rPr>
            </w:pPr>
          </w:p>
        </w:tc>
        <w:tc>
          <w:tcPr>
            <w:tcW w:w="340" w:type="dxa"/>
            <w:vAlign w:val="bottom"/>
          </w:tcPr>
          <w:p>
            <w:pPr>
              <w:spacing w:after="0"/>
              <w:rPr>
                <w:sz w:val="2"/>
                <w:szCs w:val="2"/>
                <w:color w:val="auto"/>
              </w:rPr>
            </w:pPr>
          </w:p>
        </w:tc>
        <w:tc>
          <w:tcPr>
            <w:tcW w:w="200" w:type="dxa"/>
            <w:vAlign w:val="bottom"/>
            <w:shd w:val="clear" w:color="auto" w:fill="000000"/>
          </w:tcPr>
          <w:p>
            <w:pPr>
              <w:spacing w:after="0"/>
              <w:rPr>
                <w:sz w:val="2"/>
                <w:szCs w:val="2"/>
                <w:color w:val="auto"/>
              </w:rPr>
            </w:pPr>
          </w:p>
        </w:tc>
        <w:tc>
          <w:tcPr>
            <w:tcW w:w="1040" w:type="dxa"/>
            <w:vAlign w:val="bottom"/>
            <w:tcBorders>
              <w:right w:val="single" w:sz="8" w:color="auto"/>
            </w:tcBorders>
            <w:shd w:val="clear" w:color="auto" w:fill="000000"/>
          </w:tcPr>
          <w:p>
            <w:pPr>
              <w:spacing w:after="0"/>
              <w:rPr>
                <w:sz w:val="2"/>
                <w:szCs w:val="2"/>
                <w:color w:val="auto"/>
              </w:rPr>
            </w:pPr>
          </w:p>
        </w:tc>
        <w:tc>
          <w:tcPr>
            <w:tcW w:w="320" w:type="dxa"/>
            <w:vAlign w:val="bottom"/>
          </w:tcPr>
          <w:p>
            <w:pPr>
              <w:spacing w:after="0"/>
              <w:rPr>
                <w:sz w:val="2"/>
                <w:szCs w:val="2"/>
                <w:color w:val="auto"/>
              </w:rPr>
            </w:pPr>
          </w:p>
        </w:tc>
        <w:tc>
          <w:tcPr>
            <w:tcW w:w="1240" w:type="dxa"/>
            <w:vAlign w:val="bottom"/>
          </w:tcPr>
          <w:p>
            <w:pPr>
              <w:spacing w:after="0"/>
              <w:rPr>
                <w:sz w:val="2"/>
                <w:szCs w:val="2"/>
                <w:color w:val="auto"/>
              </w:rPr>
            </w:pPr>
          </w:p>
        </w:tc>
        <w:tc>
          <w:tcPr>
            <w:tcW w:w="140" w:type="dxa"/>
            <w:vAlign w:val="bottom"/>
          </w:tcPr>
          <w:p>
            <w:pPr>
              <w:spacing w:after="0"/>
              <w:rPr>
                <w:sz w:val="2"/>
                <w:szCs w:val="2"/>
                <w:color w:val="auto"/>
              </w:rPr>
            </w:pPr>
          </w:p>
        </w:tc>
      </w:tr>
    </w:tbl>
    <w:p>
      <w:pPr>
        <w:spacing w:after="0" w:line="148" w:lineRule="exact"/>
        <w:rPr>
          <w:sz w:val="20"/>
          <w:szCs w:val="20"/>
          <w:color w:val="auto"/>
        </w:rPr>
      </w:pPr>
    </w:p>
    <w:p>
      <w:pPr>
        <w:jc w:val="both"/>
        <w:ind w:right="40"/>
        <w:spacing w:after="0" w:line="262" w:lineRule="auto"/>
        <w:rPr>
          <w:sz w:val="20"/>
          <w:szCs w:val="20"/>
          <w:color w:val="auto"/>
        </w:rPr>
      </w:pPr>
      <w:r>
        <w:rPr>
          <w:rFonts w:ascii="Arial" w:cs="Arial" w:eastAsia="Arial" w:hAnsi="Arial"/>
          <w:sz w:val="13"/>
          <w:szCs w:val="13"/>
          <w:color w:val="auto"/>
        </w:rPr>
        <w:t>Total other income (expense) increased by $2.8 million, or 149% for the year ended December 31, 2020 as compared to the respective period of the prior year. The increase in total other income (expense) is primarily due to the expense recorded from revaluation of warrants accounted for as marked-to-market, interest expense related to the Farnam Financing Arrangement (defined below) and amortization of the debt issuance cost associated with warrants issued to the holders of the Convertible Notes.</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Liquidity and Capital Resources</w:t>
      </w:r>
    </w:p>
    <w:p>
      <w:pPr>
        <w:spacing w:after="0" w:line="167" w:lineRule="exact"/>
        <w:rPr>
          <w:sz w:val="20"/>
          <w:szCs w:val="20"/>
          <w:color w:val="auto"/>
        </w:rPr>
      </w:pPr>
    </w:p>
    <w:p>
      <w:pPr>
        <w:ind w:right="40"/>
        <w:spacing w:after="0" w:line="275" w:lineRule="auto"/>
        <w:rPr>
          <w:sz w:val="20"/>
          <w:szCs w:val="20"/>
          <w:color w:val="auto"/>
        </w:rPr>
      </w:pPr>
      <w:r>
        <w:rPr>
          <w:rFonts w:ascii="Arial" w:cs="Arial" w:eastAsia="Arial" w:hAnsi="Arial"/>
          <w:sz w:val="12"/>
          <w:szCs w:val="12"/>
          <w:color w:val="auto"/>
        </w:rPr>
        <w:t>As of June 30, 2021, December 31, 2020, and December 31, 2019, we had $12.0 million, $7.1 million and $0.6 million, respectively, of cash and cash equivalents. As of June 30, 2021, the Company also had an accumulated deficit of approximately $92.3 million, working capital deficit of $6.6 million and stockholders’ deficit of $88.8 million. Since inception, we have funded operations through the issuance of equity securities and convertible notes, through borrowings under credit facilities and through a referral agreement with Dimension Funding, LLC (“Dimension”). As of the date of this Offering Circular, our cash on hand was approximately $10 million. On April 20, 2021, the Company entered into a Referral Agreement with Dimension, whereby the Company can generate up to $10 million of immediate cash flow by referring its clients to Dimension for financing of their annual fees over the MaaS subscription term. This agreement enables the Company to quickly offset the up-front costs associated with building and deploying ASR’s by accelerating collection of its accounts receivable. We believe that the proceeds of this offering, together with our cash and cash equivalent balances, cash generated through our agreement with Dimension Funding, and borrowings will be adequate to meet our liquidity needs and capital expenditure requirements for at least the next 12 months. Our cash from operations may be negatively impacted by a decrease in demand for our products as well as the other factors described in "Risk Factors." As we have done historically, we may again in the future elect to finance operations by selling equity or debt securities or borrowing money. There can be no assurance that the Company will be successful in acquiring additional funding at levels sufficient to fund its future operations. If the Company is unable to raise additional capital in sufficient amounts or on terms acceptable to it, the Company may have to significantly reduce its operations, delay, scale back or discontinue the development of one or more of its platforms or discontinue operations completely. As a result of our recurring losses from operations, negative cash flows from operating activities and the need to raise additional capital, there is substantial doubt regarding our ability to continue as a going concern. Our independent registered public accounting firm included an emphasis of a matter paragraph expressing substantial doubt about the Company’s ability to continue as a going concern in its report on our audited financial statements for the year ended December 31, 2020.</w:t>
      </w:r>
    </w:p>
    <w:p>
      <w:pPr>
        <w:sectPr>
          <w:pgSz w:w="11900" w:h="16838" w:orient="portrait"/>
          <w:cols w:equalWidth="0" w:num="1">
            <w:col w:w="11280"/>
          </w:cols>
          <w:pgMar w:left="300" w:top="698" w:right="319" w:bottom="1440" w:gutter="0" w:footer="0" w:header="0"/>
        </w:sectPr>
      </w:pPr>
    </w:p>
    <w:p>
      <w:pPr>
        <w:spacing w:after="0" w:line="134"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Cash Flow</w:t>
      </w:r>
    </w:p>
    <w:p>
      <w:pPr>
        <w:spacing w:after="0" w:line="163" w:lineRule="exact"/>
        <w:rPr>
          <w:sz w:val="20"/>
          <w:szCs w:val="20"/>
          <w:color w:val="auto"/>
        </w:rPr>
      </w:pPr>
    </w:p>
    <w:p>
      <w:pPr>
        <w:spacing w:after="0"/>
        <w:rPr>
          <w:sz w:val="20"/>
          <w:szCs w:val="20"/>
          <w:color w:val="auto"/>
        </w:rPr>
      </w:pPr>
      <w:r>
        <w:rPr>
          <w:rFonts w:ascii="Arial" w:cs="Arial" w:eastAsia="Arial" w:hAnsi="Arial"/>
          <w:sz w:val="11"/>
          <w:szCs w:val="11"/>
          <w:color w:val="auto"/>
        </w:rPr>
        <w:t>The table below, for the periods indicated, provides selected cash flow information: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340995</wp:posOffset>
            </wp:positionV>
            <wp:extent cx="7170420" cy="10541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7170420" cy="105410"/>
                    </a:xfrm>
                    <a:prstGeom prst="rect">
                      <a:avLst/>
                    </a:prstGeom>
                    <a:noFill/>
                  </pic:spPr>
                </pic:pic>
              </a:graphicData>
            </a:graphic>
          </wp:anchor>
        </w:drawing>
      </w:r>
    </w:p>
    <w:p>
      <w:pPr>
        <w:spacing w:after="0" w:line="200" w:lineRule="exact"/>
        <w:rPr>
          <w:sz w:val="20"/>
          <w:szCs w:val="20"/>
          <w:color w:val="auto"/>
        </w:rPr>
      </w:pPr>
    </w:p>
    <w:p>
      <w:pPr>
        <w:spacing w:after="0" w:line="318" w:lineRule="exact"/>
        <w:rPr>
          <w:sz w:val="20"/>
          <w:szCs w:val="20"/>
          <w:color w:val="auto"/>
        </w:rPr>
      </w:pPr>
    </w:p>
    <w:p>
      <w:pPr>
        <w:spacing w:after="0"/>
        <w:rPr>
          <w:sz w:val="20"/>
          <w:szCs w:val="20"/>
          <w:color w:val="auto"/>
        </w:rPr>
      </w:pPr>
      <w:r>
        <w:rPr>
          <w:rFonts w:ascii="Arial" w:cs="Arial" w:eastAsia="Arial" w:hAnsi="Arial"/>
          <w:sz w:val="13"/>
          <w:szCs w:val="13"/>
          <w:color w:val="auto"/>
        </w:rPr>
        <w:t>Net cash used in operating activities</w:t>
      </w:r>
    </w:p>
    <w:p>
      <w:pPr>
        <w:spacing w:after="0" w:line="15" w:lineRule="exact"/>
        <w:rPr>
          <w:sz w:val="20"/>
          <w:szCs w:val="20"/>
          <w:color w:val="auto"/>
        </w:rPr>
      </w:pPr>
    </w:p>
    <w:p>
      <w:pPr>
        <w:spacing w:after="0"/>
        <w:rPr>
          <w:sz w:val="20"/>
          <w:szCs w:val="20"/>
          <w:color w:val="auto"/>
        </w:rPr>
      </w:pPr>
      <w:r>
        <w:rPr>
          <w:rFonts w:ascii="Arial" w:cs="Arial" w:eastAsia="Arial" w:hAnsi="Arial"/>
          <w:sz w:val="13"/>
          <w:szCs w:val="13"/>
          <w:color w:val="auto"/>
        </w:rPr>
        <w:t>Net cash used in investing activities</w:t>
      </w:r>
    </w:p>
    <w:p>
      <w:pPr>
        <w:spacing w:after="0" w:line="7" w:lineRule="exact"/>
        <w:rPr>
          <w:sz w:val="20"/>
          <w:szCs w:val="20"/>
          <w:color w:val="auto"/>
        </w:rPr>
      </w:pPr>
    </w:p>
    <w:p>
      <w:pPr>
        <w:spacing w:after="0"/>
        <w:rPr>
          <w:sz w:val="20"/>
          <w:szCs w:val="20"/>
          <w:color w:val="auto"/>
        </w:rPr>
      </w:pPr>
      <w:r>
        <w:rPr>
          <w:rFonts w:ascii="Arial" w:cs="Arial" w:eastAsia="Arial" w:hAnsi="Arial"/>
          <w:sz w:val="13"/>
          <w:szCs w:val="13"/>
          <w:color w:val="auto"/>
        </w:rPr>
        <w:t>Net cash provided by financing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-93345</wp:posOffset>
            </wp:positionV>
            <wp:extent cx="7170420" cy="10541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7170420" cy="105410"/>
                    </a:xfrm>
                    <a:prstGeom prst="rect">
                      <a:avLst/>
                    </a:prstGeom>
                    <a:noFill/>
                  </pic:spPr>
                </pic:pic>
              </a:graphicData>
            </a:graphic>
          </wp:anchor>
        </w:drawing>
      </w:r>
    </w:p>
    <w:p>
      <w:pPr>
        <w:spacing w:after="0"/>
        <w:rPr>
          <w:sz w:val="20"/>
          <w:szCs w:val="20"/>
          <w:color w:val="auto"/>
        </w:rPr>
      </w:pPr>
      <w:r>
        <w:rPr>
          <w:rFonts w:ascii="Arial" w:cs="Arial" w:eastAsia="Arial" w:hAnsi="Arial"/>
          <w:sz w:val="13"/>
          <w:szCs w:val="13"/>
          <w:color w:val="auto"/>
        </w:rPr>
        <w:t>Net increase in cash and cash equivalents and restricted cash</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880"/>
        <w:spacing w:after="0"/>
        <w:rPr>
          <w:sz w:val="20"/>
          <w:szCs w:val="20"/>
          <w:color w:val="auto"/>
        </w:rPr>
      </w:pPr>
      <w:r>
        <w:rPr>
          <w:rFonts w:ascii="Arial" w:cs="Arial" w:eastAsia="Arial" w:hAnsi="Arial"/>
          <w:sz w:val="13"/>
          <w:szCs w:val="13"/>
          <w:b w:val="1"/>
          <w:bCs w:val="1"/>
          <w:color w:val="auto"/>
        </w:rPr>
        <w:t>Six months ended June 30,</w:t>
      </w:r>
    </w:p>
    <w:p>
      <w:pPr>
        <w:spacing w:after="0" w:line="19" w:lineRule="exact"/>
        <w:rPr>
          <w:sz w:val="20"/>
          <w:szCs w:val="20"/>
          <w:color w:val="auto"/>
        </w:rPr>
      </w:pPr>
    </w:p>
    <w:tbl>
      <w:tblPr>
        <w:tblLayout w:type="fixed"/>
        <w:tblInd w:w="0" w:type="dxa"/>
        <w:tblCellMar>
          <w:top w:w="0" w:type="dxa"/>
          <w:left w:w="0" w:type="dxa"/>
          <w:bottom w:w="0" w:type="dxa"/>
          <w:right w:w="0" w:type="dxa"/>
        </w:tblCellMar>
      </w:tblPr>
      <w:tr>
        <w:trPr>
          <w:trHeight w:val="157"/>
        </w:trPr>
        <w:tc>
          <w:tcPr>
            <w:tcW w:w="340" w:type="dxa"/>
            <w:vAlign w:val="bottom"/>
            <w:tcBorders>
              <w:top w:val="single" w:sz="8" w:color="auto"/>
              <w:bottom w:val="single" w:sz="8" w:color="auto"/>
            </w:tcBorders>
          </w:tcPr>
          <w:p>
            <w:pPr>
              <w:spacing w:after="0"/>
              <w:rPr>
                <w:sz w:val="13"/>
                <w:szCs w:val="13"/>
                <w:color w:val="auto"/>
              </w:rPr>
            </w:pPr>
          </w:p>
        </w:tc>
        <w:tc>
          <w:tcPr>
            <w:tcW w:w="1140" w:type="dxa"/>
            <w:vAlign w:val="bottom"/>
            <w:tcBorders>
              <w:top w:val="single" w:sz="8" w:color="auto"/>
              <w:bottom w:val="single" w:sz="8" w:color="auto"/>
            </w:tcBorders>
          </w:tcPr>
          <w:p>
            <w:pPr>
              <w:jc w:val="right"/>
              <w:ind w:right="555"/>
              <w:spacing w:after="0"/>
              <w:rPr>
                <w:sz w:val="20"/>
                <w:szCs w:val="20"/>
                <w:color w:val="auto"/>
              </w:rPr>
            </w:pPr>
            <w:r>
              <w:rPr>
                <w:rFonts w:ascii="Arial" w:cs="Arial" w:eastAsia="Arial" w:hAnsi="Arial"/>
                <w:sz w:val="13"/>
                <w:szCs w:val="13"/>
                <w:b w:val="1"/>
                <w:bCs w:val="1"/>
                <w:color w:val="auto"/>
              </w:rPr>
              <w:t>2021</w:t>
            </w:r>
          </w:p>
        </w:tc>
        <w:tc>
          <w:tcPr>
            <w:tcW w:w="320" w:type="dxa"/>
            <w:vAlign w:val="bottom"/>
            <w:tcBorders>
              <w:top w:val="single" w:sz="8" w:color="auto"/>
            </w:tcBorders>
          </w:tcPr>
          <w:p>
            <w:pPr>
              <w:spacing w:after="0"/>
              <w:rPr>
                <w:sz w:val="13"/>
                <w:szCs w:val="13"/>
                <w:color w:val="auto"/>
              </w:rPr>
            </w:pPr>
          </w:p>
        </w:tc>
        <w:tc>
          <w:tcPr>
            <w:tcW w:w="340" w:type="dxa"/>
            <w:vAlign w:val="bottom"/>
            <w:tcBorders>
              <w:top w:val="single" w:sz="8" w:color="auto"/>
              <w:bottom w:val="single" w:sz="8" w:color="auto"/>
            </w:tcBorders>
          </w:tcPr>
          <w:p>
            <w:pPr>
              <w:spacing w:after="0"/>
              <w:rPr>
                <w:sz w:val="13"/>
                <w:szCs w:val="13"/>
                <w:color w:val="auto"/>
              </w:rPr>
            </w:pPr>
          </w:p>
        </w:tc>
        <w:tc>
          <w:tcPr>
            <w:tcW w:w="1120" w:type="dxa"/>
            <w:vAlign w:val="bottom"/>
            <w:tcBorders>
              <w:top w:val="single" w:sz="8" w:color="auto"/>
              <w:bottom w:val="single" w:sz="8" w:color="auto"/>
            </w:tcBorders>
          </w:tcPr>
          <w:p>
            <w:pPr>
              <w:jc w:val="right"/>
              <w:ind w:right="535"/>
              <w:spacing w:after="0"/>
              <w:rPr>
                <w:sz w:val="20"/>
                <w:szCs w:val="20"/>
                <w:color w:val="auto"/>
              </w:rPr>
            </w:pPr>
            <w:r>
              <w:rPr>
                <w:rFonts w:ascii="Arial" w:cs="Arial" w:eastAsia="Arial" w:hAnsi="Arial"/>
                <w:sz w:val="13"/>
                <w:szCs w:val="13"/>
                <w:b w:val="1"/>
                <w:bCs w:val="1"/>
                <w:color w:val="auto"/>
              </w:rPr>
              <w:t>2020</w:t>
            </w:r>
          </w:p>
        </w:tc>
        <w:tc>
          <w:tcPr>
            <w:tcW w:w="40" w:type="dxa"/>
            <w:vAlign w:val="bottom"/>
          </w:tcPr>
          <w:p>
            <w:pPr>
              <w:spacing w:after="0"/>
              <w:rPr>
                <w:sz w:val="13"/>
                <w:szCs w:val="13"/>
                <w:color w:val="auto"/>
              </w:rPr>
            </w:pPr>
          </w:p>
        </w:tc>
      </w:tr>
      <w:tr>
        <w:trPr>
          <w:trHeight w:val="137"/>
        </w:trPr>
        <w:tc>
          <w:tcPr>
            <w:tcW w:w="340" w:type="dxa"/>
            <w:vAlign w:val="bottom"/>
          </w:tcPr>
          <w:p>
            <w:pPr>
              <w:jc w:val="right"/>
              <w:ind w:right="231"/>
              <w:spacing w:after="0"/>
              <w:rPr>
                <w:sz w:val="20"/>
                <w:szCs w:val="20"/>
                <w:color w:val="auto"/>
              </w:rPr>
            </w:pPr>
            <w:r>
              <w:rPr>
                <w:rFonts w:ascii="Arial" w:cs="Arial" w:eastAsia="Arial" w:hAnsi="Arial"/>
                <w:sz w:val="10"/>
                <w:szCs w:val="10"/>
                <w:color w:val="auto"/>
                <w:w w:val="71"/>
              </w:rPr>
              <w:t>$</w:t>
            </w:r>
          </w:p>
        </w:tc>
        <w:tc>
          <w:tcPr>
            <w:tcW w:w="1140" w:type="dxa"/>
            <w:vAlign w:val="bottom"/>
          </w:tcPr>
          <w:p>
            <w:pPr>
              <w:jc w:val="right"/>
              <w:spacing w:after="0" w:line="138" w:lineRule="exact"/>
              <w:rPr>
                <w:sz w:val="20"/>
                <w:szCs w:val="20"/>
                <w:color w:val="auto"/>
              </w:rPr>
            </w:pPr>
            <w:r>
              <w:rPr>
                <w:rFonts w:ascii="Arial" w:cs="Arial" w:eastAsia="Arial" w:hAnsi="Arial"/>
                <w:sz w:val="13"/>
                <w:szCs w:val="13"/>
                <w:color w:val="auto"/>
              </w:rPr>
              <w:t>(10,516,351)</w:t>
            </w:r>
          </w:p>
        </w:tc>
        <w:tc>
          <w:tcPr>
            <w:tcW w:w="320" w:type="dxa"/>
            <w:vAlign w:val="bottom"/>
          </w:tcPr>
          <w:p>
            <w:pPr>
              <w:spacing w:after="0"/>
              <w:rPr>
                <w:sz w:val="11"/>
                <w:szCs w:val="11"/>
                <w:color w:val="auto"/>
              </w:rPr>
            </w:pPr>
          </w:p>
        </w:tc>
        <w:tc>
          <w:tcPr>
            <w:tcW w:w="340" w:type="dxa"/>
            <w:vAlign w:val="bottom"/>
          </w:tcPr>
          <w:p>
            <w:pPr>
              <w:jc w:val="right"/>
              <w:ind w:right="195"/>
              <w:spacing w:after="0" w:line="138" w:lineRule="exact"/>
              <w:rPr>
                <w:sz w:val="20"/>
                <w:szCs w:val="20"/>
                <w:color w:val="auto"/>
              </w:rPr>
            </w:pPr>
            <w:r>
              <w:rPr>
                <w:rFonts w:ascii="Arial" w:cs="Arial" w:eastAsia="Arial" w:hAnsi="Arial"/>
                <w:sz w:val="13"/>
                <w:szCs w:val="13"/>
                <w:color w:val="auto"/>
                <w:w w:val="82"/>
              </w:rPr>
              <w:t>$</w:t>
            </w:r>
          </w:p>
        </w:tc>
        <w:tc>
          <w:tcPr>
            <w:tcW w:w="1120" w:type="dxa"/>
            <w:vAlign w:val="bottom"/>
          </w:tcPr>
          <w:p>
            <w:pPr>
              <w:jc w:val="right"/>
              <w:spacing w:after="0" w:line="138" w:lineRule="exact"/>
              <w:rPr>
                <w:sz w:val="20"/>
                <w:szCs w:val="20"/>
                <w:color w:val="auto"/>
              </w:rPr>
            </w:pPr>
            <w:r>
              <w:rPr>
                <w:rFonts w:ascii="Arial" w:cs="Arial" w:eastAsia="Arial" w:hAnsi="Arial"/>
                <w:sz w:val="13"/>
                <w:szCs w:val="13"/>
                <w:color w:val="auto"/>
              </w:rPr>
              <w:t>(5,378,927)</w:t>
            </w:r>
          </w:p>
        </w:tc>
        <w:tc>
          <w:tcPr>
            <w:tcW w:w="40" w:type="dxa"/>
            <w:vAlign w:val="bottom"/>
          </w:tcPr>
          <w:p>
            <w:pPr>
              <w:spacing w:after="0"/>
              <w:rPr>
                <w:sz w:val="11"/>
                <w:szCs w:val="11"/>
                <w:color w:val="auto"/>
              </w:rPr>
            </w:pPr>
          </w:p>
        </w:tc>
      </w:tr>
      <w:tr>
        <w:trPr>
          <w:trHeight w:val="164"/>
        </w:trPr>
        <w:tc>
          <w:tcPr>
            <w:tcW w:w="340" w:type="dxa"/>
            <w:vAlign w:val="bottom"/>
          </w:tcPr>
          <w:p>
            <w:pPr>
              <w:spacing w:after="0"/>
              <w:rPr>
                <w:sz w:val="14"/>
                <w:szCs w:val="14"/>
                <w:color w:val="auto"/>
              </w:rPr>
            </w:pPr>
          </w:p>
        </w:tc>
        <w:tc>
          <w:tcPr>
            <w:tcW w:w="1460" w:type="dxa"/>
            <w:vAlign w:val="bottom"/>
            <w:gridSpan w:val="2"/>
          </w:tcPr>
          <w:p>
            <w:pPr>
              <w:jc w:val="right"/>
              <w:ind w:right="280"/>
              <w:spacing w:after="0"/>
              <w:rPr>
                <w:sz w:val="20"/>
                <w:szCs w:val="20"/>
                <w:color w:val="auto"/>
              </w:rPr>
            </w:pPr>
            <w:r>
              <w:rPr>
                <w:rFonts w:ascii="Arial" w:cs="Arial" w:eastAsia="Arial" w:hAnsi="Arial"/>
                <w:sz w:val="13"/>
                <w:szCs w:val="13"/>
                <w:color w:val="auto"/>
              </w:rPr>
              <w:t>(934,282)</w:t>
            </w:r>
          </w:p>
        </w:tc>
        <w:tc>
          <w:tcPr>
            <w:tcW w:w="340" w:type="dxa"/>
            <w:vAlign w:val="bottom"/>
          </w:tcPr>
          <w:p>
            <w:pPr>
              <w:spacing w:after="0"/>
              <w:rPr>
                <w:sz w:val="14"/>
                <w:szCs w:val="14"/>
                <w:color w:val="auto"/>
              </w:rPr>
            </w:pPr>
          </w:p>
        </w:tc>
        <w:tc>
          <w:tcPr>
            <w:tcW w:w="1160" w:type="dxa"/>
            <w:vAlign w:val="bottom"/>
            <w:gridSpan w:val="2"/>
          </w:tcPr>
          <w:p>
            <w:pPr>
              <w:jc w:val="right"/>
              <w:spacing w:after="0"/>
              <w:rPr>
                <w:sz w:val="20"/>
                <w:szCs w:val="20"/>
                <w:color w:val="auto"/>
              </w:rPr>
            </w:pPr>
            <w:r>
              <w:rPr>
                <w:rFonts w:ascii="Arial" w:cs="Arial" w:eastAsia="Arial" w:hAnsi="Arial"/>
                <w:sz w:val="13"/>
                <w:szCs w:val="13"/>
                <w:color w:val="auto"/>
              </w:rPr>
              <w:t>(312,122)</w:t>
            </w:r>
          </w:p>
        </w:tc>
      </w:tr>
      <w:tr>
        <w:trPr>
          <w:trHeight w:val="167"/>
        </w:trPr>
        <w:tc>
          <w:tcPr>
            <w:tcW w:w="340" w:type="dxa"/>
            <w:vAlign w:val="bottom"/>
            <w:tcBorders>
              <w:bottom w:val="single" w:sz="8" w:color="auto"/>
            </w:tcBorders>
          </w:tcPr>
          <w:p>
            <w:pPr>
              <w:spacing w:after="0"/>
              <w:rPr>
                <w:sz w:val="14"/>
                <w:szCs w:val="14"/>
                <w:color w:val="auto"/>
              </w:rPr>
            </w:pPr>
          </w:p>
        </w:tc>
        <w:tc>
          <w:tcPr>
            <w:tcW w:w="114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16,387,122</w:t>
            </w:r>
          </w:p>
        </w:tc>
        <w:tc>
          <w:tcPr>
            <w:tcW w:w="320" w:type="dxa"/>
            <w:vAlign w:val="bottom"/>
          </w:tcPr>
          <w:p>
            <w:pPr>
              <w:spacing w:after="0"/>
              <w:rPr>
                <w:sz w:val="14"/>
                <w:szCs w:val="14"/>
                <w:color w:val="auto"/>
              </w:rPr>
            </w:pPr>
          </w:p>
        </w:tc>
        <w:tc>
          <w:tcPr>
            <w:tcW w:w="340" w:type="dxa"/>
            <w:vAlign w:val="bottom"/>
            <w:tcBorders>
              <w:bottom w:val="single" w:sz="8" w:color="auto"/>
            </w:tcBorders>
          </w:tcPr>
          <w:p>
            <w:pPr>
              <w:spacing w:after="0"/>
              <w:rPr>
                <w:sz w:val="14"/>
                <w:szCs w:val="14"/>
                <w:color w:val="auto"/>
              </w:rPr>
            </w:pPr>
          </w:p>
        </w:tc>
        <w:tc>
          <w:tcPr>
            <w:tcW w:w="11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6,998,748</w:t>
            </w:r>
          </w:p>
        </w:tc>
        <w:tc>
          <w:tcPr>
            <w:tcW w:w="40" w:type="dxa"/>
            <w:vAlign w:val="bottom"/>
          </w:tcPr>
          <w:p>
            <w:pPr>
              <w:spacing w:after="0"/>
              <w:rPr>
                <w:sz w:val="14"/>
                <w:szCs w:val="14"/>
                <w:color w:val="auto"/>
              </w:rPr>
            </w:pPr>
          </w:p>
        </w:tc>
      </w:tr>
      <w:tr>
        <w:trPr>
          <w:trHeight w:val="166"/>
        </w:trPr>
        <w:tc>
          <w:tcPr>
            <w:tcW w:w="340" w:type="dxa"/>
            <w:vAlign w:val="bottom"/>
            <w:tcBorders>
              <w:bottom w:val="single" w:sz="8" w:color="auto"/>
            </w:tcBorders>
          </w:tcPr>
          <w:p>
            <w:pPr>
              <w:jc w:val="right"/>
              <w:ind w:right="231"/>
              <w:spacing w:after="0"/>
              <w:rPr>
                <w:sz w:val="20"/>
                <w:szCs w:val="20"/>
                <w:color w:val="auto"/>
              </w:rPr>
            </w:pPr>
            <w:r>
              <w:rPr>
                <w:rFonts w:ascii="Arial" w:cs="Arial" w:eastAsia="Arial" w:hAnsi="Arial"/>
                <w:sz w:val="10"/>
                <w:szCs w:val="10"/>
                <w:color w:val="auto"/>
                <w:w w:val="71"/>
              </w:rPr>
              <w:t>$</w:t>
            </w:r>
          </w:p>
        </w:tc>
        <w:tc>
          <w:tcPr>
            <w:tcW w:w="114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4,936,489</w:t>
            </w:r>
          </w:p>
        </w:tc>
        <w:tc>
          <w:tcPr>
            <w:tcW w:w="320" w:type="dxa"/>
            <w:vAlign w:val="bottom"/>
          </w:tcPr>
          <w:p>
            <w:pPr>
              <w:spacing w:after="0"/>
              <w:rPr>
                <w:sz w:val="14"/>
                <w:szCs w:val="14"/>
                <w:color w:val="auto"/>
              </w:rPr>
            </w:pPr>
          </w:p>
        </w:tc>
        <w:tc>
          <w:tcPr>
            <w:tcW w:w="340" w:type="dxa"/>
            <w:vAlign w:val="bottom"/>
            <w:tcBorders>
              <w:bottom w:val="single" w:sz="8" w:color="auto"/>
            </w:tcBorders>
          </w:tcPr>
          <w:p>
            <w:pPr>
              <w:jc w:val="right"/>
              <w:ind w:right="195"/>
              <w:spacing w:after="0"/>
              <w:rPr>
                <w:sz w:val="20"/>
                <w:szCs w:val="20"/>
                <w:color w:val="auto"/>
              </w:rPr>
            </w:pPr>
            <w:r>
              <w:rPr>
                <w:rFonts w:ascii="Arial" w:cs="Arial" w:eastAsia="Arial" w:hAnsi="Arial"/>
                <w:sz w:val="13"/>
                <w:szCs w:val="13"/>
                <w:color w:val="auto"/>
                <w:w w:val="82"/>
              </w:rPr>
              <w:t>$</w:t>
            </w:r>
          </w:p>
        </w:tc>
        <w:tc>
          <w:tcPr>
            <w:tcW w:w="11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1,307,699</w:t>
            </w:r>
          </w:p>
        </w:tc>
        <w:tc>
          <w:tcPr>
            <w:tcW w:w="40" w:type="dxa"/>
            <w:vAlign w:val="bottom"/>
          </w:tcPr>
          <w:p>
            <w:pPr>
              <w:spacing w:after="0"/>
              <w:rPr>
                <w:sz w:val="14"/>
                <w:szCs w:val="14"/>
                <w:color w:val="auto"/>
              </w:rPr>
            </w:pPr>
          </w:p>
        </w:tc>
      </w:tr>
    </w:tbl>
    <w:p>
      <w:pPr>
        <w:spacing w:after="0" w:line="200" w:lineRule="exact"/>
        <w:rPr>
          <w:sz w:val="20"/>
          <w:szCs w:val="20"/>
          <w:color w:val="auto"/>
        </w:rPr>
      </w:pPr>
    </w:p>
    <w:p>
      <w:pPr>
        <w:sectPr>
          <w:pgSz w:w="11900" w:h="16838" w:orient="portrait"/>
          <w:cols w:equalWidth="0" w:num="2">
            <w:col w:w="7200" w:space="720"/>
            <w:col w:w="3360"/>
          </w:cols>
          <w:pgMar w:left="300" w:top="698" w:right="319" w:bottom="1440" w:gutter="0" w:footer="0" w:header="0"/>
          <w:type w:val="continuous"/>
        </w:sectPr>
      </w:pPr>
    </w:p>
    <w:p>
      <w:pPr>
        <w:spacing w:after="0" w:line="104" w:lineRule="exact"/>
        <w:rPr>
          <w:sz w:val="20"/>
          <w:szCs w:val="20"/>
          <w:color w:val="auto"/>
        </w:rPr>
      </w:pPr>
    </w:p>
    <w:p>
      <w:pPr>
        <w:jc w:val="center"/>
        <w:ind w:right="-59"/>
        <w:spacing w:after="0"/>
        <w:rPr>
          <w:sz w:val="20"/>
          <w:szCs w:val="20"/>
          <w:color w:val="auto"/>
        </w:rPr>
      </w:pPr>
      <w:r>
        <w:rPr>
          <w:rFonts w:ascii="Arial" w:cs="Arial" w:eastAsia="Arial" w:hAnsi="Arial"/>
          <w:sz w:val="12"/>
          <w:szCs w:val="12"/>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17145</wp:posOffset>
            </wp:positionV>
            <wp:extent cx="7170420" cy="635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type w:val="continuous"/>
        </w:sectPr>
      </w:pPr>
    </w:p>
    <w:bookmarkStart w:id="32" w:name="page33"/>
    <w:bookmarkEnd w:id="32"/>
    <w:p>
      <w:pPr>
        <w:spacing w:after="0"/>
        <w:rPr>
          <w:sz w:val="20"/>
          <w:szCs w:val="20"/>
          <w:color w:val="auto"/>
        </w:rPr>
      </w:pPr>
      <w:r>
        <w:rPr>
          <w:rFonts w:ascii="Arial" w:cs="Arial" w:eastAsia="Arial" w:hAnsi="Arial"/>
          <w:sz w:val="13"/>
          <w:szCs w:val="13"/>
          <w:b w:val="1"/>
          <w:bCs w:val="1"/>
          <w:i w:val="1"/>
          <w:iCs w:val="1"/>
          <w:color w:val="auto"/>
        </w:rPr>
        <w:t>Net Cash Used in Operating Activities</w:t>
      </w:r>
    </w:p>
    <w:p>
      <w:pPr>
        <w:spacing w:after="0" w:line="163"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Net cash used in operating activities is influenced by the amount of cash we invest in personnel, marketing, and infrastructure to support the anticipated growth of our business, the number of clients to whom we lease our ASRs, the amount and timing of accounts receivable collections, as well as the amount and timing of disbursements to our vendors.</w:t>
      </w:r>
    </w:p>
    <w:p>
      <w:pPr>
        <w:spacing w:after="0" w:line="128" w:lineRule="exact"/>
        <w:rPr>
          <w:sz w:val="20"/>
          <w:szCs w:val="20"/>
          <w:color w:val="auto"/>
        </w:rPr>
      </w:pPr>
    </w:p>
    <w:p>
      <w:pPr>
        <w:ind w:right="20"/>
        <w:spacing w:after="0" w:line="274" w:lineRule="auto"/>
        <w:rPr>
          <w:sz w:val="20"/>
          <w:szCs w:val="20"/>
          <w:color w:val="auto"/>
        </w:rPr>
      </w:pPr>
      <w:r>
        <w:rPr>
          <w:rFonts w:ascii="Arial" w:cs="Arial" w:eastAsia="Arial" w:hAnsi="Arial"/>
          <w:sz w:val="13"/>
          <w:szCs w:val="13"/>
          <w:color w:val="auto"/>
        </w:rPr>
        <w:t>Net cash used in operating activities was approximately $10.5 million for the six months ended June 30, 2021. Net cash used in operating activities resulted from a net loss of $22.7 million, partially offset by changes in working capital and non-cash charges.</w:t>
      </w:r>
    </w:p>
    <w:p>
      <w:pPr>
        <w:spacing w:after="0" w:line="128" w:lineRule="exact"/>
        <w:rPr>
          <w:sz w:val="20"/>
          <w:szCs w:val="20"/>
          <w:color w:val="auto"/>
        </w:rPr>
      </w:pPr>
    </w:p>
    <w:p>
      <w:pPr>
        <w:ind w:right="160"/>
        <w:spacing w:after="0" w:line="262" w:lineRule="auto"/>
        <w:rPr>
          <w:sz w:val="20"/>
          <w:szCs w:val="20"/>
          <w:color w:val="auto"/>
        </w:rPr>
      </w:pPr>
      <w:r>
        <w:rPr>
          <w:rFonts w:ascii="Arial" w:cs="Arial" w:eastAsia="Arial" w:hAnsi="Arial"/>
          <w:sz w:val="13"/>
          <w:szCs w:val="13"/>
          <w:color w:val="auto"/>
        </w:rPr>
        <w:t>Net cash used in operating activities for the six months ended June 30, 2021 increased by $5.2 million as compared to the respective period of the prior year. The increase was primarily a result of an increase in the net loss of $13.6 million due to operating activities and the PPP Loan and interest forgiveness of $0.8 million, partially offset by an increase in the change in the fair value of warrant liabilities of $8.3 million, an increase in amortization of debt discount of $0.4 million and a change in working capital of $0.5 million.</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Net Cash Used in Investing Activities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Our primary investing activities have consisted of capital expenditures and investment in ASRs. As our business grows, we expect our capital expenditures to continue to increase.</w:t>
      </w:r>
    </w:p>
    <w:p>
      <w:pPr>
        <w:spacing w:after="0" w:line="163" w:lineRule="exact"/>
        <w:rPr>
          <w:sz w:val="20"/>
          <w:szCs w:val="20"/>
          <w:color w:val="auto"/>
        </w:rPr>
      </w:pPr>
    </w:p>
    <w:p>
      <w:pPr>
        <w:ind w:right="380"/>
        <w:spacing w:after="0" w:line="274" w:lineRule="auto"/>
        <w:rPr>
          <w:sz w:val="20"/>
          <w:szCs w:val="20"/>
          <w:color w:val="auto"/>
        </w:rPr>
      </w:pPr>
      <w:r>
        <w:rPr>
          <w:rFonts w:ascii="Arial" w:cs="Arial" w:eastAsia="Arial" w:hAnsi="Arial"/>
          <w:sz w:val="13"/>
          <w:szCs w:val="13"/>
          <w:color w:val="auto"/>
        </w:rPr>
        <w:t>Net cash used in investing activities for the six months ended June 30, 2021 was approximately $0.9 million compared to $0.3 million in the respective period last year, or $0.6 million higher. The increase was primarily a result of higher investment in ASRs.</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Net Cash Provided by Financing Activities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Our financing activities for the six months ended June 30, 2021, consisted primarily of raising proceeds through issuing stock in connection with the Company’s 2020 Regulation A Offering.</w:t>
      </w:r>
    </w:p>
    <w:p>
      <w:pPr>
        <w:spacing w:after="0" w:line="163" w:lineRule="exact"/>
        <w:rPr>
          <w:sz w:val="20"/>
          <w:szCs w:val="20"/>
          <w:color w:val="auto"/>
        </w:rPr>
      </w:pPr>
    </w:p>
    <w:p>
      <w:pPr>
        <w:ind w:right="100"/>
        <w:spacing w:after="0" w:line="274" w:lineRule="auto"/>
        <w:rPr>
          <w:sz w:val="20"/>
          <w:szCs w:val="20"/>
          <w:color w:val="auto"/>
        </w:rPr>
      </w:pPr>
      <w:r>
        <w:rPr>
          <w:rFonts w:ascii="Arial" w:cs="Arial" w:eastAsia="Arial" w:hAnsi="Arial"/>
          <w:sz w:val="13"/>
          <w:szCs w:val="13"/>
          <w:color w:val="auto"/>
        </w:rPr>
        <w:t>Net cash provided by financing activities was approximately $16.4 million for the six months ended June 30, 2021, an increase of $9.4 million as compared to the respective period of the prior year, primarily driven by net proceeds from the issuance of Series S Preferred Stock connected to the 2020 Regulation A Offering that terminated on April 21, 2021.</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Series S Preferred Regulation D Offering</w:t>
      </w:r>
    </w:p>
    <w:p>
      <w:pPr>
        <w:spacing w:after="0" w:line="163" w:lineRule="exact"/>
        <w:rPr>
          <w:sz w:val="20"/>
          <w:szCs w:val="20"/>
          <w:color w:val="auto"/>
        </w:rPr>
      </w:pPr>
    </w:p>
    <w:p>
      <w:pPr>
        <w:spacing w:after="0" w:line="283" w:lineRule="auto"/>
        <w:rPr>
          <w:sz w:val="20"/>
          <w:szCs w:val="20"/>
          <w:color w:val="auto"/>
        </w:rPr>
      </w:pPr>
      <w:r>
        <w:rPr>
          <w:rFonts w:ascii="Arial" w:cs="Arial" w:eastAsia="Arial" w:hAnsi="Arial"/>
          <w:sz w:val="12"/>
          <w:szCs w:val="12"/>
          <w:color w:val="auto"/>
        </w:rPr>
        <w:t>On July 11, 2018, the Company commenced an offering of up to $50 million of its Series S Preferred Stock pursuant to Regulation D (“Regulation D”) and Regulation S of the Securities Act of 1933, as amended (the “Securities Act”) to raise additional capital for operations (the “Regulation D Offering”). We offered to sell up to 6,250,000 shares of Series S Preferred Stock, which are convertible into shares of Class A Common Stock, at a price of $10.00 per share. Consistent with prior financings by the Company, the Regulation D Offering was conducted with rolling closes. As of December 31, 2019, the Company raised $3.8 million through the Regulation D Offering, of which $1.0 million was received during the year ended December 31, 2019. Issuance costs related to Regulation D Offering were $0.3 million as of December 31, 2019. The Company did not raise additional funds under the Regulation D Offering in 2020 or during the six months ended June 30, 2021.</w:t>
      </w:r>
    </w:p>
    <w:p>
      <w:pPr>
        <w:spacing w:after="0" w:line="125"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Series S Preferred Regulation A Offerings</w:t>
      </w:r>
    </w:p>
    <w:p>
      <w:pPr>
        <w:spacing w:after="0" w:line="163" w:lineRule="exact"/>
        <w:rPr>
          <w:sz w:val="20"/>
          <w:szCs w:val="20"/>
          <w:color w:val="auto"/>
        </w:rPr>
      </w:pPr>
    </w:p>
    <w:p>
      <w:pPr>
        <w:ind w:right="40"/>
        <w:spacing w:after="0" w:line="258" w:lineRule="auto"/>
        <w:rPr>
          <w:sz w:val="20"/>
          <w:szCs w:val="20"/>
          <w:color w:val="auto"/>
        </w:rPr>
      </w:pPr>
      <w:r>
        <w:rPr>
          <w:rFonts w:ascii="Arial" w:cs="Arial" w:eastAsia="Arial" w:hAnsi="Arial"/>
          <w:sz w:val="13"/>
          <w:szCs w:val="13"/>
          <w:color w:val="auto"/>
        </w:rPr>
        <w:t>On May 21, 2019 the Company filed an offering statement in connection with a proposed offering of up to $50 million of its Series S Preferred Stock pursuant to Regulation A of the Securities Act, to raise additional capital for operations (the “2019 Regulation A Offering”). The offering statement was qualified by the Commission on July 22, 2019 and the Company commenced the 2019 Regulation A Offering shortly thereafter. The 2019 Regulation A Offering terminated on July 22, 2020. As of December 31, 2020, the Company had raised approximately $24 million from the 2019 Regulation A offering, offset by $2.3 million in issuance costs.</w:t>
      </w:r>
    </w:p>
    <w:p>
      <w:pPr>
        <w:spacing w:after="0" w:line="139" w:lineRule="exact"/>
        <w:rPr>
          <w:sz w:val="20"/>
          <w:szCs w:val="20"/>
          <w:color w:val="auto"/>
        </w:rPr>
      </w:pPr>
    </w:p>
    <w:p>
      <w:pPr>
        <w:ind w:right="40"/>
        <w:spacing w:after="0" w:line="283" w:lineRule="auto"/>
        <w:rPr>
          <w:sz w:val="20"/>
          <w:szCs w:val="20"/>
          <w:color w:val="auto"/>
        </w:rPr>
      </w:pPr>
      <w:r>
        <w:rPr>
          <w:rFonts w:ascii="Arial" w:cs="Arial" w:eastAsia="Arial" w:hAnsi="Arial"/>
          <w:sz w:val="12"/>
          <w:szCs w:val="12"/>
          <w:color w:val="auto"/>
        </w:rPr>
        <w:t>On June 15, 2020 the Company filed an offering statement in connection with a proposed offering of up to $25 million of its Series S Preferred Stock pursuant to Regulation A of the Securities Act, to raise additional capital for operations (the “2020 Regulation A Offering,” and together with the 2019 Regulation A Offering, the “Regulation A Offerings”). The offering statement was qualified by the Commission on October 21, 2020 and the Company commenced the 2020 Regulation A Offering shortly thereafter. As of December 31, 2020, the Company had raised approximately $2.5 million from the 2020 Regulation A Offering. The 2020 Regulation A Offering terminated on April 21, 2021. As of June 30, 2021, the Company had raised approximately $20.9 million from the 2020 Regulation A Offering. As of the date of this Offering Circular, the Company issued 2,107,330 shares of Series S Preferred Stock and raised gross proceeds of approximately $21.1 million from the 2020 Regulation A Offering.</w:t>
      </w:r>
    </w:p>
    <w:p>
      <w:pPr>
        <w:spacing w:after="0" w:line="281"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60"/>
          </w:cols>
          <w:pgMar w:left="300" w:top="698" w:right="339" w:bottom="1440" w:gutter="0" w:footer="0" w:header="0"/>
        </w:sectPr>
      </w:pPr>
    </w:p>
    <w:bookmarkStart w:id="33" w:name="page34"/>
    <w:bookmarkEnd w:id="33"/>
    <w:p>
      <w:pPr>
        <w:spacing w:after="0"/>
        <w:rPr>
          <w:sz w:val="20"/>
          <w:szCs w:val="20"/>
          <w:color w:val="auto"/>
        </w:rPr>
      </w:pPr>
      <w:r>
        <w:rPr>
          <w:rFonts w:ascii="Arial" w:cs="Arial" w:eastAsia="Arial" w:hAnsi="Arial"/>
          <w:sz w:val="13"/>
          <w:szCs w:val="13"/>
          <w:b w:val="1"/>
          <w:bCs w:val="1"/>
          <w:i w:val="1"/>
          <w:iCs w:val="1"/>
          <w:color w:val="auto"/>
        </w:rPr>
        <w:t>Convertible Promissory Notes and Series S Preferred Stock Warrants, and the Related Conversion of Certain Series m-3 Preferred Stock into Series m-4 Preferred Stock</w:t>
      </w:r>
    </w:p>
    <w:p>
      <w:pPr>
        <w:spacing w:after="0" w:line="163" w:lineRule="exact"/>
        <w:rPr>
          <w:sz w:val="20"/>
          <w:szCs w:val="20"/>
          <w:color w:val="auto"/>
        </w:rPr>
      </w:pPr>
    </w:p>
    <w:p>
      <w:pPr>
        <w:spacing w:after="0" w:line="275" w:lineRule="auto"/>
        <w:rPr>
          <w:sz w:val="20"/>
          <w:szCs w:val="20"/>
          <w:color w:val="auto"/>
        </w:rPr>
      </w:pPr>
      <w:r>
        <w:rPr>
          <w:rFonts w:ascii="Arial" w:cs="Arial" w:eastAsia="Arial" w:hAnsi="Arial"/>
          <w:sz w:val="12"/>
          <w:szCs w:val="12"/>
          <w:color w:val="auto"/>
        </w:rPr>
        <w:t>On April 30, 2019 the Company signed a Note and Warrant Purchase Agreement under the form of which the Company can issue up to $15,000,000 of convertible promissory notes and warrants to purchase up to 3,000,000 shares of Series S Preferred Stock (20% warrant coverage) (the “Convertible Note Financing”). Pursuant to the terms of the Convertible Note Financing, the Company became obligated to exchange certain of its outstanding shares of Series m-3 Preferred Stock for the newly authorized shares of Series m-4 Preferred Stock upon the closing of at least $1,000,000 in aggregate principal amount of convertible promissory notes under the Convertible Note Financing. On June 10, 2019, the Company issued, to the same group of Convertible Note Financing investors, 1,432,786 shares of its Series m-4 Preferred Stock in exchange for 1,432,786 shares of its shares of Series m-3 Preferred Stock held by such investors. The Series m-4 Preferred Stock has a senior liquidation preference to all other Preferred Stock and Common Stock of the Company, has an accruing payment in kind dividend in the form of Series m-4 Preferred Stock of 12%, and has certain other preferential rights, including voting rights, as further explained in the Company’s amended and restated certificate of incorporation. Exchange of Series m-3 Preferred Stock for Series m-4 Preferred Stock was inclusive of inducement expenses of $0.9 million (see Note 4 to the audited financial statements for details). Warrants to purchase shares of Series S Preferred Stock of the Company were also issued to investors who invested in the Convertible Note Financing. The warrants to purchase shares of Series S Preferred Stock have an exercise price of $4.50 per share and expire on the earlier of December 31, 2021 or 18 months after the closing of the Company’s first firm commitment underwritten initial public offering of the Company’s common stock pursuant to a registration statement filed under the Securities Act. The convertible promissory notes have a maturity date of January 1, 2022, provide for interest at a rate of 12% per annum upon the maturity date, are generally the most senior company security (subject to limited subordination carve-outs) and provide for significant discounts upon a qualified financing or an initial public offering, and for a premium upon a change of control. As of June 30, 2021, the Company had issued convertible notes in the aggregate principal amount of $5,128,570 (out of $15,000,000). A warrant for the purchase up to 1,025,714 shares of Series S Preferred Stock was also issued and accrued for, respectively, to the same convertible note holders. The warrants have an exercise price of $4.50 per share and expire on the earlier of December 31, 2021 or 18 months after the closing of the Company’s first firm commitment underwritten initial public offering of the Company’s common stock pursuant to a registration statement filed under the Securities Act (the “IPO”). During September and October 2021, the Company received $3.0 million in the form of Convertible Notes containing the same terms and conditions as previously issued Convertible Notes and, in connection with the additional funds received, issued 600,000 warrants.</w:t>
      </w:r>
    </w:p>
    <w:p>
      <w:pPr>
        <w:spacing w:after="0" w:line="129" w:lineRule="exact"/>
        <w:rPr>
          <w:sz w:val="20"/>
          <w:szCs w:val="20"/>
          <w:color w:val="auto"/>
        </w:rPr>
      </w:pPr>
    </w:p>
    <w:p>
      <w:pPr>
        <w:ind w:right="40"/>
        <w:spacing w:after="0" w:line="307" w:lineRule="auto"/>
        <w:rPr>
          <w:sz w:val="20"/>
          <w:szCs w:val="20"/>
          <w:color w:val="auto"/>
        </w:rPr>
      </w:pPr>
      <w:r>
        <w:rPr>
          <w:rFonts w:ascii="Arial" w:cs="Arial" w:eastAsia="Arial" w:hAnsi="Arial"/>
          <w:sz w:val="11"/>
          <w:szCs w:val="11"/>
          <w:color w:val="auto"/>
        </w:rPr>
        <w:t>On November 18, 2021, the Company issued an additional convertible note under the Note and Warrant Purchase Agreement in the principal amount of $6,580,500 and an additional warrant to purchase 1,316,100 shares of Series S Preferred Stock. Also on November 18, 2021, the Company agreed to amend the Note and Warrant Purchase Agreement and the convertible notes and warrants to purchase Series S Preferred Stock issued thereunder principally as follows: (i) the scheduled maturity date of the convertible notes was extended from January 1, 2022 to January 1, 2024, (ii) the interest rate of the convertible notes was reduced from 12% per annum to 3% per annum starting on January 1, 2022, (iii) the conversion terms of the convertible notes were revised so that the convertible notes will automatically convert into Class A Common Stock upon the listing of the Company’s common stock for trading on a nationally recognized securities exchange (e.g., the New York Stock Exchange) or inter-dealer quotation system (e.g., Nasdaq), (iv) the exercise period of the warrants was extended from December 31, 2021 to December 31, 2024 and will commence on January 1, 2023, and (v) the cashless exercise feature was removed from the warrants. The conversion price of the convertible notes for conversion into Class A Common Stock was not changed and remains at $2.50 per share as of the date of this Offering Circular. The exercise price of the warrants to purchase Series S Preferred Stock was not changed and remains at $4.50 per share as of the date of this Offering Circular. The Company may continue to issue convertible notes pursuant to the terms of the Convertible Note Financing.</w:t>
      </w:r>
    </w:p>
    <w:p>
      <w:pPr>
        <w:spacing w:after="0" w:line="113" w:lineRule="exact"/>
        <w:rPr>
          <w:sz w:val="20"/>
          <w:szCs w:val="20"/>
          <w:color w:val="auto"/>
        </w:rPr>
      </w:pPr>
    </w:p>
    <w:p>
      <w:pPr>
        <w:ind w:right="60"/>
        <w:spacing w:after="0" w:line="255" w:lineRule="auto"/>
        <w:rPr>
          <w:sz w:val="20"/>
          <w:szCs w:val="20"/>
          <w:color w:val="auto"/>
        </w:rPr>
      </w:pPr>
      <w:r>
        <w:rPr>
          <w:rFonts w:ascii="Arial" w:cs="Arial" w:eastAsia="Arial" w:hAnsi="Arial"/>
          <w:sz w:val="13"/>
          <w:szCs w:val="13"/>
          <w:color w:val="auto"/>
        </w:rPr>
        <w:t>In connection with the Convertible Note Financing, William Santana Li, the Chief Executive Officer and sole director of the Company, was granted a voting proxy to vote substantially all of the shares of the Company’s Series m-4 Preferred Stock, and the stock issued upon the conversion of warrants to purchase all of the shares of the Company’s Series m-3 Preferred Stock and upon the conversion of warrants to purchase shares of the Company’s Series S Preferred Stock, and the stock issuable upon conversion of the convertible promissory notes issued as part of the Convertible Note Financing, in each case to the extent that such shares are held by participants in the Convertible Note Financing (the “Voting Proxy”). The votes held by Mr. Li as a result of the conversion of outstanding convertible securities subject to the Voting Proxy cannot be determined as of the date of this Offering Circular, but the outstanding securities to which the Voting Proxy applies represents approximately 2.74% of the Company’s aggregate voting power as of June 30, 2021.</w:t>
      </w:r>
    </w:p>
    <w:p>
      <w:pPr>
        <w:spacing w:after="0" w:line="142" w:lineRule="exact"/>
        <w:rPr>
          <w:sz w:val="20"/>
          <w:szCs w:val="20"/>
          <w:color w:val="auto"/>
        </w:rPr>
      </w:pPr>
    </w:p>
    <w:p>
      <w:pPr>
        <w:ind w:right="100"/>
        <w:spacing w:after="0" w:line="256" w:lineRule="auto"/>
        <w:rPr>
          <w:sz w:val="20"/>
          <w:szCs w:val="20"/>
          <w:color w:val="auto"/>
        </w:rPr>
      </w:pPr>
      <w:r>
        <w:rPr>
          <w:rFonts w:ascii="Arial" w:cs="Arial" w:eastAsia="Arial" w:hAnsi="Arial"/>
          <w:sz w:val="13"/>
          <w:szCs w:val="13"/>
          <w:color w:val="auto"/>
        </w:rPr>
        <w:t>The Series S Preferred Stock has a right to convert at any time into Class A Common Stock. The initial conversion rate was 1:1, which conversion rate will continue to be adjusted pursuant to the broad-based weighted average anti-dilution adjustment provisions provided for in the Company’s amended and restated certificate of incorporation, including without limitation as a result of the issuance of warrants to purchase Series S Preferred Stock in connection with the Convertible Note Financing referenced in the paragraph above, which continued to have closings simultaneously with the Regulation D Offering and the Regulation A Offerings of Series S Preferred Stock. As of June 30,2021, the conversion rate was adjusted to 1.0406 shares of Class A Common Stock for every 1 share of Series S Preferred Stock. As of November 18, 2021, the conversion rate was adjusted to 1.1069.</w:t>
      </w:r>
    </w:p>
    <w:p>
      <w:pPr>
        <w:spacing w:after="0" w:line="141"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Credit Facilities</w:t>
      </w:r>
    </w:p>
    <w:p>
      <w:pPr>
        <w:spacing w:after="0" w:line="163" w:lineRule="exact"/>
        <w:rPr>
          <w:sz w:val="20"/>
          <w:szCs w:val="20"/>
          <w:color w:val="auto"/>
        </w:rPr>
      </w:pPr>
    </w:p>
    <w:p>
      <w:pPr>
        <w:ind w:right="120"/>
        <w:spacing w:after="0" w:line="294" w:lineRule="auto"/>
        <w:rPr>
          <w:sz w:val="20"/>
          <w:szCs w:val="20"/>
          <w:color w:val="auto"/>
        </w:rPr>
      </w:pPr>
      <w:r>
        <w:rPr>
          <w:rFonts w:ascii="Arial" w:cs="Arial" w:eastAsia="Arial" w:hAnsi="Arial"/>
          <w:sz w:val="12"/>
          <w:szCs w:val="12"/>
          <w:color w:val="auto"/>
        </w:rPr>
        <w:t>In November 2016, the Company granted each of Structural Capital Investments II, LP and Structural Capital Investments II-C, LP a warrant to purchase an aggregate of 53,918 Series B Preferred Stock shares. The warrants have an exercise price of $2.0401 per share and expire upon the later of November 7, 2026 or two years following the Company’s firm commitment underwritten initial public offering of the Company’s common stock pursuant to a registration statement filed under the Securities Act, provided that the aggregate gross proceeds to the Company are not less than $50,000,000.</w:t>
      </w:r>
    </w:p>
    <w:p>
      <w:pPr>
        <w:spacing w:after="0" w:line="275"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34" w:name="page35"/>
    <w:bookmarkEnd w:id="34"/>
    <w:p>
      <w:pPr>
        <w:ind w:right="120"/>
        <w:spacing w:after="0" w:line="256" w:lineRule="auto"/>
        <w:rPr>
          <w:sz w:val="20"/>
          <w:szCs w:val="20"/>
          <w:color w:val="auto"/>
        </w:rPr>
      </w:pPr>
      <w:r>
        <w:rPr>
          <w:rFonts w:ascii="Arial" w:cs="Arial" w:eastAsia="Arial" w:hAnsi="Arial"/>
          <w:sz w:val="13"/>
          <w:szCs w:val="13"/>
          <w:color w:val="auto"/>
        </w:rPr>
        <w:t>In May 2018, the Company entered into a Loan and Security Agreement with Silicon Valley Bank, which allowed for individual term loans to be drawn in amounts totaling up to $3,500,000 (the “SVB Loan Facility”). The Company had the ability to draw funds under the SVB Loan Facility until the earlier of January 10, 2019 or an event of default. Each individual term loan called for 18 equal monthly payments of principal plus accrued interest which would fully amortize the term loan. Outstanding borrowings under the term loan agreement bore interest at a floating rate of 1.75% above the prime rate as published in the Wall Street Journal. Only one individual term loan in the amount of $425,000 was drawn by the Company in May 2018. The loan was fully repaid in February 2019 in connection with a new $3 million dollars debt received from Farnam.</w:t>
      </w:r>
    </w:p>
    <w:p>
      <w:pPr>
        <w:spacing w:after="0" w:line="141" w:lineRule="exact"/>
        <w:rPr>
          <w:sz w:val="20"/>
          <w:szCs w:val="20"/>
          <w:color w:val="auto"/>
        </w:rPr>
      </w:pPr>
    </w:p>
    <w:p>
      <w:pPr>
        <w:ind w:right="180"/>
        <w:spacing w:after="0" w:line="274" w:lineRule="auto"/>
        <w:rPr>
          <w:sz w:val="20"/>
          <w:szCs w:val="20"/>
          <w:color w:val="auto"/>
        </w:rPr>
      </w:pPr>
      <w:r>
        <w:rPr>
          <w:rFonts w:ascii="Arial" w:cs="Arial" w:eastAsia="Arial" w:hAnsi="Arial"/>
          <w:sz w:val="13"/>
          <w:szCs w:val="13"/>
          <w:color w:val="auto"/>
        </w:rPr>
        <w:t>In connection with the SVB Loan Facility, the Company granted Silicon Valley Bank a warrant to purchase up to 77,413 shares of the Company’s Class B Common Stock at an exercise price of $1.26 per share and which expires on the earlier of ten years from the date of the warrant or a change of control of the Company.</w:t>
      </w:r>
    </w:p>
    <w:p>
      <w:pPr>
        <w:spacing w:after="0" w:line="128" w:lineRule="exact"/>
        <w:rPr>
          <w:sz w:val="20"/>
          <w:szCs w:val="20"/>
          <w:color w:val="auto"/>
        </w:rPr>
      </w:pPr>
    </w:p>
    <w:p>
      <w:pPr>
        <w:spacing w:after="0" w:line="279" w:lineRule="auto"/>
        <w:rPr>
          <w:sz w:val="20"/>
          <w:szCs w:val="20"/>
          <w:color w:val="auto"/>
        </w:rPr>
      </w:pPr>
      <w:r>
        <w:rPr>
          <w:rFonts w:ascii="Arial" w:cs="Arial" w:eastAsia="Arial" w:hAnsi="Arial"/>
          <w:sz w:val="12"/>
          <w:szCs w:val="12"/>
          <w:color w:val="auto"/>
        </w:rPr>
        <w:t>In order to obtain capital to finance our operations, in February 2019 the Company entered into a financing arrangement with Farnam for $3,000,000 (the “Farnam Financing Arrangement”). Under this Farnam Financing Arrangement, we collateralized fifty (50) ASRs and have an initial repayment period of two years for a monthly payment of $121,129 plus tax and an option to purchase these ASRs back for $1,350,000 plus tax or, at the end of the two-year period (March 2021) we can elect to extend the repayment period for an additional year at a monthly payment of $66,621 plus tax with a final payment of $600,000 plus tax at the end of the additional year. The effective interest rate under the two and three-year repayment periods is 35% and 31%, respectively. On April 24, 2020, we amended the Farnam Financing Arrangement with Farnam by deferring the March and April 2020 payments due to Farnam to the end of the Farnam Financing Arrangement and by extending the term of the agreement by two months and forgoing security deposit of $242,120 paid to Farnam. The Farnam Financing Arrangement with Farnam was terminated and settled in November 2020, with no subsequent payments due to Farnam. The final payment to Farnam consisted of the aggregate amount of remaining payments due through March 2021 and a reduced equipment purchase amount of $1,000,000 plus tax.</w:t>
      </w:r>
    </w:p>
    <w:p>
      <w:pPr>
        <w:spacing w:after="0" w:line="128" w:lineRule="exact"/>
        <w:rPr>
          <w:sz w:val="20"/>
          <w:szCs w:val="20"/>
          <w:color w:val="auto"/>
        </w:rPr>
      </w:pPr>
    </w:p>
    <w:p>
      <w:pPr>
        <w:ind w:right="200"/>
        <w:spacing w:after="0" w:line="317" w:lineRule="auto"/>
        <w:rPr>
          <w:sz w:val="20"/>
          <w:szCs w:val="20"/>
          <w:color w:val="auto"/>
        </w:rPr>
      </w:pPr>
      <w:r>
        <w:rPr>
          <w:rFonts w:ascii="Arial" w:cs="Arial" w:eastAsia="Arial" w:hAnsi="Arial"/>
          <w:sz w:val="12"/>
          <w:szCs w:val="12"/>
          <w:color w:val="auto"/>
        </w:rPr>
        <w:t>On December 9, 2019, the Company entered into a Financing Arrangement with Reliant Funding (“December 2019 Financing Arrangement”) to receive $250,000 to be repaid in sixty-three (63) equal payments of $4,599 per business day over approximately three months. The annual effective interest rate of this December 2019 Financing Arrangement was 37%. The loan was paid off on March 11, 2020.</w:t>
      </w:r>
    </w:p>
    <w:p>
      <w:pPr>
        <w:spacing w:after="0" w:line="105" w:lineRule="exact"/>
        <w:rPr>
          <w:sz w:val="20"/>
          <w:szCs w:val="20"/>
          <w:color w:val="auto"/>
        </w:rPr>
      </w:pPr>
    </w:p>
    <w:p>
      <w:pPr>
        <w:ind w:right="20"/>
        <w:spacing w:after="0" w:line="317" w:lineRule="auto"/>
        <w:rPr>
          <w:sz w:val="20"/>
          <w:szCs w:val="20"/>
          <w:color w:val="auto"/>
        </w:rPr>
      </w:pPr>
      <w:r>
        <w:rPr>
          <w:rFonts w:ascii="Arial" w:cs="Arial" w:eastAsia="Arial" w:hAnsi="Arial"/>
          <w:sz w:val="12"/>
          <w:szCs w:val="12"/>
          <w:color w:val="auto"/>
        </w:rPr>
        <w:t>On March 19, 2020, we entered into a Financing Agreement with Wall Street Funding (“March 2020 Financing Arrangement”). Under the March 2020 Financing Arrangement, the Company received $300,000 which was repaid over one hundred (100) equal payments of $4,080 payable each business day. The effective interest rate under this repayment period is 419%. The loan was paid off on August 07, 2020.</w:t>
      </w:r>
    </w:p>
    <w:p>
      <w:pPr>
        <w:spacing w:after="0" w:line="105" w:lineRule="exact"/>
        <w:rPr>
          <w:sz w:val="20"/>
          <w:szCs w:val="20"/>
          <w:color w:val="auto"/>
        </w:rPr>
      </w:pPr>
    </w:p>
    <w:p>
      <w:pPr>
        <w:ind w:right="80"/>
        <w:spacing w:after="0" w:line="254" w:lineRule="auto"/>
        <w:rPr>
          <w:sz w:val="20"/>
          <w:szCs w:val="20"/>
          <w:color w:val="auto"/>
        </w:rPr>
      </w:pPr>
      <w:r>
        <w:rPr>
          <w:rFonts w:ascii="Arial" w:cs="Arial" w:eastAsia="Arial" w:hAnsi="Arial"/>
          <w:sz w:val="13"/>
          <w:szCs w:val="13"/>
          <w:color w:val="auto"/>
        </w:rPr>
        <w:t>The Paycheck Protection Program (“PPP”) was established under the Coronavirus Aid, Relief, and Economic Security Act (the “CARES Act”) and is administered by the U.S. Small Business Administration (“SBA”). On April 24, 2020, the Company, entered into a promissory note evidencing an unsecured loan in the aggregate amount of approximately $822,851 made to Knightscope under the PPP (the “PPP Loan”). The PPP Loan to Knightscope is being made through Fresno First Bank. The interest rate on the PPP Loan was 1.00% and the term is two years. In accordance with the updated SBA guidance, the PPP Loan was modified so that, beginning ten months from the date of the PPP Loan, the Company was required to make monthly payments of principal and interest. The promissory note evidencing the PPP Loan contained customary events of default relating to, among other things, payment defaults or breaching the terms of the PPP Loan documents. The occurrence of an event of default could result in the repayment of, the PPP Loan and collection of all other amounts that might be owing from Knightscope or filing suit and obtaining judgment against Knightscope. Under the terms of the CARES Act, PPP Loan recipients could apply for and be granted forgiveness for all or a portion of the loans granted under the PPP. Such forgiveness is determined, subject to limitations, based primarily on the use of loan proceeds for payment of payroll costs and any payments of mortgage interest, rent, and utilities.</w:t>
      </w:r>
    </w:p>
    <w:p>
      <w:pPr>
        <w:spacing w:after="0" w:line="142" w:lineRule="exact"/>
        <w:rPr>
          <w:sz w:val="20"/>
          <w:szCs w:val="20"/>
          <w:color w:val="auto"/>
        </w:rPr>
      </w:pPr>
    </w:p>
    <w:p>
      <w:pPr>
        <w:ind w:right="60"/>
        <w:spacing w:after="0" w:line="283" w:lineRule="auto"/>
        <w:rPr>
          <w:sz w:val="20"/>
          <w:szCs w:val="20"/>
          <w:color w:val="auto"/>
        </w:rPr>
      </w:pPr>
      <w:r>
        <w:rPr>
          <w:rFonts w:ascii="Arial" w:cs="Arial" w:eastAsia="Arial" w:hAnsi="Arial"/>
          <w:sz w:val="12"/>
          <w:szCs w:val="12"/>
          <w:color w:val="auto"/>
        </w:rPr>
        <w:t>In October 2020, the Company was notified that the terms of its PPP Loan with Fresno First Bank were modified. The time period during which the Company could spend the proceeds of the PPP Loan (the “covered period”) was extended from 8 weeks to 24 weeks. The date to begin repaying unforgiven portions of the PPP Loan was also extended from 6 months after the funding date to up to 10 months after the end of the covered period (approximately 16 months from the funding date) depending on when the Company applied for forgiveness. The SBA would also cover interest on the forgiven portion of the loan during this period. There was no change to the maturity date of the PPP Loan and the PPP Loan was required to be repaid or forgiven within two years after the funding date. The Company submitted its PPP Loan forgiveness application to the SBA in January 2021. The PPP Loan of $822,851 and the accrued interest of $8,960 were forgiven by the SBA on May 20, 2021.</w:t>
      </w:r>
    </w:p>
    <w:p>
      <w:pPr>
        <w:spacing w:after="0" w:line="281"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35" w:name="page36"/>
    <w:bookmarkEnd w:id="35"/>
    <w:p>
      <w:pPr>
        <w:spacing w:after="0"/>
        <w:rPr>
          <w:sz w:val="20"/>
          <w:szCs w:val="20"/>
          <w:color w:val="auto"/>
        </w:rPr>
      </w:pPr>
      <w:r>
        <w:rPr>
          <w:rFonts w:ascii="Arial" w:cs="Arial" w:eastAsia="Arial" w:hAnsi="Arial"/>
          <w:sz w:val="13"/>
          <w:szCs w:val="13"/>
          <w:b w:val="1"/>
          <w:bCs w:val="1"/>
          <w:color w:val="auto"/>
        </w:rPr>
        <w:t>Critical Accounting Policies and Estimates</w:t>
      </w:r>
    </w:p>
    <w:p>
      <w:pPr>
        <w:spacing w:after="0" w:line="167" w:lineRule="exact"/>
        <w:rPr>
          <w:sz w:val="20"/>
          <w:szCs w:val="20"/>
          <w:color w:val="auto"/>
        </w:rPr>
      </w:pPr>
    </w:p>
    <w:p>
      <w:pPr>
        <w:ind w:right="60"/>
        <w:spacing w:after="0" w:line="255" w:lineRule="auto"/>
        <w:rPr>
          <w:sz w:val="20"/>
          <w:szCs w:val="20"/>
          <w:color w:val="auto"/>
        </w:rPr>
      </w:pPr>
      <w:r>
        <w:rPr>
          <w:rFonts w:ascii="Arial" w:cs="Arial" w:eastAsia="Arial" w:hAnsi="Arial"/>
          <w:sz w:val="13"/>
          <w:szCs w:val="13"/>
          <w:color w:val="auto"/>
        </w:rPr>
        <w:t>The discussion and analysis of our financial condition and results of operations is based upon our accompanying financial statements, which have been prepared in accordance with U.S. GAAP. The preparation of these financial statements requires us to make estimates, assumptions and judgments that can have significant impact on the reported amounts of assets and liabilities, revenues and expenses, and related disclosure of assets and liabilities at the date of our financial statements. For the Company, these estimates include, but are not limited to deriving the useful lives of ASRs, determination of the cost of ASRs, assessing assets for impairment, and the valuation of convertible preferred stock warrants. Actual results could differ from those estimates. We base our estimates, assumptions and judgments on historical experience and various other factors that we believe to be reasonable under the circumstances. Actual results may differ from these estimates under different assumptions or conditions. On a regular basis, we evaluate our estimates, assumptions and judgments and make changes accordingly.</w:t>
      </w:r>
    </w:p>
    <w:p>
      <w:pPr>
        <w:spacing w:after="0" w:line="142"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Useful Life of the ASRs</w:t>
      </w:r>
    </w:p>
    <w:p>
      <w:pPr>
        <w:spacing w:after="0" w:line="163" w:lineRule="exact"/>
        <w:rPr>
          <w:sz w:val="20"/>
          <w:szCs w:val="20"/>
          <w:color w:val="auto"/>
        </w:rPr>
      </w:pPr>
    </w:p>
    <w:p>
      <w:pPr>
        <w:ind w:right="40"/>
        <w:spacing w:after="0" w:line="262" w:lineRule="auto"/>
        <w:rPr>
          <w:sz w:val="20"/>
          <w:szCs w:val="20"/>
          <w:color w:val="auto"/>
        </w:rPr>
      </w:pPr>
      <w:r>
        <w:rPr>
          <w:rFonts w:ascii="Arial" w:cs="Arial" w:eastAsia="Arial" w:hAnsi="Arial"/>
          <w:sz w:val="13"/>
          <w:szCs w:val="13"/>
          <w:color w:val="auto"/>
        </w:rPr>
        <w:t>Depreciation on the ASRs is recorded using the straight-line method over the expected life of the asset, which ranges from three to four and half years. The useful life of the ASRs will at times need to be evaluated to assess whether the remaining useful lives continue to be appropriate or require adjustments to reflect changes in the functionalities of the ASRs, the potential effects from the introduction of new versions and upgrades, and technological obsolescence.</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Impairment of Long-Lived Assets</w:t>
      </w:r>
    </w:p>
    <w:p>
      <w:pPr>
        <w:spacing w:after="0" w:line="163" w:lineRule="exact"/>
        <w:rPr>
          <w:sz w:val="20"/>
          <w:szCs w:val="20"/>
          <w:color w:val="auto"/>
        </w:rPr>
      </w:pPr>
    </w:p>
    <w:p>
      <w:pPr>
        <w:spacing w:after="0" w:line="256" w:lineRule="auto"/>
        <w:rPr>
          <w:sz w:val="20"/>
          <w:szCs w:val="20"/>
          <w:color w:val="auto"/>
        </w:rPr>
      </w:pPr>
      <w:r>
        <w:rPr>
          <w:rFonts w:ascii="Arial" w:cs="Arial" w:eastAsia="Arial" w:hAnsi="Arial"/>
          <w:sz w:val="13"/>
          <w:szCs w:val="13"/>
          <w:color w:val="auto"/>
        </w:rPr>
        <w:t>We assess the impairment of long-lived assets whenever events or changes in circumstances indicate that their carrying value may not be recoverable from the estimated future cash flows expected to result from their use or eventual disposition. If estimates of future undiscounted net cash flows are insufficient to recover the carrying value of the assets, we will record an impairment loss in the amount by which the carrying value exceeds the fair value. If the assets are determined to be recoverable, but the useful lives are shorter than originally estimated, we will depreciate or amortize the net book value of the assets over the newly determined remaining useful lives of such assets. None of the Company’s ASRs or property and equipment was determined to be impaired as of December 31, 2020 and December 31, 2019. Accordingly, no impairment loss has been recognized in any of the periods presented.</w:t>
      </w:r>
    </w:p>
    <w:p>
      <w:pPr>
        <w:spacing w:after="0" w:line="141"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Estimated Fair Value of Convertible Preferred Stock Warrants</w:t>
      </w:r>
    </w:p>
    <w:p>
      <w:pPr>
        <w:spacing w:after="0" w:line="163" w:lineRule="exact"/>
        <w:rPr>
          <w:sz w:val="20"/>
          <w:szCs w:val="20"/>
          <w:color w:val="auto"/>
        </w:rPr>
      </w:pPr>
    </w:p>
    <w:p>
      <w:pPr>
        <w:ind w:right="20"/>
        <w:spacing w:after="0" w:line="255" w:lineRule="auto"/>
        <w:rPr>
          <w:sz w:val="20"/>
          <w:szCs w:val="20"/>
          <w:color w:val="auto"/>
        </w:rPr>
      </w:pPr>
      <w:r>
        <w:rPr>
          <w:rFonts w:ascii="Arial" w:cs="Arial" w:eastAsia="Arial" w:hAnsi="Arial"/>
          <w:sz w:val="13"/>
          <w:szCs w:val="13"/>
          <w:color w:val="auto"/>
        </w:rPr>
        <w:t>Freestanding warrants for preferred shares that are contingently redeemable upon a liquidation event of the Company are classified as a liability on the balance sheet at their estimated fair value. At the end of each reporting period, the change in estimated fair value during the period is recorded in other income (expense), net in the statements of operations. With the assistance of an unrelated third-party valuation specialist, we historically have estimated the fair values of these warrants using the Backsolve method based on the proximity of the valuation date to the closing of a financing, or a combination of both the Backsolve method from recent financings and the discounted cashflow method. We then utilized an option pricing model to allocate the enterprise value of the Company to the warrants. We will continue to adjust the carrying value of the warrants until such time as these instruments are exercised, expire or convert into warrants to purchase shares of common stock. At that time, the liabilities will be reclassified to additional paid-in-capital, a component of stockholders’ deficit.</w:t>
      </w:r>
    </w:p>
    <w:p>
      <w:pPr>
        <w:spacing w:after="0" w:line="138"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Recent Accounting Pronouncements</w:t>
      </w:r>
    </w:p>
    <w:p>
      <w:pPr>
        <w:spacing w:after="0" w:line="167" w:lineRule="exact"/>
        <w:rPr>
          <w:sz w:val="20"/>
          <w:szCs w:val="20"/>
          <w:color w:val="auto"/>
        </w:rPr>
      </w:pPr>
    </w:p>
    <w:p>
      <w:pPr>
        <w:ind w:right="220"/>
        <w:spacing w:after="0" w:line="274" w:lineRule="auto"/>
        <w:rPr>
          <w:sz w:val="20"/>
          <w:szCs w:val="20"/>
          <w:color w:val="auto"/>
        </w:rPr>
      </w:pPr>
      <w:r>
        <w:rPr>
          <w:rFonts w:ascii="Arial" w:cs="Arial" w:eastAsia="Arial" w:hAnsi="Arial"/>
          <w:sz w:val="13"/>
          <w:szCs w:val="13"/>
          <w:color w:val="auto"/>
        </w:rPr>
        <w:t>See Note 1 to both our audited and unaudited financial statements under the captions Accounting Pronouncements Adopted in 2020 (2021 in the case of our unaudited financial statements) and Recent Accounting Pronouncements Not Yet Effective for a discussion of new accounting pronouncements.</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Material Weakness</w:t>
      </w:r>
    </w:p>
    <w:p>
      <w:pPr>
        <w:spacing w:after="0" w:line="167" w:lineRule="exact"/>
        <w:rPr>
          <w:sz w:val="20"/>
          <w:szCs w:val="20"/>
          <w:color w:val="auto"/>
        </w:rPr>
      </w:pPr>
    </w:p>
    <w:p>
      <w:pPr>
        <w:ind w:right="20"/>
        <w:spacing w:after="0" w:line="279" w:lineRule="auto"/>
        <w:rPr>
          <w:sz w:val="20"/>
          <w:szCs w:val="20"/>
          <w:color w:val="auto"/>
        </w:rPr>
      </w:pPr>
      <w:r>
        <w:rPr>
          <w:rFonts w:ascii="Arial" w:cs="Arial" w:eastAsia="Arial" w:hAnsi="Arial"/>
          <w:sz w:val="12"/>
          <w:szCs w:val="12"/>
          <w:color w:val="auto"/>
        </w:rPr>
        <w:t>In connection with the audit of our financial statements for the year ended December 31, 2020, our independent registered public accounting firm identified a material weakness in our internal control over financial reporting. A “material weakness” is a deficiency, or a combination of deficiencies, in internal control over financial reporting such that there is a reasonable possibility that a material misstatement of our annual or interim financial statements will not be prevented or detected on a timely basis. The material weakness related to certain corporate finance and accounting oversight functions within certain account areas and supporting records and the timely completion of the accounting records and review of the Company’s Annual Report on Form 1-K, which was primarily the result of the lack of sufficient and competent accounting and finance resources. Commencing in the quarter ended December 31, 2020, the Company hired a full-time, in-house accounting team, including a CFO who has the requisite U.S. GAAP and Commission reporting expertise, to address this weakness and to implement new controls and procedures to address this weakness in 2021. As of the date of this Offering Circular, continued effort has been made to remediate the material weakness by implementing new workflows and internal controls to ensure the accuracy of the Company’s financial reporting.</w:t>
      </w:r>
    </w:p>
    <w:p>
      <w:pPr>
        <w:spacing w:after="0" w:line="285" w:lineRule="exact"/>
        <w:rPr>
          <w:sz w:val="20"/>
          <w:szCs w:val="20"/>
          <w:color w:val="auto"/>
        </w:rPr>
      </w:pPr>
    </w:p>
    <w:p>
      <w:pPr>
        <w:jc w:val="center"/>
        <w:ind w:right="-79"/>
        <w:spacing w:after="0"/>
        <w:rPr>
          <w:sz w:val="20"/>
          <w:szCs w:val="20"/>
          <w:color w:val="auto"/>
        </w:rPr>
      </w:pPr>
      <w:r>
        <w:rPr>
          <w:rFonts w:ascii="Arial" w:cs="Arial" w:eastAsia="Arial" w:hAnsi="Arial"/>
          <w:sz w:val="13"/>
          <w:szCs w:val="13"/>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60"/>
          </w:cols>
          <w:pgMar w:left="300" w:top="694" w:right="339" w:bottom="1440" w:gutter="0" w:footer="0" w:header="0"/>
        </w:sectPr>
      </w:pPr>
    </w:p>
    <w:bookmarkStart w:id="36" w:name="page37"/>
    <w:bookmarkEnd w:id="36"/>
    <w:p>
      <w:pPr>
        <w:spacing w:after="0"/>
        <w:rPr>
          <w:sz w:val="20"/>
          <w:szCs w:val="20"/>
          <w:color w:val="auto"/>
        </w:rPr>
      </w:pPr>
      <w:r>
        <w:rPr>
          <w:rFonts w:ascii="Arial" w:cs="Arial" w:eastAsia="Arial" w:hAnsi="Arial"/>
          <w:sz w:val="13"/>
          <w:szCs w:val="13"/>
          <w:b w:val="1"/>
          <w:bCs w:val="1"/>
          <w:color w:val="auto"/>
        </w:rPr>
        <w:t>Changes in Certifying Accountant</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Dismissal of Independent Accounting Firm</w:t>
      </w:r>
    </w:p>
    <w:p>
      <w:pPr>
        <w:spacing w:after="0" w:line="163"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On November 2, 2020, the Company’s board of directors approved and ratified the appointment of BPM LLP (“BPM”) as the Company’s independent accounting firm for the fiscal year ending December 31, 2020. In connection with its selection of BPM, the board of directors approved the dismissal of its former independent accounting firm, Ernst &amp; Young LLP (“Ernst &amp; Young”).</w:t>
      </w:r>
    </w:p>
    <w:p>
      <w:pPr>
        <w:spacing w:after="0" w:line="128" w:lineRule="exact"/>
        <w:rPr>
          <w:sz w:val="20"/>
          <w:szCs w:val="20"/>
          <w:color w:val="auto"/>
        </w:rPr>
      </w:pPr>
    </w:p>
    <w:p>
      <w:pPr>
        <w:ind w:right="80"/>
        <w:spacing w:after="0" w:line="262" w:lineRule="auto"/>
        <w:rPr>
          <w:sz w:val="20"/>
          <w:szCs w:val="20"/>
          <w:color w:val="auto"/>
        </w:rPr>
      </w:pPr>
      <w:r>
        <w:rPr>
          <w:rFonts w:ascii="Arial" w:cs="Arial" w:eastAsia="Arial" w:hAnsi="Arial"/>
          <w:sz w:val="13"/>
          <w:szCs w:val="13"/>
          <w:color w:val="auto"/>
        </w:rPr>
        <w:t>Ernst &amp; Young’s audit reports on the Company’s financial statements for the fiscal years ended December 31, 2019 and December 31, 2018 did not contain any adverse opinion or disclaimer of opinion, and were not qualified or modified as to any uncertainty, audit scope or accounting principle, except that such reports for the years ended December 31, 2019 and 2018 contained an explanatory paragraph with respect to the uncertainty about the Company’s ability to continue as a going concern.</w:t>
      </w:r>
    </w:p>
    <w:p>
      <w:pPr>
        <w:spacing w:after="0" w:line="136" w:lineRule="exact"/>
        <w:rPr>
          <w:sz w:val="20"/>
          <w:szCs w:val="20"/>
          <w:color w:val="auto"/>
        </w:rPr>
      </w:pPr>
    </w:p>
    <w:p>
      <w:pPr>
        <w:ind w:right="80"/>
        <w:spacing w:after="0" w:line="256" w:lineRule="auto"/>
        <w:rPr>
          <w:sz w:val="20"/>
          <w:szCs w:val="20"/>
          <w:color w:val="auto"/>
        </w:rPr>
      </w:pPr>
      <w:r>
        <w:rPr>
          <w:rFonts w:ascii="Arial" w:cs="Arial" w:eastAsia="Arial" w:hAnsi="Arial"/>
          <w:sz w:val="13"/>
          <w:szCs w:val="13"/>
          <w:color w:val="auto"/>
        </w:rPr>
        <w:t>During the fiscal years ended December 31, 2019 and December 31, 2018 and through the subsequent date of dismissal, there were no disagreements (as defined in Item 304(a)(1)(iv) of Regulation S-K and the related instructions) between the Company and Ernst &amp; Young on any matter of accounting principles or practices, financial statement disclosure, or auditing scope or procedure, which, if not resolved to Ernst &amp; Young’s satisfaction, would have caused Ernst &amp; Young to make reference to the matter in their report. During the fiscal years ended December 31, 2019 and December 31, 2018 and through the subsequent date of dismissal there were no reportable events (as defined in Item 304(a)(1)(v) of Regulation S-K), except for the material weaknesses in our internal control over financial reporting disclosed in the Company’s Form 1-K for the year ended December 31, 2019, as discussed below:</w:t>
      </w:r>
    </w:p>
    <w:p>
      <w:pPr>
        <w:spacing w:after="0" w:line="141" w:lineRule="exact"/>
        <w:rPr>
          <w:sz w:val="20"/>
          <w:szCs w:val="20"/>
          <w:color w:val="auto"/>
        </w:rPr>
      </w:pPr>
    </w:p>
    <w:p>
      <w:pPr>
        <w:ind w:left="460" w:right="20"/>
        <w:spacing w:after="0" w:line="281" w:lineRule="auto"/>
        <w:rPr>
          <w:sz w:val="20"/>
          <w:szCs w:val="20"/>
          <w:color w:val="auto"/>
        </w:rPr>
      </w:pPr>
      <w:r>
        <w:rPr>
          <w:rFonts w:ascii="Arial" w:cs="Arial" w:eastAsia="Arial" w:hAnsi="Arial"/>
          <w:sz w:val="12"/>
          <w:szCs w:val="12"/>
          <w:color w:val="auto"/>
        </w:rPr>
        <w:t>In connection with the audit of our financial statements for the year ended December 31, 2019, our independent auditor identified material weaknesses in our internal control over financial reporting. The material weaknesses related to certain corporate finance and accounting oversight functions residing over the detection of errors that were present within the Company’s valuation of its common stock and other equity instruments, the accounting for and the balance sheet and cashflow presentation of material amounts of funding received in advance of issuing the respective convertible preferred stock notes and warrants and the timely completion and review of the Company’s Annual Report on Form 1-K, which were primarily the result of the lack of sufficient and competent accounting and finance resources. In the quarter ended December 31, 2020, the Company hired a full-time, in-house accounting team, including a CFO who has the requisite U.S. GAAP and Commission reporting expertise, to address these weaknesses and to implement new controls and procedures to address these weaknesses in 2021.</w:t>
      </w:r>
    </w:p>
    <w:p>
      <w:pPr>
        <w:spacing w:after="0" w:line="126" w:lineRule="exact"/>
        <w:rPr>
          <w:sz w:val="20"/>
          <w:szCs w:val="20"/>
          <w:color w:val="auto"/>
        </w:rPr>
      </w:pPr>
    </w:p>
    <w:p>
      <w:pPr>
        <w:ind w:right="60"/>
        <w:spacing w:after="0" w:line="294" w:lineRule="auto"/>
        <w:rPr>
          <w:sz w:val="20"/>
          <w:szCs w:val="20"/>
          <w:color w:val="auto"/>
        </w:rPr>
      </w:pPr>
      <w:r>
        <w:rPr>
          <w:rFonts w:ascii="Arial" w:cs="Arial" w:eastAsia="Arial" w:hAnsi="Arial"/>
          <w:sz w:val="12"/>
          <w:szCs w:val="12"/>
          <w:color w:val="auto"/>
        </w:rPr>
        <w:t>The Company reported the change in certifying accountant in a Current Report on Form 1-U filed with the Commission on November 5, 2020 (the “Form 1-U”), provided Ernst &amp; Young with a copy of the Form 1-U and requested that Ernst &amp; Young provide the Company with a letter addressed to the Commission indicating whether or not Ernst &amp; Young agreed with the disclosures contained in the Form 1-U and, if not, the respects in which it was not in agreement. A copy of Ernst &amp; Young’s letter, dated November 2, 2020, is filed as an exhibit to the Offering Statement of which this Offering Circular forms a part.</w:t>
      </w:r>
    </w:p>
    <w:p>
      <w:pPr>
        <w:spacing w:after="0" w:line="119"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Appointment of Independent Accounting Firm</w:t>
      </w:r>
    </w:p>
    <w:p>
      <w:pPr>
        <w:spacing w:after="0" w:line="163" w:lineRule="exact"/>
        <w:rPr>
          <w:sz w:val="20"/>
          <w:szCs w:val="20"/>
          <w:color w:val="auto"/>
        </w:rPr>
      </w:pPr>
    </w:p>
    <w:p>
      <w:pPr>
        <w:ind w:right="40"/>
        <w:spacing w:after="0" w:line="320" w:lineRule="auto"/>
        <w:rPr>
          <w:sz w:val="20"/>
          <w:szCs w:val="20"/>
          <w:color w:val="auto"/>
        </w:rPr>
      </w:pPr>
      <w:r>
        <w:rPr>
          <w:rFonts w:ascii="Arial" w:cs="Arial" w:eastAsia="Arial" w:hAnsi="Arial"/>
          <w:sz w:val="11"/>
          <w:szCs w:val="11"/>
          <w:color w:val="auto"/>
        </w:rPr>
        <w:t>On November 2, 2020, the board of directors approved and ratified the appointment of BPM as the Company’s new independent accounting firm. As of that date, neither the Company nor anyone acting on its behalf consulted with BPM regarding (i) the application of accounting principles to a specified transaction, either completed or proposed, (ii) the type of audit opinion that might be rendered on the Company’s financial statements, and neither a written report nor oral advice was provided to the Company that BPM concluded was an important factor considered by the Company in reaching a decision as to any accounting, auditing, or financial reporting issue or (iii) any matter that was either the subject of a “disagreement” or “reportable event” (as each term is defined in Item 304(a)(1)(iv) and (v) of Regulation S-K, respectively).</w:t>
      </w:r>
    </w:p>
    <w:p>
      <w:pPr>
        <w:spacing w:after="0" w:line="10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Trend Information</w:t>
      </w:r>
    </w:p>
    <w:p>
      <w:pPr>
        <w:spacing w:after="0" w:line="167" w:lineRule="exact"/>
        <w:rPr>
          <w:sz w:val="20"/>
          <w:szCs w:val="20"/>
          <w:color w:val="auto"/>
        </w:rPr>
      </w:pPr>
    </w:p>
    <w:p>
      <w:pPr>
        <w:ind w:right="40"/>
        <w:spacing w:after="0" w:line="274" w:lineRule="auto"/>
        <w:rPr>
          <w:sz w:val="20"/>
          <w:szCs w:val="20"/>
          <w:color w:val="auto"/>
        </w:rPr>
      </w:pPr>
      <w:r>
        <w:rPr>
          <w:rFonts w:ascii="Arial" w:cs="Arial" w:eastAsia="Arial" w:hAnsi="Arial"/>
          <w:sz w:val="13"/>
          <w:szCs w:val="13"/>
          <w:color w:val="auto"/>
        </w:rPr>
        <w:t>Our primary goal remains meeting client demands for additional orders of our technology and ensuring consistent performance in the field. We are focused on scaling our business to meet incoming orders. Increasing demand, along with media coverage in the United States, has driven and continues to drive an increase in orders and client inquiries.</w:t>
      </w:r>
    </w:p>
    <w:p>
      <w:pPr>
        <w:spacing w:after="0" w:line="128" w:lineRule="exact"/>
        <w:rPr>
          <w:sz w:val="20"/>
          <w:szCs w:val="20"/>
          <w:color w:val="auto"/>
        </w:rPr>
      </w:pPr>
    </w:p>
    <w:p>
      <w:pPr>
        <w:ind w:right="60"/>
        <w:spacing w:after="0" w:line="258" w:lineRule="auto"/>
        <w:rPr>
          <w:sz w:val="20"/>
          <w:szCs w:val="20"/>
          <w:color w:val="auto"/>
        </w:rPr>
      </w:pPr>
      <w:r>
        <w:rPr>
          <w:rFonts w:ascii="Arial" w:cs="Arial" w:eastAsia="Arial" w:hAnsi="Arial"/>
          <w:sz w:val="13"/>
          <w:szCs w:val="13"/>
          <w:color w:val="auto"/>
        </w:rPr>
        <w:t>Sales trends for the six months ended June 30, 2021, showed demand across all of Knightscope’s product service lines. The sales pipeline continues to grow and is strong, though similar to many business-to-business transactions, the enterprise sales cycle is lengthy. Although we have executed contracts in less than 30 days, notionally these negotiations can range up to several years, taking into account the client’s budget, finance, legal, cyber security, human resources, facilities and other reviews. The sales process for this brand-new technology requires significant streamlining and improvements, and we are taking steps to ensure our sales processes are robust, repeatable, and can enable our products to move through the sales pipeline quicker.</w:t>
      </w:r>
    </w:p>
    <w:p>
      <w:pPr>
        <w:spacing w:after="0" w:line="139" w:lineRule="exact"/>
        <w:rPr>
          <w:sz w:val="20"/>
          <w:szCs w:val="20"/>
          <w:color w:val="auto"/>
        </w:rPr>
      </w:pPr>
    </w:p>
    <w:p>
      <w:pPr>
        <w:ind w:right="60"/>
        <w:spacing w:after="0" w:line="258" w:lineRule="auto"/>
        <w:rPr>
          <w:sz w:val="20"/>
          <w:szCs w:val="20"/>
          <w:color w:val="auto"/>
        </w:rPr>
      </w:pPr>
      <w:r>
        <w:rPr>
          <w:rFonts w:ascii="Arial" w:cs="Arial" w:eastAsia="Arial" w:hAnsi="Arial"/>
          <w:sz w:val="13"/>
          <w:szCs w:val="13"/>
          <w:color w:val="auto"/>
        </w:rPr>
        <w:t>Manufacturers in the United States have felt the impacts of the COVID-19 pandemic, both positively and negatively. For Knightscope, we experienced a slowdown in new deployments of our ASR’s resulting from the temporary or permanent closure of many businesses during 2020. In addition, several of our clients across various industries paused their contracts due to these closures. During the first half of 2021, the economy began to reopen, and some companies had a renewed focus on creating safe and secure environments for their employees and customers. As a result, Knightscope experienced an uptick in sales activities, which helped to offset the loss of clients who, for a variety of reasons, chose not to renew their MaaS agreements.</w:t>
      </w:r>
    </w:p>
    <w:p>
      <w:pPr>
        <w:spacing w:after="0" w:line="296"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37" w:name="page38"/>
    <w:bookmarkEnd w:id="37"/>
    <w:p>
      <w:pPr>
        <w:spacing w:after="0" w:line="307" w:lineRule="auto"/>
        <w:rPr>
          <w:sz w:val="20"/>
          <w:szCs w:val="20"/>
          <w:color w:val="auto"/>
        </w:rPr>
      </w:pPr>
      <w:r>
        <w:rPr>
          <w:rFonts w:ascii="Arial" w:cs="Arial" w:eastAsia="Arial" w:hAnsi="Arial"/>
          <w:sz w:val="11"/>
          <w:szCs w:val="11"/>
          <w:color w:val="auto"/>
        </w:rPr>
        <w:t>However, during the first half of 2021, both the lack of resources, including supply chain delays and cash, as well as the COVID-19 pandemic have had a negative impact on the Company's performance. Manufacturers have felt this shortage of labor which has resulted in many supply-chain issues, such as lack of goods and rising prices. Additionally, transportation costs and limited availability, both domestically and internationally, have increased shipping costs record high levels and lead times of key raw materials. To date, Knightscope has started to feel the impact of these challenges, and it is likely to continue throughout 2021 as well as 2022 and 2023. The increased cost of components and freight as well as ongoing delays are likely to have an impact on sales and profitability. Supply chain issues, in particular raw material lead times, may cause delays in deploying our ASR’s to new client sites, which in turn will impact the timing of our revenue recognition on new contracts. The Company’s cash position in 2020 significantly curtailed its ability to fund working capital requirements to meet demand as well as the associated headcount to execute on the business. Additionally, a portion of clients hardest hit by COVID-19 restrictions have had to terminate or place on hold their service due to budget constraints, and numerous others have had to delay deployments due to accessibility to their premises during shelter-in-place orders. However, the Company has continued to sign on new clients during the pandemic and, with the influx of new capital has begun to fund and build inventory, as well as recruit, which we believe will partially offset the negative impact on performance.</w:t>
      </w:r>
    </w:p>
    <w:p>
      <w:pPr>
        <w:spacing w:after="0" w:line="113" w:lineRule="exact"/>
        <w:rPr>
          <w:sz w:val="20"/>
          <w:szCs w:val="20"/>
          <w:color w:val="auto"/>
        </w:rPr>
      </w:pPr>
    </w:p>
    <w:p>
      <w:pPr>
        <w:jc w:val="both"/>
        <w:ind w:right="20"/>
        <w:spacing w:after="0" w:line="262" w:lineRule="auto"/>
        <w:rPr>
          <w:sz w:val="20"/>
          <w:szCs w:val="20"/>
          <w:color w:val="auto"/>
        </w:rPr>
      </w:pPr>
      <w:r>
        <w:rPr>
          <w:rFonts w:ascii="Arial" w:cs="Arial" w:eastAsia="Arial" w:hAnsi="Arial"/>
          <w:sz w:val="13"/>
          <w:szCs w:val="13"/>
          <w:color w:val="auto"/>
        </w:rPr>
        <w:t>Due to numerous geopolitical events, new safety requirements resulting from the COVID-19 pandemic, as well as various high-profile incidents of violence across the United States, we believe that the market for our technologies will continue to grow. At the same time, we expect that competing products may appear in the marketplace in the near future, creating pressures on us to improve on our production methods, cost, quality and product features.</w:t>
      </w:r>
    </w:p>
    <w:p>
      <w:pPr>
        <w:spacing w:after="0" w:line="293"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60"/>
          </w:cols>
          <w:pgMar w:left="300" w:top="698" w:right="339" w:bottom="1440" w:gutter="0" w:footer="0" w:header="0"/>
        </w:sectPr>
      </w:pPr>
    </w:p>
    <w:bookmarkStart w:id="38" w:name="page39"/>
    <w:bookmarkEnd w:id="38"/>
    <w:p>
      <w:pPr>
        <w:spacing w:after="0"/>
        <w:rPr>
          <w:sz w:val="20"/>
          <w:szCs w:val="20"/>
          <w:color w:val="auto"/>
        </w:rPr>
      </w:pPr>
      <w:r>
        <w:rPr>
          <w:rFonts w:ascii="Arial" w:cs="Arial" w:eastAsia="Arial" w:hAnsi="Arial"/>
          <w:sz w:val="13"/>
          <w:szCs w:val="13"/>
          <w:b w:val="1"/>
          <w:bCs w:val="1"/>
          <w:color w:val="auto"/>
        </w:rPr>
        <w:t>DIRECTORS, EXECUTIVE OFFICERS AND SIGNIFICANT EMPLOYEES</w:t>
      </w:r>
    </w:p>
    <w:p>
      <w:pPr>
        <w:spacing w:after="0" w:line="167" w:lineRule="exact"/>
        <w:rPr>
          <w:sz w:val="20"/>
          <w:szCs w:val="20"/>
          <w:color w:val="auto"/>
        </w:rPr>
      </w:pPr>
    </w:p>
    <w:p>
      <w:pPr>
        <w:ind w:right="120"/>
        <w:spacing w:after="0" w:line="317" w:lineRule="auto"/>
        <w:rPr>
          <w:sz w:val="20"/>
          <w:szCs w:val="20"/>
          <w:color w:val="auto"/>
        </w:rPr>
      </w:pPr>
      <w:r>
        <w:rPr>
          <w:rFonts w:ascii="Arial" w:cs="Arial" w:eastAsia="Arial" w:hAnsi="Arial"/>
          <w:sz w:val="12"/>
          <w:szCs w:val="12"/>
          <w:color w:val="auto"/>
        </w:rPr>
        <w:t>The Company’s executive officers and key members of the management team (the “Leadership”) and the sole member of the board of directors of the Company are listed below. The sole director and Leadership are full-time employees. The Company has applied to list the Class A Common Stock on Nasdaq. Upon listing on Nasdaq, the Company intends to seat the 6 director nominees named below.</w:t>
      </w:r>
    </w:p>
    <w:p>
      <w:pPr>
        <w:spacing w:after="0" w:line="101" w:lineRule="exact"/>
        <w:rPr>
          <w:sz w:val="20"/>
          <w:szCs w:val="20"/>
          <w:color w:val="auto"/>
        </w:rPr>
      </w:pPr>
    </w:p>
    <w:tbl>
      <w:tblPr>
        <w:tblLayout w:type="fixed"/>
        <w:tblInd w:w="0" w:type="dxa"/>
        <w:tblCellMar>
          <w:top w:w="0" w:type="dxa"/>
          <w:left w:w="0" w:type="dxa"/>
          <w:bottom w:w="0" w:type="dxa"/>
          <w:right w:w="0" w:type="dxa"/>
        </w:tblCellMar>
      </w:tblPr>
      <w:tr>
        <w:trPr>
          <w:trHeight w:val="174"/>
        </w:trPr>
        <w:tc>
          <w:tcPr>
            <w:tcW w:w="2040" w:type="dxa"/>
            <w:vAlign w:val="bottom"/>
            <w:tcBorders>
              <w:bottom w:val="single" w:sz="8" w:color="auto"/>
            </w:tcBorders>
          </w:tcPr>
          <w:p>
            <w:pPr>
              <w:spacing w:after="0"/>
              <w:rPr>
                <w:sz w:val="20"/>
                <w:szCs w:val="20"/>
                <w:color w:val="auto"/>
              </w:rPr>
            </w:pPr>
            <w:r>
              <w:rPr>
                <w:rFonts w:ascii="Arial" w:cs="Arial" w:eastAsia="Arial" w:hAnsi="Arial"/>
                <w:sz w:val="13"/>
                <w:szCs w:val="13"/>
                <w:b w:val="1"/>
                <w:bCs w:val="1"/>
                <w:color w:val="auto"/>
              </w:rPr>
              <w:t>Name</w:t>
            </w:r>
          </w:p>
        </w:tc>
        <w:tc>
          <w:tcPr>
            <w:tcW w:w="100" w:type="dxa"/>
            <w:vAlign w:val="bottom"/>
          </w:tcPr>
          <w:p>
            <w:pPr>
              <w:spacing w:after="0"/>
              <w:rPr>
                <w:sz w:val="15"/>
                <w:szCs w:val="15"/>
                <w:color w:val="auto"/>
              </w:rPr>
            </w:pPr>
          </w:p>
        </w:tc>
        <w:tc>
          <w:tcPr>
            <w:tcW w:w="2840" w:type="dxa"/>
            <w:vAlign w:val="bottom"/>
            <w:tcBorders>
              <w:bottom w:val="single" w:sz="8" w:color="auto"/>
            </w:tcBorders>
          </w:tcPr>
          <w:p>
            <w:pPr>
              <w:ind w:left="960"/>
              <w:spacing w:after="0"/>
              <w:rPr>
                <w:sz w:val="20"/>
                <w:szCs w:val="20"/>
                <w:color w:val="auto"/>
              </w:rPr>
            </w:pPr>
            <w:r>
              <w:rPr>
                <w:rFonts w:ascii="Arial" w:cs="Arial" w:eastAsia="Arial" w:hAnsi="Arial"/>
                <w:sz w:val="13"/>
                <w:szCs w:val="13"/>
                <w:b w:val="1"/>
                <w:bCs w:val="1"/>
                <w:color w:val="auto"/>
              </w:rPr>
              <w:t>Current Position</w:t>
            </w:r>
          </w:p>
        </w:tc>
        <w:tc>
          <w:tcPr>
            <w:tcW w:w="120" w:type="dxa"/>
            <w:vAlign w:val="bottom"/>
          </w:tcPr>
          <w:p>
            <w:pPr>
              <w:spacing w:after="0"/>
              <w:rPr>
                <w:sz w:val="15"/>
                <w:szCs w:val="15"/>
                <w:color w:val="auto"/>
              </w:rPr>
            </w:pPr>
          </w:p>
        </w:tc>
        <w:tc>
          <w:tcPr>
            <w:tcW w:w="560" w:type="dxa"/>
            <w:vAlign w:val="bottom"/>
            <w:tcBorders>
              <w:bottom w:val="single" w:sz="8" w:color="auto"/>
            </w:tcBorders>
          </w:tcPr>
          <w:p>
            <w:pPr>
              <w:jc w:val="center"/>
              <w:spacing w:after="0"/>
              <w:rPr>
                <w:sz w:val="20"/>
                <w:szCs w:val="20"/>
                <w:color w:val="auto"/>
              </w:rPr>
            </w:pPr>
            <w:r>
              <w:rPr>
                <w:rFonts w:ascii="Arial" w:cs="Arial" w:eastAsia="Arial" w:hAnsi="Arial"/>
                <w:sz w:val="13"/>
                <w:szCs w:val="13"/>
                <w:b w:val="1"/>
                <w:bCs w:val="1"/>
                <w:color w:val="auto"/>
                <w:w w:val="89"/>
              </w:rPr>
              <w:t>Age</w:t>
            </w:r>
          </w:p>
        </w:tc>
        <w:tc>
          <w:tcPr>
            <w:tcW w:w="100" w:type="dxa"/>
            <w:vAlign w:val="bottom"/>
          </w:tcPr>
          <w:p>
            <w:pPr>
              <w:spacing w:after="0"/>
              <w:rPr>
                <w:sz w:val="15"/>
                <w:szCs w:val="15"/>
                <w:color w:val="auto"/>
              </w:rPr>
            </w:pPr>
          </w:p>
        </w:tc>
        <w:tc>
          <w:tcPr>
            <w:tcW w:w="5520" w:type="dxa"/>
            <w:vAlign w:val="bottom"/>
            <w:tcBorders>
              <w:bottom w:val="single" w:sz="8" w:color="auto"/>
            </w:tcBorders>
          </w:tcPr>
          <w:p>
            <w:pPr>
              <w:ind w:left="1780"/>
              <w:spacing w:after="0"/>
              <w:rPr>
                <w:sz w:val="20"/>
                <w:szCs w:val="20"/>
                <w:color w:val="auto"/>
              </w:rPr>
            </w:pPr>
            <w:r>
              <w:rPr>
                <w:rFonts w:ascii="Arial" w:cs="Arial" w:eastAsia="Arial" w:hAnsi="Arial"/>
                <w:sz w:val="13"/>
                <w:szCs w:val="13"/>
                <w:b w:val="1"/>
                <w:bCs w:val="1"/>
                <w:color w:val="auto"/>
              </w:rPr>
              <w:t>Date Appointed to Current Position</w:t>
            </w:r>
          </w:p>
        </w:tc>
      </w:tr>
      <w:tr>
        <w:trPr>
          <w:trHeight w:val="307"/>
        </w:trPr>
        <w:tc>
          <w:tcPr>
            <w:tcW w:w="5100" w:type="dxa"/>
            <w:vAlign w:val="bottom"/>
            <w:gridSpan w:val="4"/>
          </w:tcPr>
          <w:p>
            <w:pPr>
              <w:spacing w:after="0"/>
              <w:rPr>
                <w:sz w:val="20"/>
                <w:szCs w:val="20"/>
                <w:color w:val="auto"/>
              </w:rPr>
            </w:pPr>
            <w:r>
              <w:rPr>
                <w:rFonts w:ascii="Arial" w:cs="Arial" w:eastAsia="Arial" w:hAnsi="Arial"/>
                <w:sz w:val="13"/>
                <w:szCs w:val="13"/>
                <w:color w:val="auto"/>
              </w:rPr>
              <w:t>Director, Executive Officers, and Key Employees:</w:t>
            </w:r>
          </w:p>
        </w:tc>
        <w:tc>
          <w:tcPr>
            <w:tcW w:w="5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5520" w:type="dxa"/>
            <w:vAlign w:val="bottom"/>
          </w:tcPr>
          <w:p>
            <w:pPr>
              <w:spacing w:after="0"/>
              <w:rPr>
                <w:sz w:val="24"/>
                <w:szCs w:val="24"/>
                <w:color w:val="auto"/>
              </w:rPr>
            </w:pPr>
          </w:p>
        </w:tc>
      </w:tr>
      <w:tr>
        <w:trPr>
          <w:trHeight w:val="305"/>
        </w:trPr>
        <w:tc>
          <w:tcPr>
            <w:tcW w:w="2140" w:type="dxa"/>
            <w:vAlign w:val="bottom"/>
            <w:gridSpan w:val="2"/>
          </w:tcPr>
          <w:p>
            <w:pPr>
              <w:spacing w:after="0"/>
              <w:rPr>
                <w:sz w:val="20"/>
                <w:szCs w:val="20"/>
                <w:color w:val="auto"/>
              </w:rPr>
            </w:pPr>
            <w:r>
              <w:rPr>
                <w:rFonts w:ascii="Arial" w:cs="Arial" w:eastAsia="Arial" w:hAnsi="Arial"/>
                <w:sz w:val="13"/>
                <w:szCs w:val="13"/>
                <w:color w:val="auto"/>
              </w:rPr>
              <w:t>William Santana Li</w:t>
            </w:r>
          </w:p>
        </w:tc>
        <w:tc>
          <w:tcPr>
            <w:tcW w:w="2960" w:type="dxa"/>
            <w:vAlign w:val="bottom"/>
            <w:gridSpan w:val="2"/>
          </w:tcPr>
          <w:p>
            <w:pPr>
              <w:spacing w:after="0"/>
              <w:rPr>
                <w:sz w:val="20"/>
                <w:szCs w:val="20"/>
                <w:color w:val="auto"/>
              </w:rPr>
            </w:pPr>
            <w:r>
              <w:rPr>
                <w:rFonts w:ascii="Arial" w:cs="Arial" w:eastAsia="Arial" w:hAnsi="Arial"/>
                <w:sz w:val="13"/>
                <w:szCs w:val="13"/>
                <w:color w:val="auto"/>
              </w:rPr>
              <w:t>Chairman and CEO</w:t>
            </w:r>
          </w:p>
        </w:tc>
        <w:tc>
          <w:tcPr>
            <w:tcW w:w="560" w:type="dxa"/>
            <w:vAlign w:val="bottom"/>
          </w:tcPr>
          <w:p>
            <w:pPr>
              <w:jc w:val="center"/>
              <w:spacing w:after="0"/>
              <w:rPr>
                <w:sz w:val="20"/>
                <w:szCs w:val="20"/>
                <w:color w:val="auto"/>
              </w:rPr>
            </w:pPr>
            <w:r>
              <w:rPr>
                <w:rFonts w:ascii="Arial" w:cs="Arial" w:eastAsia="Arial" w:hAnsi="Arial"/>
                <w:sz w:val="13"/>
                <w:szCs w:val="13"/>
                <w:color w:val="auto"/>
                <w:w w:val="82"/>
              </w:rPr>
              <w:t>51</w:t>
            </w:r>
          </w:p>
        </w:tc>
        <w:tc>
          <w:tcPr>
            <w:tcW w:w="5620" w:type="dxa"/>
            <w:vAlign w:val="bottom"/>
            <w:gridSpan w:val="2"/>
          </w:tcPr>
          <w:p>
            <w:pPr>
              <w:ind w:left="100"/>
              <w:spacing w:after="0"/>
              <w:rPr>
                <w:sz w:val="20"/>
                <w:szCs w:val="20"/>
                <w:color w:val="auto"/>
              </w:rPr>
            </w:pPr>
            <w:r>
              <w:rPr>
                <w:rFonts w:ascii="Arial" w:cs="Arial" w:eastAsia="Arial" w:hAnsi="Arial"/>
                <w:sz w:val="13"/>
                <w:szCs w:val="13"/>
                <w:color w:val="auto"/>
              </w:rPr>
              <w:t>Appointed to indefinite term of office April 5, 2013</w:t>
            </w:r>
          </w:p>
        </w:tc>
      </w:tr>
      <w:tr>
        <w:trPr>
          <w:trHeight w:val="156"/>
        </w:trPr>
        <w:tc>
          <w:tcPr>
            <w:tcW w:w="2140" w:type="dxa"/>
            <w:vAlign w:val="bottom"/>
            <w:gridSpan w:val="2"/>
          </w:tcPr>
          <w:p>
            <w:pPr>
              <w:spacing w:after="0"/>
              <w:rPr>
                <w:sz w:val="20"/>
                <w:szCs w:val="20"/>
                <w:color w:val="auto"/>
              </w:rPr>
            </w:pPr>
            <w:r>
              <w:rPr>
                <w:rFonts w:ascii="Arial" w:cs="Arial" w:eastAsia="Arial" w:hAnsi="Arial"/>
                <w:sz w:val="13"/>
                <w:szCs w:val="13"/>
                <w:color w:val="auto"/>
              </w:rPr>
              <w:t>Stacy Dean Stephens</w:t>
            </w:r>
          </w:p>
        </w:tc>
        <w:tc>
          <w:tcPr>
            <w:tcW w:w="2960" w:type="dxa"/>
            <w:vAlign w:val="bottom"/>
            <w:gridSpan w:val="2"/>
          </w:tcPr>
          <w:p>
            <w:pPr>
              <w:spacing w:after="0"/>
              <w:rPr>
                <w:sz w:val="20"/>
                <w:szCs w:val="20"/>
                <w:color w:val="auto"/>
              </w:rPr>
            </w:pPr>
            <w:r>
              <w:rPr>
                <w:rFonts w:ascii="Arial" w:cs="Arial" w:eastAsia="Arial" w:hAnsi="Arial"/>
                <w:sz w:val="13"/>
                <w:szCs w:val="13"/>
                <w:color w:val="auto"/>
              </w:rPr>
              <w:t>Chief Client Officer</w:t>
            </w:r>
          </w:p>
        </w:tc>
        <w:tc>
          <w:tcPr>
            <w:tcW w:w="560" w:type="dxa"/>
            <w:vAlign w:val="bottom"/>
          </w:tcPr>
          <w:p>
            <w:pPr>
              <w:jc w:val="center"/>
              <w:spacing w:after="0"/>
              <w:rPr>
                <w:sz w:val="20"/>
                <w:szCs w:val="20"/>
                <w:color w:val="auto"/>
              </w:rPr>
            </w:pPr>
            <w:r>
              <w:rPr>
                <w:rFonts w:ascii="Arial" w:cs="Arial" w:eastAsia="Arial" w:hAnsi="Arial"/>
                <w:sz w:val="13"/>
                <w:szCs w:val="13"/>
                <w:color w:val="auto"/>
                <w:w w:val="82"/>
              </w:rPr>
              <w:t>50</w:t>
            </w:r>
          </w:p>
        </w:tc>
        <w:tc>
          <w:tcPr>
            <w:tcW w:w="5620" w:type="dxa"/>
            <w:vAlign w:val="bottom"/>
            <w:gridSpan w:val="2"/>
          </w:tcPr>
          <w:p>
            <w:pPr>
              <w:ind w:left="100"/>
              <w:spacing w:after="0"/>
              <w:rPr>
                <w:sz w:val="20"/>
                <w:szCs w:val="20"/>
                <w:color w:val="auto"/>
              </w:rPr>
            </w:pPr>
            <w:r>
              <w:rPr>
                <w:rFonts w:ascii="Arial" w:cs="Arial" w:eastAsia="Arial" w:hAnsi="Arial"/>
                <w:sz w:val="13"/>
                <w:szCs w:val="13"/>
                <w:color w:val="auto"/>
              </w:rPr>
              <w:t>Reappointed to indefinite term of office June 18, 2018</w:t>
            </w:r>
          </w:p>
        </w:tc>
      </w:tr>
      <w:tr>
        <w:trPr>
          <w:trHeight w:val="156"/>
        </w:trPr>
        <w:tc>
          <w:tcPr>
            <w:tcW w:w="2140" w:type="dxa"/>
            <w:vAlign w:val="bottom"/>
            <w:gridSpan w:val="2"/>
          </w:tcPr>
          <w:p>
            <w:pPr>
              <w:spacing w:after="0"/>
              <w:rPr>
                <w:sz w:val="20"/>
                <w:szCs w:val="20"/>
                <w:color w:val="auto"/>
              </w:rPr>
            </w:pPr>
            <w:r>
              <w:rPr>
                <w:rFonts w:ascii="Arial" w:cs="Arial" w:eastAsia="Arial" w:hAnsi="Arial"/>
                <w:sz w:val="13"/>
                <w:szCs w:val="13"/>
                <w:color w:val="auto"/>
              </w:rPr>
              <w:t>Mallorie Burak</w:t>
            </w:r>
          </w:p>
        </w:tc>
        <w:tc>
          <w:tcPr>
            <w:tcW w:w="2960" w:type="dxa"/>
            <w:vAlign w:val="bottom"/>
            <w:gridSpan w:val="2"/>
          </w:tcPr>
          <w:p>
            <w:pPr>
              <w:spacing w:after="0"/>
              <w:rPr>
                <w:sz w:val="20"/>
                <w:szCs w:val="20"/>
                <w:color w:val="auto"/>
              </w:rPr>
            </w:pPr>
            <w:r>
              <w:rPr>
                <w:rFonts w:ascii="Arial" w:cs="Arial" w:eastAsia="Arial" w:hAnsi="Arial"/>
                <w:sz w:val="13"/>
                <w:szCs w:val="13"/>
                <w:color w:val="auto"/>
              </w:rPr>
              <w:t>Chief Financial Officer</w:t>
            </w:r>
          </w:p>
        </w:tc>
        <w:tc>
          <w:tcPr>
            <w:tcW w:w="560" w:type="dxa"/>
            <w:vAlign w:val="bottom"/>
          </w:tcPr>
          <w:p>
            <w:pPr>
              <w:jc w:val="center"/>
              <w:spacing w:after="0"/>
              <w:rPr>
                <w:sz w:val="20"/>
                <w:szCs w:val="20"/>
                <w:color w:val="auto"/>
              </w:rPr>
            </w:pPr>
            <w:r>
              <w:rPr>
                <w:rFonts w:ascii="Arial" w:cs="Arial" w:eastAsia="Arial" w:hAnsi="Arial"/>
                <w:sz w:val="13"/>
                <w:szCs w:val="13"/>
                <w:color w:val="auto"/>
                <w:w w:val="82"/>
              </w:rPr>
              <w:t>50</w:t>
            </w:r>
          </w:p>
        </w:tc>
        <w:tc>
          <w:tcPr>
            <w:tcW w:w="5620" w:type="dxa"/>
            <w:vAlign w:val="bottom"/>
            <w:gridSpan w:val="2"/>
          </w:tcPr>
          <w:p>
            <w:pPr>
              <w:ind w:left="100"/>
              <w:spacing w:after="0"/>
              <w:rPr>
                <w:sz w:val="20"/>
                <w:szCs w:val="20"/>
                <w:color w:val="auto"/>
              </w:rPr>
            </w:pPr>
            <w:r>
              <w:rPr>
                <w:rFonts w:ascii="Arial" w:cs="Arial" w:eastAsia="Arial" w:hAnsi="Arial"/>
                <w:sz w:val="13"/>
                <w:szCs w:val="13"/>
                <w:color w:val="auto"/>
              </w:rPr>
              <w:t>Appointed to indefinite term of office October 5, 2020</w:t>
            </w:r>
          </w:p>
        </w:tc>
      </w:tr>
      <w:tr>
        <w:trPr>
          <w:trHeight w:val="156"/>
        </w:trPr>
        <w:tc>
          <w:tcPr>
            <w:tcW w:w="2140" w:type="dxa"/>
            <w:vAlign w:val="bottom"/>
            <w:gridSpan w:val="2"/>
          </w:tcPr>
          <w:p>
            <w:pPr>
              <w:spacing w:after="0"/>
              <w:rPr>
                <w:sz w:val="20"/>
                <w:szCs w:val="20"/>
                <w:color w:val="auto"/>
              </w:rPr>
            </w:pPr>
            <w:r>
              <w:rPr>
                <w:rFonts w:ascii="Arial" w:cs="Arial" w:eastAsia="Arial" w:hAnsi="Arial"/>
                <w:sz w:val="13"/>
                <w:szCs w:val="13"/>
                <w:color w:val="auto"/>
              </w:rPr>
              <w:t>Mercedes Soria</w:t>
            </w:r>
          </w:p>
        </w:tc>
        <w:tc>
          <w:tcPr>
            <w:tcW w:w="2960" w:type="dxa"/>
            <w:vAlign w:val="bottom"/>
            <w:gridSpan w:val="2"/>
          </w:tcPr>
          <w:p>
            <w:pPr>
              <w:spacing w:after="0"/>
              <w:rPr>
                <w:sz w:val="20"/>
                <w:szCs w:val="20"/>
                <w:color w:val="auto"/>
              </w:rPr>
            </w:pPr>
            <w:r>
              <w:rPr>
                <w:rFonts w:ascii="Arial" w:cs="Arial" w:eastAsia="Arial" w:hAnsi="Arial"/>
                <w:sz w:val="13"/>
                <w:szCs w:val="13"/>
                <w:color w:val="auto"/>
              </w:rPr>
              <w:t>Chief Intelligence Officer</w:t>
            </w:r>
          </w:p>
        </w:tc>
        <w:tc>
          <w:tcPr>
            <w:tcW w:w="560" w:type="dxa"/>
            <w:vAlign w:val="bottom"/>
          </w:tcPr>
          <w:p>
            <w:pPr>
              <w:jc w:val="center"/>
              <w:spacing w:after="0"/>
              <w:rPr>
                <w:sz w:val="20"/>
                <w:szCs w:val="20"/>
                <w:color w:val="auto"/>
              </w:rPr>
            </w:pPr>
            <w:r>
              <w:rPr>
                <w:rFonts w:ascii="Arial" w:cs="Arial" w:eastAsia="Arial" w:hAnsi="Arial"/>
                <w:sz w:val="13"/>
                <w:szCs w:val="13"/>
                <w:color w:val="auto"/>
                <w:w w:val="82"/>
              </w:rPr>
              <w:t>47</w:t>
            </w:r>
          </w:p>
        </w:tc>
        <w:tc>
          <w:tcPr>
            <w:tcW w:w="5620" w:type="dxa"/>
            <w:vAlign w:val="bottom"/>
            <w:gridSpan w:val="2"/>
          </w:tcPr>
          <w:p>
            <w:pPr>
              <w:ind w:left="100"/>
              <w:spacing w:after="0"/>
              <w:rPr>
                <w:sz w:val="20"/>
                <w:szCs w:val="20"/>
                <w:color w:val="auto"/>
              </w:rPr>
            </w:pPr>
            <w:r>
              <w:rPr>
                <w:rFonts w:ascii="Arial" w:cs="Arial" w:eastAsia="Arial" w:hAnsi="Arial"/>
                <w:sz w:val="13"/>
                <w:szCs w:val="13"/>
                <w:color w:val="auto"/>
              </w:rPr>
              <w:t>Reappointed to indefinite term of office June 18, 2018</w:t>
            </w:r>
          </w:p>
        </w:tc>
      </w:tr>
      <w:tr>
        <w:trPr>
          <w:trHeight w:val="156"/>
        </w:trPr>
        <w:tc>
          <w:tcPr>
            <w:tcW w:w="2140" w:type="dxa"/>
            <w:vAlign w:val="bottom"/>
            <w:gridSpan w:val="2"/>
          </w:tcPr>
          <w:p>
            <w:pPr>
              <w:spacing w:after="0"/>
              <w:rPr>
                <w:sz w:val="20"/>
                <w:szCs w:val="20"/>
                <w:color w:val="auto"/>
              </w:rPr>
            </w:pPr>
            <w:r>
              <w:rPr>
                <w:rFonts w:ascii="Arial" w:cs="Arial" w:eastAsia="Arial" w:hAnsi="Arial"/>
                <w:sz w:val="13"/>
                <w:szCs w:val="13"/>
                <w:color w:val="auto"/>
              </w:rPr>
              <w:t>Aaron J. Lehnhardt</w:t>
            </w:r>
          </w:p>
        </w:tc>
        <w:tc>
          <w:tcPr>
            <w:tcW w:w="2960" w:type="dxa"/>
            <w:vAlign w:val="bottom"/>
            <w:gridSpan w:val="2"/>
          </w:tcPr>
          <w:p>
            <w:pPr>
              <w:spacing w:after="0"/>
              <w:rPr>
                <w:sz w:val="20"/>
                <w:szCs w:val="20"/>
                <w:color w:val="auto"/>
              </w:rPr>
            </w:pPr>
            <w:r>
              <w:rPr>
                <w:rFonts w:ascii="Arial" w:cs="Arial" w:eastAsia="Arial" w:hAnsi="Arial"/>
                <w:sz w:val="13"/>
                <w:szCs w:val="13"/>
                <w:color w:val="auto"/>
              </w:rPr>
              <w:t>Chief Design Officer</w:t>
            </w:r>
          </w:p>
        </w:tc>
        <w:tc>
          <w:tcPr>
            <w:tcW w:w="560" w:type="dxa"/>
            <w:vAlign w:val="bottom"/>
          </w:tcPr>
          <w:p>
            <w:pPr>
              <w:jc w:val="center"/>
              <w:spacing w:after="0"/>
              <w:rPr>
                <w:sz w:val="20"/>
                <w:szCs w:val="20"/>
                <w:color w:val="auto"/>
              </w:rPr>
            </w:pPr>
            <w:r>
              <w:rPr>
                <w:rFonts w:ascii="Arial" w:cs="Arial" w:eastAsia="Arial" w:hAnsi="Arial"/>
                <w:sz w:val="13"/>
                <w:szCs w:val="13"/>
                <w:color w:val="auto"/>
                <w:w w:val="82"/>
              </w:rPr>
              <w:t>48</w:t>
            </w:r>
          </w:p>
        </w:tc>
        <w:tc>
          <w:tcPr>
            <w:tcW w:w="5620" w:type="dxa"/>
            <w:vAlign w:val="bottom"/>
            <w:gridSpan w:val="2"/>
          </w:tcPr>
          <w:p>
            <w:pPr>
              <w:ind w:left="100"/>
              <w:spacing w:after="0"/>
              <w:rPr>
                <w:sz w:val="20"/>
                <w:szCs w:val="20"/>
                <w:color w:val="auto"/>
              </w:rPr>
            </w:pPr>
            <w:r>
              <w:rPr>
                <w:rFonts w:ascii="Arial" w:cs="Arial" w:eastAsia="Arial" w:hAnsi="Arial"/>
                <w:sz w:val="13"/>
                <w:szCs w:val="13"/>
                <w:color w:val="auto"/>
              </w:rPr>
              <w:t>Reappointed to indefinite term of office June 18, 2018</w:t>
            </w:r>
          </w:p>
        </w:tc>
      </w:tr>
      <w:tr>
        <w:trPr>
          <w:trHeight w:val="164"/>
        </w:trPr>
        <w:tc>
          <w:tcPr>
            <w:tcW w:w="2140" w:type="dxa"/>
            <w:vAlign w:val="bottom"/>
            <w:gridSpan w:val="2"/>
          </w:tcPr>
          <w:p>
            <w:pPr>
              <w:spacing w:after="0"/>
              <w:rPr>
                <w:sz w:val="20"/>
                <w:szCs w:val="20"/>
                <w:color w:val="auto"/>
              </w:rPr>
            </w:pPr>
            <w:r>
              <w:rPr>
                <w:rFonts w:ascii="Arial" w:cs="Arial" w:eastAsia="Arial" w:hAnsi="Arial"/>
                <w:sz w:val="13"/>
                <w:szCs w:val="13"/>
                <w:color w:val="auto"/>
              </w:rPr>
              <w:t>Peter M. Weinberg</w:t>
            </w:r>
          </w:p>
        </w:tc>
        <w:tc>
          <w:tcPr>
            <w:tcW w:w="2960" w:type="dxa"/>
            <w:vAlign w:val="bottom"/>
            <w:gridSpan w:val="2"/>
          </w:tcPr>
          <w:p>
            <w:pPr>
              <w:spacing w:after="0"/>
              <w:rPr>
                <w:sz w:val="20"/>
                <w:szCs w:val="20"/>
                <w:color w:val="auto"/>
              </w:rPr>
            </w:pPr>
            <w:r>
              <w:rPr>
                <w:rFonts w:ascii="Arial" w:cs="Arial" w:eastAsia="Arial" w:hAnsi="Arial"/>
                <w:sz w:val="13"/>
                <w:szCs w:val="13"/>
                <w:color w:val="auto"/>
              </w:rPr>
              <w:t>General Counsel</w:t>
            </w:r>
          </w:p>
        </w:tc>
        <w:tc>
          <w:tcPr>
            <w:tcW w:w="560" w:type="dxa"/>
            <w:vAlign w:val="bottom"/>
          </w:tcPr>
          <w:p>
            <w:pPr>
              <w:jc w:val="center"/>
              <w:spacing w:after="0"/>
              <w:rPr>
                <w:sz w:val="20"/>
                <w:szCs w:val="20"/>
                <w:color w:val="auto"/>
              </w:rPr>
            </w:pPr>
            <w:r>
              <w:rPr>
                <w:rFonts w:ascii="Arial" w:cs="Arial" w:eastAsia="Arial" w:hAnsi="Arial"/>
                <w:sz w:val="13"/>
                <w:szCs w:val="13"/>
                <w:color w:val="auto"/>
                <w:w w:val="82"/>
              </w:rPr>
              <w:t>60</w:t>
            </w:r>
          </w:p>
        </w:tc>
        <w:tc>
          <w:tcPr>
            <w:tcW w:w="5620" w:type="dxa"/>
            <w:vAlign w:val="bottom"/>
            <w:gridSpan w:val="2"/>
          </w:tcPr>
          <w:p>
            <w:pPr>
              <w:ind w:left="100"/>
              <w:spacing w:after="0"/>
              <w:rPr>
                <w:sz w:val="20"/>
                <w:szCs w:val="20"/>
                <w:color w:val="auto"/>
              </w:rPr>
            </w:pPr>
            <w:r>
              <w:rPr>
                <w:rFonts w:ascii="Arial" w:cs="Arial" w:eastAsia="Arial" w:hAnsi="Arial"/>
                <w:sz w:val="13"/>
                <w:szCs w:val="13"/>
                <w:color w:val="auto"/>
              </w:rPr>
              <w:t>Appointed to indefinite term of office July 1, 2021</w:t>
            </w:r>
          </w:p>
        </w:tc>
      </w:tr>
      <w:tr>
        <w:trPr>
          <w:trHeight w:val="305"/>
        </w:trPr>
        <w:tc>
          <w:tcPr>
            <w:tcW w:w="2140" w:type="dxa"/>
            <w:vAlign w:val="bottom"/>
            <w:gridSpan w:val="2"/>
          </w:tcPr>
          <w:p>
            <w:pPr>
              <w:spacing w:after="0"/>
              <w:rPr>
                <w:sz w:val="20"/>
                <w:szCs w:val="20"/>
                <w:color w:val="auto"/>
              </w:rPr>
            </w:pPr>
            <w:r>
              <w:rPr>
                <w:rFonts w:ascii="Arial" w:cs="Arial" w:eastAsia="Arial" w:hAnsi="Arial"/>
                <w:sz w:val="13"/>
                <w:szCs w:val="13"/>
                <w:color w:val="auto"/>
              </w:rPr>
              <w:t>Director Nominees:</w:t>
            </w:r>
          </w:p>
        </w:tc>
        <w:tc>
          <w:tcPr>
            <w:tcW w:w="28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5520" w:type="dxa"/>
            <w:vAlign w:val="bottom"/>
          </w:tcPr>
          <w:p>
            <w:pPr>
              <w:spacing w:after="0"/>
              <w:rPr>
                <w:sz w:val="24"/>
                <w:szCs w:val="24"/>
                <w:color w:val="auto"/>
              </w:rPr>
            </w:pPr>
          </w:p>
        </w:tc>
      </w:tr>
      <w:tr>
        <w:trPr>
          <w:trHeight w:val="156"/>
        </w:trPr>
        <w:tc>
          <w:tcPr>
            <w:tcW w:w="2140" w:type="dxa"/>
            <w:vAlign w:val="bottom"/>
            <w:gridSpan w:val="2"/>
          </w:tcPr>
          <w:p>
            <w:pPr>
              <w:spacing w:after="0"/>
              <w:rPr>
                <w:sz w:val="20"/>
                <w:szCs w:val="20"/>
                <w:color w:val="auto"/>
              </w:rPr>
            </w:pPr>
            <w:r>
              <w:rPr>
                <w:rFonts w:ascii="Arial" w:cs="Arial" w:eastAsia="Arial" w:hAnsi="Arial"/>
                <w:sz w:val="13"/>
                <w:szCs w:val="13"/>
                <w:color w:val="auto"/>
              </w:rPr>
              <w:t>Kristi Ross</w:t>
            </w:r>
          </w:p>
        </w:tc>
        <w:tc>
          <w:tcPr>
            <w:tcW w:w="2960" w:type="dxa"/>
            <w:vAlign w:val="bottom"/>
            <w:gridSpan w:val="2"/>
          </w:tcPr>
          <w:p>
            <w:pPr>
              <w:spacing w:after="0"/>
              <w:rPr>
                <w:sz w:val="20"/>
                <w:szCs w:val="20"/>
                <w:color w:val="auto"/>
              </w:rPr>
            </w:pPr>
            <w:r>
              <w:rPr>
                <w:rFonts w:ascii="Arial" w:cs="Arial" w:eastAsia="Arial" w:hAnsi="Arial"/>
                <w:sz w:val="13"/>
                <w:szCs w:val="13"/>
                <w:color w:val="auto"/>
              </w:rPr>
              <w:t>Director Nominee</w:t>
            </w:r>
          </w:p>
        </w:tc>
        <w:tc>
          <w:tcPr>
            <w:tcW w:w="560" w:type="dxa"/>
            <w:vAlign w:val="bottom"/>
          </w:tcPr>
          <w:p>
            <w:pPr>
              <w:jc w:val="center"/>
              <w:spacing w:after="0"/>
              <w:rPr>
                <w:sz w:val="20"/>
                <w:szCs w:val="20"/>
                <w:color w:val="auto"/>
              </w:rPr>
            </w:pPr>
            <w:r>
              <w:rPr>
                <w:rFonts w:ascii="Arial" w:cs="Arial" w:eastAsia="Arial" w:hAnsi="Arial"/>
                <w:sz w:val="13"/>
                <w:szCs w:val="13"/>
                <w:color w:val="auto"/>
                <w:w w:val="82"/>
              </w:rPr>
              <w:t>53</w:t>
            </w:r>
          </w:p>
        </w:tc>
        <w:tc>
          <w:tcPr>
            <w:tcW w:w="5620" w:type="dxa"/>
            <w:vAlign w:val="bottom"/>
            <w:gridSpan w:val="2"/>
          </w:tcPr>
          <w:p>
            <w:pPr>
              <w:ind w:left="100"/>
              <w:spacing w:after="0"/>
              <w:rPr>
                <w:sz w:val="20"/>
                <w:szCs w:val="20"/>
                <w:color w:val="auto"/>
              </w:rPr>
            </w:pPr>
            <w:r>
              <w:rPr>
                <w:rFonts w:ascii="Arial" w:cs="Arial" w:eastAsia="Arial" w:hAnsi="Arial"/>
                <w:sz w:val="13"/>
                <w:szCs w:val="13"/>
                <w:color w:val="auto"/>
              </w:rPr>
              <w:t>To be appointed upon listing on Nasdaq</w:t>
            </w:r>
          </w:p>
        </w:tc>
      </w:tr>
      <w:tr>
        <w:trPr>
          <w:trHeight w:val="156"/>
        </w:trPr>
        <w:tc>
          <w:tcPr>
            <w:tcW w:w="2140" w:type="dxa"/>
            <w:vAlign w:val="bottom"/>
            <w:gridSpan w:val="2"/>
          </w:tcPr>
          <w:p>
            <w:pPr>
              <w:spacing w:after="0"/>
              <w:rPr>
                <w:sz w:val="20"/>
                <w:szCs w:val="20"/>
                <w:color w:val="auto"/>
              </w:rPr>
            </w:pPr>
            <w:r>
              <w:rPr>
                <w:rFonts w:ascii="Arial" w:cs="Arial" w:eastAsia="Arial" w:hAnsi="Arial"/>
                <w:sz w:val="13"/>
                <w:szCs w:val="13"/>
                <w:color w:val="auto"/>
              </w:rPr>
              <w:t>Candace Widdoes</w:t>
            </w:r>
          </w:p>
        </w:tc>
        <w:tc>
          <w:tcPr>
            <w:tcW w:w="2960" w:type="dxa"/>
            <w:vAlign w:val="bottom"/>
            <w:gridSpan w:val="2"/>
          </w:tcPr>
          <w:p>
            <w:pPr>
              <w:spacing w:after="0"/>
              <w:rPr>
                <w:sz w:val="20"/>
                <w:szCs w:val="20"/>
                <w:color w:val="auto"/>
              </w:rPr>
            </w:pPr>
            <w:r>
              <w:rPr>
                <w:rFonts w:ascii="Arial" w:cs="Arial" w:eastAsia="Arial" w:hAnsi="Arial"/>
                <w:sz w:val="13"/>
                <w:szCs w:val="13"/>
                <w:color w:val="auto"/>
              </w:rPr>
              <w:t>Director Nominee</w:t>
            </w:r>
          </w:p>
        </w:tc>
        <w:tc>
          <w:tcPr>
            <w:tcW w:w="560" w:type="dxa"/>
            <w:vAlign w:val="bottom"/>
          </w:tcPr>
          <w:p>
            <w:pPr>
              <w:jc w:val="center"/>
              <w:spacing w:after="0"/>
              <w:rPr>
                <w:sz w:val="20"/>
                <w:szCs w:val="20"/>
                <w:color w:val="auto"/>
              </w:rPr>
            </w:pPr>
            <w:r>
              <w:rPr>
                <w:rFonts w:ascii="Arial" w:cs="Arial" w:eastAsia="Arial" w:hAnsi="Arial"/>
                <w:sz w:val="13"/>
                <w:szCs w:val="13"/>
                <w:color w:val="auto"/>
                <w:w w:val="82"/>
              </w:rPr>
              <w:t>39</w:t>
            </w:r>
          </w:p>
        </w:tc>
        <w:tc>
          <w:tcPr>
            <w:tcW w:w="5620" w:type="dxa"/>
            <w:vAlign w:val="bottom"/>
            <w:gridSpan w:val="2"/>
          </w:tcPr>
          <w:p>
            <w:pPr>
              <w:ind w:left="100"/>
              <w:spacing w:after="0"/>
              <w:rPr>
                <w:sz w:val="20"/>
                <w:szCs w:val="20"/>
                <w:color w:val="auto"/>
              </w:rPr>
            </w:pPr>
            <w:r>
              <w:rPr>
                <w:rFonts w:ascii="Arial" w:cs="Arial" w:eastAsia="Arial" w:hAnsi="Arial"/>
                <w:sz w:val="13"/>
                <w:szCs w:val="13"/>
                <w:color w:val="auto"/>
              </w:rPr>
              <w:t>To be appointed upon listing on Nasdaq</w:t>
            </w:r>
          </w:p>
        </w:tc>
      </w:tr>
      <w:tr>
        <w:trPr>
          <w:trHeight w:val="156"/>
        </w:trPr>
        <w:tc>
          <w:tcPr>
            <w:tcW w:w="2140" w:type="dxa"/>
            <w:vAlign w:val="bottom"/>
            <w:gridSpan w:val="2"/>
          </w:tcPr>
          <w:p>
            <w:pPr>
              <w:spacing w:after="0"/>
              <w:rPr>
                <w:sz w:val="20"/>
                <w:szCs w:val="20"/>
                <w:color w:val="auto"/>
              </w:rPr>
            </w:pPr>
            <w:r>
              <w:rPr>
                <w:rFonts w:ascii="Arial" w:cs="Arial" w:eastAsia="Arial" w:hAnsi="Arial"/>
                <w:sz w:val="13"/>
                <w:szCs w:val="13"/>
                <w:color w:val="auto"/>
              </w:rPr>
              <w:t>Linda Keene Solomon</w:t>
            </w:r>
          </w:p>
        </w:tc>
        <w:tc>
          <w:tcPr>
            <w:tcW w:w="2960" w:type="dxa"/>
            <w:vAlign w:val="bottom"/>
            <w:gridSpan w:val="2"/>
          </w:tcPr>
          <w:p>
            <w:pPr>
              <w:spacing w:after="0"/>
              <w:rPr>
                <w:sz w:val="20"/>
                <w:szCs w:val="20"/>
                <w:color w:val="auto"/>
              </w:rPr>
            </w:pPr>
            <w:r>
              <w:rPr>
                <w:rFonts w:ascii="Arial" w:cs="Arial" w:eastAsia="Arial" w:hAnsi="Arial"/>
                <w:sz w:val="13"/>
                <w:szCs w:val="13"/>
                <w:color w:val="auto"/>
              </w:rPr>
              <w:t>Director Nominee</w:t>
            </w:r>
          </w:p>
        </w:tc>
        <w:tc>
          <w:tcPr>
            <w:tcW w:w="560" w:type="dxa"/>
            <w:vAlign w:val="bottom"/>
          </w:tcPr>
          <w:p>
            <w:pPr>
              <w:jc w:val="center"/>
              <w:spacing w:after="0"/>
              <w:rPr>
                <w:sz w:val="20"/>
                <w:szCs w:val="20"/>
                <w:color w:val="auto"/>
              </w:rPr>
            </w:pPr>
            <w:r>
              <w:rPr>
                <w:rFonts w:ascii="Arial" w:cs="Arial" w:eastAsia="Arial" w:hAnsi="Arial"/>
                <w:sz w:val="13"/>
                <w:szCs w:val="13"/>
                <w:color w:val="auto"/>
                <w:w w:val="82"/>
              </w:rPr>
              <w:t>57</w:t>
            </w:r>
          </w:p>
        </w:tc>
        <w:tc>
          <w:tcPr>
            <w:tcW w:w="5620" w:type="dxa"/>
            <w:vAlign w:val="bottom"/>
            <w:gridSpan w:val="2"/>
          </w:tcPr>
          <w:p>
            <w:pPr>
              <w:ind w:left="100"/>
              <w:spacing w:after="0"/>
              <w:rPr>
                <w:sz w:val="20"/>
                <w:szCs w:val="20"/>
                <w:color w:val="auto"/>
              </w:rPr>
            </w:pPr>
            <w:r>
              <w:rPr>
                <w:rFonts w:ascii="Arial" w:cs="Arial" w:eastAsia="Arial" w:hAnsi="Arial"/>
                <w:sz w:val="13"/>
                <w:szCs w:val="13"/>
                <w:color w:val="auto"/>
              </w:rPr>
              <w:t>To be appointed upon listing on Nasdaq</w:t>
            </w:r>
          </w:p>
        </w:tc>
      </w:tr>
      <w:tr>
        <w:trPr>
          <w:trHeight w:val="156"/>
        </w:trPr>
        <w:tc>
          <w:tcPr>
            <w:tcW w:w="2140" w:type="dxa"/>
            <w:vAlign w:val="bottom"/>
            <w:gridSpan w:val="2"/>
          </w:tcPr>
          <w:p>
            <w:pPr>
              <w:spacing w:after="0"/>
              <w:rPr>
                <w:sz w:val="20"/>
                <w:szCs w:val="20"/>
                <w:color w:val="auto"/>
              </w:rPr>
            </w:pPr>
            <w:r>
              <w:rPr>
                <w:rFonts w:ascii="Arial" w:cs="Arial" w:eastAsia="Arial" w:hAnsi="Arial"/>
                <w:sz w:val="13"/>
                <w:szCs w:val="13"/>
                <w:color w:val="auto"/>
              </w:rPr>
              <w:t>Jackeline V. Hernandez Fentanez</w:t>
            </w:r>
          </w:p>
        </w:tc>
        <w:tc>
          <w:tcPr>
            <w:tcW w:w="2960" w:type="dxa"/>
            <w:vAlign w:val="bottom"/>
            <w:gridSpan w:val="2"/>
          </w:tcPr>
          <w:p>
            <w:pPr>
              <w:spacing w:after="0"/>
              <w:rPr>
                <w:sz w:val="20"/>
                <w:szCs w:val="20"/>
                <w:color w:val="auto"/>
              </w:rPr>
            </w:pPr>
            <w:r>
              <w:rPr>
                <w:rFonts w:ascii="Arial" w:cs="Arial" w:eastAsia="Arial" w:hAnsi="Arial"/>
                <w:sz w:val="13"/>
                <w:szCs w:val="13"/>
                <w:color w:val="auto"/>
              </w:rPr>
              <w:t>Director Nominee</w:t>
            </w:r>
          </w:p>
        </w:tc>
        <w:tc>
          <w:tcPr>
            <w:tcW w:w="560" w:type="dxa"/>
            <w:vAlign w:val="bottom"/>
          </w:tcPr>
          <w:p>
            <w:pPr>
              <w:jc w:val="center"/>
              <w:spacing w:after="0"/>
              <w:rPr>
                <w:sz w:val="20"/>
                <w:szCs w:val="20"/>
                <w:color w:val="auto"/>
              </w:rPr>
            </w:pPr>
            <w:r>
              <w:rPr>
                <w:rFonts w:ascii="Arial" w:cs="Arial" w:eastAsia="Arial" w:hAnsi="Arial"/>
                <w:sz w:val="13"/>
                <w:szCs w:val="13"/>
                <w:color w:val="auto"/>
                <w:w w:val="82"/>
              </w:rPr>
              <w:t>57</w:t>
            </w:r>
          </w:p>
        </w:tc>
        <w:tc>
          <w:tcPr>
            <w:tcW w:w="5620" w:type="dxa"/>
            <w:vAlign w:val="bottom"/>
            <w:gridSpan w:val="2"/>
          </w:tcPr>
          <w:p>
            <w:pPr>
              <w:ind w:left="100"/>
              <w:spacing w:after="0"/>
              <w:rPr>
                <w:sz w:val="20"/>
                <w:szCs w:val="20"/>
                <w:color w:val="auto"/>
              </w:rPr>
            </w:pPr>
            <w:r>
              <w:rPr>
                <w:rFonts w:ascii="Arial" w:cs="Arial" w:eastAsia="Arial" w:hAnsi="Arial"/>
                <w:sz w:val="13"/>
                <w:szCs w:val="13"/>
                <w:color w:val="auto"/>
              </w:rPr>
              <w:t>To be appointed upon listing on Nasdaq</w:t>
            </w:r>
          </w:p>
        </w:tc>
      </w:tr>
      <w:tr>
        <w:trPr>
          <w:trHeight w:val="156"/>
        </w:trPr>
        <w:tc>
          <w:tcPr>
            <w:tcW w:w="2140" w:type="dxa"/>
            <w:vAlign w:val="bottom"/>
            <w:gridSpan w:val="2"/>
          </w:tcPr>
          <w:p>
            <w:pPr>
              <w:spacing w:after="0"/>
              <w:rPr>
                <w:sz w:val="20"/>
                <w:szCs w:val="20"/>
                <w:color w:val="auto"/>
              </w:rPr>
            </w:pPr>
            <w:r>
              <w:rPr>
                <w:rFonts w:ascii="Arial" w:cs="Arial" w:eastAsia="Arial" w:hAnsi="Arial"/>
                <w:sz w:val="13"/>
                <w:szCs w:val="13"/>
                <w:color w:val="auto"/>
              </w:rPr>
              <w:t>Patricia L. Watkins</w:t>
            </w:r>
          </w:p>
        </w:tc>
        <w:tc>
          <w:tcPr>
            <w:tcW w:w="2960" w:type="dxa"/>
            <w:vAlign w:val="bottom"/>
            <w:gridSpan w:val="2"/>
          </w:tcPr>
          <w:p>
            <w:pPr>
              <w:spacing w:after="0"/>
              <w:rPr>
                <w:sz w:val="20"/>
                <w:szCs w:val="20"/>
                <w:color w:val="auto"/>
              </w:rPr>
            </w:pPr>
            <w:r>
              <w:rPr>
                <w:rFonts w:ascii="Arial" w:cs="Arial" w:eastAsia="Arial" w:hAnsi="Arial"/>
                <w:sz w:val="13"/>
                <w:szCs w:val="13"/>
                <w:color w:val="auto"/>
              </w:rPr>
              <w:t>Director Nominee</w:t>
            </w:r>
          </w:p>
        </w:tc>
        <w:tc>
          <w:tcPr>
            <w:tcW w:w="560" w:type="dxa"/>
            <w:vAlign w:val="bottom"/>
          </w:tcPr>
          <w:p>
            <w:pPr>
              <w:jc w:val="center"/>
              <w:spacing w:after="0"/>
              <w:rPr>
                <w:sz w:val="20"/>
                <w:szCs w:val="20"/>
                <w:color w:val="auto"/>
              </w:rPr>
            </w:pPr>
            <w:r>
              <w:rPr>
                <w:rFonts w:ascii="Arial" w:cs="Arial" w:eastAsia="Arial" w:hAnsi="Arial"/>
                <w:sz w:val="13"/>
                <w:szCs w:val="13"/>
                <w:color w:val="auto"/>
                <w:w w:val="82"/>
              </w:rPr>
              <w:t>62</w:t>
            </w:r>
          </w:p>
        </w:tc>
        <w:tc>
          <w:tcPr>
            <w:tcW w:w="5620" w:type="dxa"/>
            <w:vAlign w:val="bottom"/>
            <w:gridSpan w:val="2"/>
          </w:tcPr>
          <w:p>
            <w:pPr>
              <w:ind w:left="100"/>
              <w:spacing w:after="0"/>
              <w:rPr>
                <w:sz w:val="20"/>
                <w:szCs w:val="20"/>
                <w:color w:val="auto"/>
              </w:rPr>
            </w:pPr>
            <w:r>
              <w:rPr>
                <w:rFonts w:ascii="Arial" w:cs="Arial" w:eastAsia="Arial" w:hAnsi="Arial"/>
                <w:sz w:val="13"/>
                <w:szCs w:val="13"/>
                <w:color w:val="auto"/>
              </w:rPr>
              <w:t>To be appointed upon listing on Nasdaq</w:t>
            </w:r>
          </w:p>
        </w:tc>
      </w:tr>
      <w:tr>
        <w:trPr>
          <w:trHeight w:val="164"/>
        </w:trPr>
        <w:tc>
          <w:tcPr>
            <w:tcW w:w="2140" w:type="dxa"/>
            <w:vAlign w:val="bottom"/>
            <w:gridSpan w:val="2"/>
          </w:tcPr>
          <w:p>
            <w:pPr>
              <w:spacing w:after="0"/>
              <w:rPr>
                <w:sz w:val="20"/>
                <w:szCs w:val="20"/>
                <w:color w:val="auto"/>
              </w:rPr>
            </w:pPr>
            <w:r>
              <w:rPr>
                <w:rFonts w:ascii="Arial" w:cs="Arial" w:eastAsia="Arial" w:hAnsi="Arial"/>
                <w:sz w:val="13"/>
                <w:szCs w:val="13"/>
                <w:color w:val="auto"/>
              </w:rPr>
              <w:t>Patricia Howell</w:t>
            </w:r>
          </w:p>
        </w:tc>
        <w:tc>
          <w:tcPr>
            <w:tcW w:w="2960" w:type="dxa"/>
            <w:vAlign w:val="bottom"/>
            <w:gridSpan w:val="2"/>
          </w:tcPr>
          <w:p>
            <w:pPr>
              <w:spacing w:after="0"/>
              <w:rPr>
                <w:sz w:val="20"/>
                <w:szCs w:val="20"/>
                <w:color w:val="auto"/>
              </w:rPr>
            </w:pPr>
            <w:r>
              <w:rPr>
                <w:rFonts w:ascii="Arial" w:cs="Arial" w:eastAsia="Arial" w:hAnsi="Arial"/>
                <w:sz w:val="13"/>
                <w:szCs w:val="13"/>
                <w:color w:val="auto"/>
              </w:rPr>
              <w:t>Director Nominee</w:t>
            </w:r>
          </w:p>
        </w:tc>
        <w:tc>
          <w:tcPr>
            <w:tcW w:w="560" w:type="dxa"/>
            <w:vAlign w:val="bottom"/>
          </w:tcPr>
          <w:p>
            <w:pPr>
              <w:jc w:val="center"/>
              <w:spacing w:after="0"/>
              <w:rPr>
                <w:sz w:val="20"/>
                <w:szCs w:val="20"/>
                <w:color w:val="auto"/>
              </w:rPr>
            </w:pPr>
            <w:r>
              <w:rPr>
                <w:rFonts w:ascii="Arial" w:cs="Arial" w:eastAsia="Arial" w:hAnsi="Arial"/>
                <w:sz w:val="13"/>
                <w:szCs w:val="13"/>
                <w:color w:val="auto"/>
                <w:w w:val="82"/>
              </w:rPr>
              <w:t>54</w:t>
            </w:r>
          </w:p>
        </w:tc>
        <w:tc>
          <w:tcPr>
            <w:tcW w:w="5620" w:type="dxa"/>
            <w:vAlign w:val="bottom"/>
            <w:gridSpan w:val="2"/>
          </w:tcPr>
          <w:p>
            <w:pPr>
              <w:ind w:left="100"/>
              <w:spacing w:after="0"/>
              <w:rPr>
                <w:sz w:val="20"/>
                <w:szCs w:val="20"/>
                <w:color w:val="auto"/>
              </w:rPr>
            </w:pPr>
            <w:r>
              <w:rPr>
                <w:rFonts w:ascii="Arial" w:cs="Arial" w:eastAsia="Arial" w:hAnsi="Arial"/>
                <w:sz w:val="13"/>
                <w:szCs w:val="13"/>
                <w:color w:val="auto"/>
              </w:rPr>
              <w:t>To be appointed upon listing on Nasdaq</w:t>
            </w:r>
          </w:p>
        </w:tc>
      </w:tr>
    </w:tbl>
    <w:p>
      <w:pPr>
        <w:spacing w:after="0" w:line="14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William Santana Li, Chairman and CEO</w:t>
      </w:r>
    </w:p>
    <w:p>
      <w:pPr>
        <w:spacing w:after="0" w:line="167" w:lineRule="exact"/>
        <w:rPr>
          <w:sz w:val="20"/>
          <w:szCs w:val="20"/>
          <w:color w:val="auto"/>
        </w:rPr>
      </w:pPr>
    </w:p>
    <w:p>
      <w:pPr>
        <w:ind w:right="240"/>
        <w:spacing w:after="0" w:line="317" w:lineRule="auto"/>
        <w:rPr>
          <w:sz w:val="20"/>
          <w:szCs w:val="20"/>
          <w:color w:val="auto"/>
        </w:rPr>
      </w:pPr>
      <w:r>
        <w:rPr>
          <w:rFonts w:ascii="Arial" w:cs="Arial" w:eastAsia="Arial" w:hAnsi="Arial"/>
          <w:sz w:val="12"/>
          <w:szCs w:val="12"/>
          <w:color w:val="auto"/>
        </w:rPr>
        <w:t>William (“Bill”) Santana Li has served as our sole director and Chief Executive Officer (“CEO”) since April 2013. Mr. Li is an American entrepreneur with over 30 years of experience from working in the global automotive sector and founding and leading a number of startups. From 1990 to 1999, Mr. Li held multiple business and technical positions at Ford Motor Company across four continents.</w:t>
      </w:r>
    </w:p>
    <w:p>
      <w:pPr>
        <w:spacing w:after="0" w:line="105" w:lineRule="exact"/>
        <w:rPr>
          <w:sz w:val="20"/>
          <w:szCs w:val="20"/>
          <w:color w:val="auto"/>
        </w:rPr>
      </w:pPr>
    </w:p>
    <w:p>
      <w:pPr>
        <w:ind w:right="420"/>
        <w:spacing w:after="0" w:line="262" w:lineRule="auto"/>
        <w:rPr>
          <w:sz w:val="20"/>
          <w:szCs w:val="20"/>
          <w:color w:val="auto"/>
        </w:rPr>
      </w:pPr>
      <w:r>
        <w:rPr>
          <w:rFonts w:ascii="Arial" w:cs="Arial" w:eastAsia="Arial" w:hAnsi="Arial"/>
          <w:sz w:val="13"/>
          <w:szCs w:val="13"/>
          <w:color w:val="auto"/>
        </w:rPr>
        <w:t>His positions at Ford ranged from component, systems, and vehicle engineering with the Visteon, Mazda, and Lincoln brands; to business and product strategy on the United States youth market, India, and the emerging markets in Asia-Pacific and South America; as well as the financial turnaround of Ford of Europe. In addition, he was on the “Amazon” team, which established an all-new modular plant in Brazil. Subsequently, he served as Director of Mergers &amp; Acquisitions.</w:t>
      </w:r>
    </w:p>
    <w:p>
      <w:pPr>
        <w:spacing w:after="0" w:line="136" w:lineRule="exact"/>
        <w:rPr>
          <w:sz w:val="20"/>
          <w:szCs w:val="20"/>
          <w:color w:val="auto"/>
        </w:rPr>
      </w:pPr>
    </w:p>
    <w:p>
      <w:pPr>
        <w:jc w:val="both"/>
        <w:ind w:right="180"/>
        <w:spacing w:after="0" w:line="262" w:lineRule="auto"/>
        <w:rPr>
          <w:sz w:val="20"/>
          <w:szCs w:val="20"/>
          <w:color w:val="auto"/>
        </w:rPr>
      </w:pPr>
      <w:r>
        <w:rPr>
          <w:rFonts w:ascii="Arial" w:cs="Arial" w:eastAsia="Arial" w:hAnsi="Arial"/>
          <w:sz w:val="13"/>
          <w:szCs w:val="13"/>
          <w:color w:val="auto"/>
        </w:rPr>
        <w:t>After internally securing $250 million in financing, Mr. Li founded and served as COO of GreenLeaf LLC, a Ford Motor Company subsidiary that became the world’s second largest automotive recycler. Under his leadership, GreenLeaf grew to more than 600 employees, 20 locations worldwide, and annual sales of approximately $150 million. At the age of 28, Bill was the youngest senior executive at Ford Motor Company worldwide.</w:t>
      </w:r>
    </w:p>
    <w:p>
      <w:pPr>
        <w:spacing w:after="0" w:line="136"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After successfully establishing GreenLeaf, Mr. Li was recruited by SoftBank Venture Capital to establish and serve as the President and CEO of the Model E Corporation, a newly established automobile manufacturer that focused on the “Subscribe and Drive” model in California. Mr. Li also founded Carbon Motors Corporation* in 2003, and as its Chairman and CEO until February 2013, focused it on developing the world’s first purpose-built law enforcement patrol vehicle.</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color w:val="auto"/>
        </w:rPr>
        <w:t>Mr. Li earned a BSEE from Carnegie Mellon University and an MBA from the University of Detroit Mercy. He is married to Mercedes Soria, the Company’s Chief Intelligence Officer.</w:t>
      </w:r>
    </w:p>
    <w:p>
      <w:pPr>
        <w:spacing w:after="0" w:line="159"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Stacy Dean Stephens, EVP and Chief Client Officer</w:t>
      </w:r>
    </w:p>
    <w:p>
      <w:pPr>
        <w:spacing w:after="0" w:line="167" w:lineRule="exact"/>
        <w:rPr>
          <w:sz w:val="20"/>
          <w:szCs w:val="20"/>
          <w:color w:val="auto"/>
        </w:rPr>
      </w:pPr>
    </w:p>
    <w:p>
      <w:pPr>
        <w:ind w:right="60"/>
        <w:spacing w:after="0" w:line="262" w:lineRule="auto"/>
        <w:rPr>
          <w:sz w:val="20"/>
          <w:szCs w:val="20"/>
          <w:color w:val="auto"/>
        </w:rPr>
      </w:pPr>
      <w:r>
        <w:rPr>
          <w:rFonts w:ascii="Arial" w:cs="Arial" w:eastAsia="Arial" w:hAnsi="Arial"/>
          <w:sz w:val="13"/>
          <w:szCs w:val="13"/>
          <w:color w:val="auto"/>
        </w:rPr>
        <w:t>Stacy Dean Stephens is our Chief Client Officer and co-founded the Company in April of 2013. Previously, he co-founded Carbon Motors Corporation* with Mr. Li, where he led marketing operations, sales, product management, partnership marketing and client service. At Carbon Motors, Mr. Stephens established the “Carbon Council,” a client interface and users group consisting of over 3,000 law enforcement professionals across all 50 states and actively serving over 2,200 law enforcement agencies.</w:t>
      </w:r>
    </w:p>
    <w:p>
      <w:pPr>
        <w:spacing w:after="0" w:line="136" w:lineRule="exact"/>
        <w:rPr>
          <w:sz w:val="20"/>
          <w:szCs w:val="20"/>
          <w:color w:val="auto"/>
        </w:rPr>
      </w:pPr>
    </w:p>
    <w:p>
      <w:pPr>
        <w:ind w:right="340"/>
        <w:spacing w:after="0" w:line="274" w:lineRule="auto"/>
        <w:rPr>
          <w:sz w:val="20"/>
          <w:szCs w:val="20"/>
          <w:color w:val="auto"/>
        </w:rPr>
      </w:pPr>
      <w:r>
        <w:rPr>
          <w:rFonts w:ascii="Arial" w:cs="Arial" w:eastAsia="Arial" w:hAnsi="Arial"/>
          <w:sz w:val="13"/>
          <w:szCs w:val="13"/>
          <w:color w:val="auto"/>
        </w:rPr>
        <w:t>Prior to co-founding Carbon Motors Corporation, Mr. Stephens served as a police officer for the Coppell (Texas) Police Department from 2000 to 2002. In recognition of his accomplishments, Mr. Stephens was named one of Government Technology magazine’s “Top 25 Doers, Dreamers &amp; Drivers” in 2011.</w:t>
      </w:r>
    </w:p>
    <w:p>
      <w:pPr>
        <w:spacing w:after="0" w:line="128" w:lineRule="exact"/>
        <w:rPr>
          <w:sz w:val="20"/>
          <w:szCs w:val="20"/>
          <w:color w:val="auto"/>
        </w:rPr>
      </w:pPr>
    </w:p>
    <w:p>
      <w:pPr>
        <w:ind w:right="80"/>
        <w:spacing w:after="0" w:line="262" w:lineRule="auto"/>
        <w:rPr>
          <w:sz w:val="20"/>
          <w:szCs w:val="20"/>
          <w:color w:val="auto"/>
        </w:rPr>
      </w:pPr>
      <w:r>
        <w:rPr>
          <w:rFonts w:ascii="Arial" w:cs="Arial" w:eastAsia="Arial" w:hAnsi="Arial"/>
          <w:sz w:val="13"/>
          <w:szCs w:val="13"/>
          <w:color w:val="auto"/>
        </w:rPr>
        <w:t>Mr. Stephens studied aerospace engineering at the University of Texas in Arlington. He subsequently earned a degree in criminal justice and graduated as valedictorian from Tarrant County College in Fort Worth, Texas. He is a member of the International Association of Chiefs of Police (“IACP”) and also sits on the IACP Division of State Associations of Chiefs of Police SafeShield Project, which seeks to critically examine existing and developing technologies for the purpose of preventing and minimizing officer injuries and fatalities.</w:t>
      </w:r>
    </w:p>
    <w:p>
      <w:pPr>
        <w:spacing w:after="0" w:line="293"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39" w:name="page40"/>
    <w:bookmarkEnd w:id="39"/>
    <w:p>
      <w:pPr>
        <w:spacing w:after="0"/>
        <w:rPr>
          <w:sz w:val="20"/>
          <w:szCs w:val="20"/>
          <w:color w:val="auto"/>
        </w:rPr>
      </w:pPr>
      <w:r>
        <w:rPr>
          <w:rFonts w:ascii="Arial" w:cs="Arial" w:eastAsia="Arial" w:hAnsi="Arial"/>
          <w:sz w:val="13"/>
          <w:szCs w:val="13"/>
          <w:b w:val="1"/>
          <w:bCs w:val="1"/>
          <w:color w:val="auto"/>
        </w:rPr>
        <w:t>Mallorie Burak, EVP and Chief Financial Officer</w:t>
      </w:r>
    </w:p>
    <w:p>
      <w:pPr>
        <w:spacing w:after="0" w:line="167" w:lineRule="exact"/>
        <w:rPr>
          <w:sz w:val="20"/>
          <w:szCs w:val="20"/>
          <w:color w:val="auto"/>
        </w:rPr>
      </w:pPr>
    </w:p>
    <w:p>
      <w:pPr>
        <w:ind w:right="400"/>
        <w:spacing w:after="0" w:line="274" w:lineRule="auto"/>
        <w:rPr>
          <w:sz w:val="20"/>
          <w:szCs w:val="20"/>
          <w:color w:val="auto"/>
        </w:rPr>
      </w:pPr>
      <w:r>
        <w:rPr>
          <w:rFonts w:ascii="Arial" w:cs="Arial" w:eastAsia="Arial" w:hAnsi="Arial"/>
          <w:sz w:val="13"/>
          <w:szCs w:val="13"/>
          <w:color w:val="auto"/>
        </w:rPr>
        <w:t>Mallorie Burak was appointed as EVP and Chief Financial Officer (“CFO”) on October 5, 2020. Ms. Burak is an experienced financial executive, bringing over 25 years of expertise across a broad spectrum of industries ranging from early-stage start-ups to multi-national, public corporations.</w:t>
      </w:r>
    </w:p>
    <w:p>
      <w:pPr>
        <w:spacing w:after="0" w:line="128" w:lineRule="exact"/>
        <w:rPr>
          <w:sz w:val="20"/>
          <w:szCs w:val="20"/>
          <w:color w:val="auto"/>
        </w:rPr>
      </w:pPr>
    </w:p>
    <w:p>
      <w:pPr>
        <w:ind w:right="160"/>
        <w:spacing w:after="0" w:line="258" w:lineRule="auto"/>
        <w:rPr>
          <w:sz w:val="20"/>
          <w:szCs w:val="20"/>
          <w:color w:val="auto"/>
        </w:rPr>
      </w:pPr>
      <w:r>
        <w:rPr>
          <w:rFonts w:ascii="Arial" w:cs="Arial" w:eastAsia="Arial" w:hAnsi="Arial"/>
          <w:sz w:val="13"/>
          <w:szCs w:val="13"/>
          <w:color w:val="auto"/>
        </w:rPr>
        <w:t>Over the span of her career, Ms. Burak has negotiated and managed over $500 million of successful financing and M&amp;A deals, having spent the last 13 years focused on turnarounds and special situations for both public and venture backed companies. Prior to joining Knightscope, she served as CFO at ThinFilm Electronics ASA, an innovative solid-state lithium battery start-up, from 2019 to 2020 and Alta Devices, Inc., a GaAs thin-film solar technology start-up, from 2016 to 2019 where she secured over $13 million and $56 million in funding, respectively. Prior to Alta Devices Ms. Burak served as CFO at FriendFinder Networks, Rainmaker Systems, FoodLink, and Southwall Technologies.</w:t>
      </w:r>
    </w:p>
    <w:p>
      <w:pPr>
        <w:spacing w:after="0" w:line="139" w:lineRule="exact"/>
        <w:rPr>
          <w:sz w:val="20"/>
          <w:szCs w:val="20"/>
          <w:color w:val="auto"/>
        </w:rPr>
      </w:pPr>
    </w:p>
    <w:p>
      <w:pPr>
        <w:ind w:right="160"/>
        <w:spacing w:after="0" w:line="262" w:lineRule="auto"/>
        <w:rPr>
          <w:sz w:val="20"/>
          <w:szCs w:val="20"/>
          <w:color w:val="auto"/>
        </w:rPr>
      </w:pPr>
      <w:r>
        <w:rPr>
          <w:rFonts w:ascii="Arial" w:cs="Arial" w:eastAsia="Arial" w:hAnsi="Arial"/>
          <w:sz w:val="13"/>
          <w:szCs w:val="13"/>
          <w:color w:val="auto"/>
        </w:rPr>
        <w:t>Ms. Burak has a proven track record of creating a high-performance culture with a strong focus on operational excellence and maximizing stockholder value, as evidenced by the successful acquisition of Southwall Technologies, after having repositioned, restructured, and grown the company. Ms. Burak has significant experience working with a variety of financing sources, both public and private, as well as significant experience leading and managing M&amp;A related activities.</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color w:val="auto"/>
        </w:rPr>
        <w:t>Ms. Burak holds a BSBA and MBA from San Jose State University.</w:t>
      </w:r>
    </w:p>
    <w:p>
      <w:pPr>
        <w:spacing w:after="0" w:line="159"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Mercedes Soria, EVP and Chief Intelligence Officer</w:t>
      </w:r>
    </w:p>
    <w:p>
      <w:pPr>
        <w:spacing w:after="0" w:line="167" w:lineRule="exact"/>
        <w:rPr>
          <w:sz w:val="20"/>
          <w:szCs w:val="20"/>
          <w:color w:val="auto"/>
        </w:rPr>
      </w:pPr>
    </w:p>
    <w:p>
      <w:pPr>
        <w:ind w:right="580"/>
        <w:spacing w:after="0" w:line="274" w:lineRule="auto"/>
        <w:rPr>
          <w:sz w:val="20"/>
          <w:szCs w:val="20"/>
          <w:color w:val="auto"/>
        </w:rPr>
      </w:pPr>
      <w:r>
        <w:rPr>
          <w:rFonts w:ascii="Arial" w:cs="Arial" w:eastAsia="Arial" w:hAnsi="Arial"/>
          <w:sz w:val="13"/>
          <w:szCs w:val="13"/>
          <w:color w:val="auto"/>
        </w:rPr>
        <w:t>Mercedes Soria is our Chief Intelligence Officer and has been with Knightscope since April 2013. Ms. Soria is a technology professional with over 15 years of experience in systems development, life cycle management, project leadership, software architecture and web applications development.</w:t>
      </w:r>
    </w:p>
    <w:p>
      <w:pPr>
        <w:spacing w:after="0" w:line="128" w:lineRule="exact"/>
        <w:rPr>
          <w:sz w:val="20"/>
          <w:szCs w:val="20"/>
          <w:color w:val="auto"/>
        </w:rPr>
      </w:pPr>
    </w:p>
    <w:p>
      <w:pPr>
        <w:ind w:right="40"/>
        <w:spacing w:after="0" w:line="262" w:lineRule="auto"/>
        <w:rPr>
          <w:sz w:val="20"/>
          <w:szCs w:val="20"/>
          <w:color w:val="auto"/>
        </w:rPr>
      </w:pPr>
      <w:r>
        <w:rPr>
          <w:rFonts w:ascii="Arial" w:cs="Arial" w:eastAsia="Arial" w:hAnsi="Arial"/>
          <w:sz w:val="13"/>
          <w:szCs w:val="13"/>
          <w:color w:val="auto"/>
        </w:rPr>
        <w:t>Ms. Soria led IT strategy development at Carbon Motors Corporation from 2011 until 2013. From 2002 to 2010, Ms. Soria was Channel Manager and Software Development Manager for internal operations at Deloitte &amp; Touche LLP, where her team deployed software that was used daily across the firm’s thousands of employees. From 1998 to 2002, Ms. Soria worked as a software developer at Gibson Musical Instruments leading the effort to establish its online presence.</w:t>
      </w:r>
    </w:p>
    <w:p>
      <w:pPr>
        <w:spacing w:after="0" w:line="136" w:lineRule="exact"/>
        <w:rPr>
          <w:sz w:val="20"/>
          <w:szCs w:val="20"/>
          <w:color w:val="auto"/>
        </w:rPr>
      </w:pPr>
    </w:p>
    <w:p>
      <w:pPr>
        <w:ind w:right="140"/>
        <w:spacing w:after="0" w:line="274" w:lineRule="auto"/>
        <w:rPr>
          <w:sz w:val="20"/>
          <w:szCs w:val="20"/>
          <w:color w:val="auto"/>
        </w:rPr>
      </w:pPr>
      <w:r>
        <w:rPr>
          <w:rFonts w:ascii="Arial" w:cs="Arial" w:eastAsia="Arial" w:hAnsi="Arial"/>
          <w:sz w:val="13"/>
          <w:szCs w:val="13"/>
          <w:color w:val="auto"/>
        </w:rPr>
        <w:t>Ms. Soria obtained Bachelor and Master’s degrees in Computer Science from Middle Tennessee State University with honors, as well as an Executive MBA from Emory University. She is also a certified Six Sigma green belt professional and a member of the Society of Hispanic Professional Engineers. She is married to William Santana Li, the Company’s Chief Executive Officer.</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Aaron J. Lehnhardt, EVP and Chief Design Officer</w:t>
      </w:r>
    </w:p>
    <w:p>
      <w:pPr>
        <w:spacing w:after="0" w:line="167" w:lineRule="exact"/>
        <w:rPr>
          <w:sz w:val="20"/>
          <w:szCs w:val="20"/>
          <w:color w:val="auto"/>
        </w:rPr>
      </w:pPr>
    </w:p>
    <w:p>
      <w:pPr>
        <w:ind w:right="180"/>
        <w:spacing w:after="0" w:line="262" w:lineRule="auto"/>
        <w:rPr>
          <w:sz w:val="20"/>
          <w:szCs w:val="20"/>
          <w:color w:val="auto"/>
        </w:rPr>
      </w:pPr>
      <w:r>
        <w:rPr>
          <w:rFonts w:ascii="Arial" w:cs="Arial" w:eastAsia="Arial" w:hAnsi="Arial"/>
          <w:sz w:val="13"/>
          <w:szCs w:val="13"/>
          <w:color w:val="auto"/>
        </w:rPr>
        <w:t>Aaron Lehnhardt has served as our Chief Design Officer since November 2015. Previously, from the Company’s inception in April 2013 until November 2015, Mr. Lehnhardt served as Chief Designer of the Company. From 2002 to April 2013, Mr. Lehnhardt was the co-owner of Lehnhardt Creative LLC where he worked on advanced propulsion vehicle design, personal electronics, product design, video game design, and concept development work.</w:t>
      </w:r>
    </w:p>
    <w:p>
      <w:pPr>
        <w:spacing w:after="0" w:line="136" w:lineRule="exact"/>
        <w:rPr>
          <w:sz w:val="20"/>
          <w:szCs w:val="20"/>
          <w:color w:val="auto"/>
        </w:rPr>
      </w:pPr>
    </w:p>
    <w:p>
      <w:pPr>
        <w:spacing w:after="0" w:line="262" w:lineRule="auto"/>
        <w:rPr>
          <w:sz w:val="20"/>
          <w:szCs w:val="20"/>
          <w:color w:val="auto"/>
        </w:rPr>
      </w:pPr>
      <w:r>
        <w:rPr>
          <w:rFonts w:ascii="Arial" w:cs="Arial" w:eastAsia="Arial" w:hAnsi="Arial"/>
          <w:sz w:val="13"/>
          <w:szCs w:val="13"/>
          <w:color w:val="auto"/>
        </w:rPr>
        <w:t>From 2004 to 2011, Mr. Lehnhardt was Chief Designer at California Motors (“Calmotors”), where he led the design for various concepts for HyRider hybrid vehicles, the Calmotors 1000 horsepower hybrid super car, Terra Cruzer super off-road vehicle, multiple vehicles for the U.S. Military, and various other hybrid and electric vehicles. He was also the lead designer and partner of Ride Vehicles LLC, a sister company to Calmotors, which worked on a 3-wheeled, standup personal mobility vehicle.</w:t>
      </w:r>
    </w:p>
    <w:p>
      <w:pPr>
        <w:spacing w:after="0" w:line="293"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40" w:name="page41"/>
    <w:bookmarkEnd w:id="40"/>
    <w:p>
      <w:pPr>
        <w:spacing w:after="0" w:line="70" w:lineRule="exact"/>
        <w:rPr>
          <w:sz w:val="20"/>
          <w:szCs w:val="20"/>
          <w:color w:val="auto"/>
        </w:rPr>
      </w:pPr>
    </w:p>
    <w:p>
      <w:pPr>
        <w:ind w:right="460"/>
        <w:spacing w:after="0" w:line="317" w:lineRule="auto"/>
        <w:rPr>
          <w:sz w:val="20"/>
          <w:szCs w:val="20"/>
          <w:color w:val="auto"/>
        </w:rPr>
      </w:pPr>
      <w:r>
        <w:rPr>
          <w:rFonts w:ascii="Arial" w:cs="Arial" w:eastAsia="Arial" w:hAnsi="Arial"/>
          <w:sz w:val="12"/>
          <w:szCs w:val="12"/>
          <w:color w:val="auto"/>
        </w:rPr>
        <w:t>Mr. Lehnhardt began his career in 1994 in the Large Truck Design Studio of Ford Motor Company, where he worked on the Aeromax and Excursion truck programs. His progress led him to the Large Vehicle Production Studio to work on the Mustang and Windstar models. He also successfully aided the development of the GT90, My Mercury, Th!nk, P2000 Prodigy, and certain concept vehicles.</w:t>
      </w:r>
    </w:p>
    <w:p>
      <w:pPr>
        <w:spacing w:after="0" w:line="105" w:lineRule="exact"/>
        <w:rPr>
          <w:sz w:val="20"/>
          <w:szCs w:val="20"/>
          <w:color w:val="auto"/>
        </w:rPr>
      </w:pPr>
    </w:p>
    <w:p>
      <w:pPr>
        <w:spacing w:after="0"/>
        <w:rPr>
          <w:sz w:val="20"/>
          <w:szCs w:val="20"/>
          <w:color w:val="auto"/>
        </w:rPr>
      </w:pPr>
      <w:r>
        <w:rPr>
          <w:rFonts w:ascii="Arial" w:cs="Arial" w:eastAsia="Arial" w:hAnsi="Arial"/>
          <w:sz w:val="12"/>
          <w:szCs w:val="12"/>
          <w:color w:val="auto"/>
        </w:rPr>
        <w:t>Mr. Lehnhardt earned his Bachelor of Fine Arts in Transportation Design from the College for Creative Studies in Detroit, Michigan. He also served as an Alias 3D instructor at the College for Creative Studies.</w:t>
      </w:r>
    </w:p>
    <w:p>
      <w:pPr>
        <w:spacing w:after="0" w:line="171"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Peter M. Weinberg, General Counsel</w:t>
      </w:r>
    </w:p>
    <w:p>
      <w:pPr>
        <w:spacing w:after="0" w:line="167" w:lineRule="exact"/>
        <w:rPr>
          <w:sz w:val="20"/>
          <w:szCs w:val="20"/>
          <w:color w:val="auto"/>
        </w:rPr>
      </w:pPr>
    </w:p>
    <w:p>
      <w:pPr>
        <w:spacing w:after="0" w:line="262" w:lineRule="auto"/>
        <w:rPr>
          <w:sz w:val="20"/>
          <w:szCs w:val="20"/>
          <w:color w:val="auto"/>
        </w:rPr>
      </w:pPr>
      <w:r>
        <w:rPr>
          <w:rFonts w:ascii="Arial" w:cs="Arial" w:eastAsia="Arial" w:hAnsi="Arial"/>
          <w:sz w:val="13"/>
          <w:szCs w:val="13"/>
          <w:color w:val="auto"/>
        </w:rPr>
        <w:t>Peter Weinberg was appointed General Counsel on July 1, 2021. Mr. Weinberg leverages thirty years of diverse corporate counsel experience, spanning from startups to well-established companies, private and public. His specialized training and experience in information security, intellectual property, finance, manufacturing, and supply chain provide for quick and efficient collaboration with technical and non-technical personnel alike.</w:t>
      </w:r>
    </w:p>
    <w:p>
      <w:pPr>
        <w:spacing w:after="0" w:line="136" w:lineRule="exact"/>
        <w:rPr>
          <w:sz w:val="20"/>
          <w:szCs w:val="20"/>
          <w:color w:val="auto"/>
        </w:rPr>
      </w:pPr>
    </w:p>
    <w:p>
      <w:pPr>
        <w:ind w:right="320"/>
        <w:spacing w:after="0" w:line="274" w:lineRule="auto"/>
        <w:rPr>
          <w:sz w:val="20"/>
          <w:szCs w:val="20"/>
          <w:color w:val="auto"/>
        </w:rPr>
      </w:pPr>
      <w:r>
        <w:rPr>
          <w:rFonts w:ascii="Arial" w:cs="Arial" w:eastAsia="Arial" w:hAnsi="Arial"/>
          <w:sz w:val="13"/>
          <w:szCs w:val="13"/>
          <w:color w:val="auto"/>
        </w:rPr>
        <w:t>Mr. Weinberg has a proven record of success building compliance programs, overseeing complex corporate transactions and high-stakes contract negotiations, enhancing relationships with government agencies, resolving conflicts, and limiting risk. He has significant experience training personnel at all levels in critical areas to improve corporate compliance and productivity.</w:t>
      </w:r>
    </w:p>
    <w:p>
      <w:pPr>
        <w:spacing w:after="0" w:line="128" w:lineRule="exact"/>
        <w:rPr>
          <w:sz w:val="20"/>
          <w:szCs w:val="20"/>
          <w:color w:val="auto"/>
        </w:rPr>
      </w:pPr>
    </w:p>
    <w:p>
      <w:pPr>
        <w:ind w:right="140"/>
        <w:spacing w:after="0" w:line="258" w:lineRule="auto"/>
        <w:rPr>
          <w:sz w:val="20"/>
          <w:szCs w:val="20"/>
          <w:color w:val="auto"/>
        </w:rPr>
      </w:pPr>
      <w:r>
        <w:rPr>
          <w:rFonts w:ascii="Arial" w:cs="Arial" w:eastAsia="Arial" w:hAnsi="Arial"/>
          <w:sz w:val="13"/>
          <w:szCs w:val="13"/>
          <w:color w:val="auto"/>
        </w:rPr>
        <w:t>Prior to joining Knightscope, Mr. Weinberg served as General Counsel at solar cell designer and manufacturer, Alta Devices from 2015 to 2019. Prior to Alta Devices, he served as Legal Counsel in the communications and information technology company, NEC Corp. of America from 1999 to 2005 and was appointed General Counsel for semiconductor and technology solutions company, NEC Electronics America, where he served from 2005 to 2010. Mr. Weinberg started his legal career with design/builder Takenaka USA Corp, where he was recruited from Fordham University Law School in 1990 to be its first in-house counsel and served until 1999.</w:t>
      </w:r>
    </w:p>
    <w:p>
      <w:pPr>
        <w:spacing w:after="0" w:line="139" w:lineRule="exact"/>
        <w:rPr>
          <w:sz w:val="20"/>
          <w:szCs w:val="20"/>
          <w:color w:val="auto"/>
        </w:rPr>
      </w:pPr>
    </w:p>
    <w:p>
      <w:pPr>
        <w:spacing w:after="0"/>
        <w:rPr>
          <w:sz w:val="20"/>
          <w:szCs w:val="20"/>
          <w:color w:val="auto"/>
        </w:rPr>
      </w:pPr>
      <w:r>
        <w:rPr>
          <w:rFonts w:ascii="Arial" w:cs="Arial" w:eastAsia="Arial" w:hAnsi="Arial"/>
          <w:sz w:val="13"/>
          <w:szCs w:val="13"/>
          <w:color w:val="auto"/>
        </w:rPr>
        <w:t>In addition to his Fordham JD, Mr. Weinberg holds a BA from Stony Brook University and an MA from New York University.</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w:t>
      </w:r>
      <w:r>
        <w:rPr>
          <w:rFonts w:ascii="Arial" w:cs="Arial" w:eastAsia="Arial" w:hAnsi="Arial"/>
          <w:sz w:val="13"/>
          <w:szCs w:val="13"/>
          <w:i w:val="1"/>
          <w:iCs w:val="1"/>
          <w:color w:val="auto"/>
        </w:rPr>
        <w:t>Carbon Motors Corporation filed for Chapter 7 liquidation in June 2003.</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Composition of our Board of Directors following this Offering</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Director Nominees</w:t>
      </w:r>
    </w:p>
    <w:p>
      <w:pPr>
        <w:spacing w:after="0" w:line="163" w:lineRule="exact"/>
        <w:rPr>
          <w:sz w:val="20"/>
          <w:szCs w:val="20"/>
          <w:color w:val="auto"/>
        </w:rPr>
      </w:pPr>
    </w:p>
    <w:p>
      <w:pPr>
        <w:ind w:right="220"/>
        <w:spacing w:after="0" w:line="262" w:lineRule="auto"/>
        <w:rPr>
          <w:sz w:val="20"/>
          <w:szCs w:val="20"/>
          <w:color w:val="auto"/>
        </w:rPr>
      </w:pPr>
      <w:r>
        <w:rPr>
          <w:rFonts w:ascii="Arial" w:cs="Arial" w:eastAsia="Arial" w:hAnsi="Arial"/>
          <w:sz w:val="13"/>
          <w:szCs w:val="13"/>
          <w:color w:val="auto"/>
        </w:rPr>
        <w:t>The Company’s bylaws authorize its board of directors to determine the number of directors. Prior to this offering, the Company’s sole director has been its CEO. The Company has applied to list the Shares on Nasdaq and upon completion of the offering and listing intends to increase the number of directors to 7 directors. The 6 new directors will be independent directors, who will be seated upon listing on Nasdaq. The Company intends to establish audit and compensation committees of the board meeting the Nasdaq requirements if approved for listing.</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Kristi Ross</w:t>
      </w:r>
    </w:p>
    <w:p>
      <w:pPr>
        <w:spacing w:after="0" w:line="167" w:lineRule="exact"/>
        <w:rPr>
          <w:sz w:val="20"/>
          <w:szCs w:val="20"/>
          <w:color w:val="auto"/>
        </w:rPr>
      </w:pPr>
    </w:p>
    <w:p>
      <w:pPr>
        <w:spacing w:after="0" w:line="281" w:lineRule="auto"/>
        <w:rPr>
          <w:sz w:val="20"/>
          <w:szCs w:val="20"/>
          <w:color w:val="auto"/>
        </w:rPr>
      </w:pPr>
      <w:r>
        <w:rPr>
          <w:rFonts w:ascii="Arial" w:cs="Arial" w:eastAsia="Arial" w:hAnsi="Arial"/>
          <w:sz w:val="12"/>
          <w:szCs w:val="12"/>
          <w:color w:val="auto"/>
        </w:rPr>
        <w:t>Kristi Ross is the Co-Founder, Co-Chief Executive Officer and President of tastytrade, Inc. (“tastytrade”), launched in 2011. Tastytrade is an online financial network that includes a FINRA authorized broker-dealer subsidiary, tastyworks. In 2021, tastytrade was acquired by IG Group Holdings PLC for over $1 billion. Ms. Ross serves on the IG Group North America board of directors and IG Group executive committee, as well as the board of directors of Transportation Alliance Bank, Inc. and 1871, a non-profit innovation hub since 2019 and 2016, respectively. Ms. Ross has been in the trading and brokerage industry for over 30 years and is actively involved in the Chicago technology and entrepreneurial community. Since 2015, Ms. Ross served on the ChicagoNEXT Fintech Council of World Business Chicago and Co-Chaired the Capital and Finance Committee of the P33 Technology Initiative in 2018 to 2019. Commencing in 2004 to 2010, Ms. Ross was the CFO of thinkorswim Group, Inc., as a private company, and managing director and from 1998 to 2004, she was the CFO of Automated Trading Desk Specialists, a stock specialist firm on the Chicago Stock Exchange. In 1990, Ms. Ross earned a BBA, majoring in accounting, from St. Norbert College.</w:t>
      </w:r>
    </w:p>
    <w:p>
      <w:pPr>
        <w:spacing w:after="0" w:line="12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Candace Widdoes</w:t>
      </w:r>
    </w:p>
    <w:p>
      <w:pPr>
        <w:spacing w:after="0" w:line="167" w:lineRule="exact"/>
        <w:rPr>
          <w:sz w:val="20"/>
          <w:szCs w:val="20"/>
          <w:color w:val="auto"/>
        </w:rPr>
      </w:pPr>
    </w:p>
    <w:p>
      <w:pPr>
        <w:ind w:right="60"/>
        <w:spacing w:after="0" w:line="258" w:lineRule="auto"/>
        <w:rPr>
          <w:sz w:val="20"/>
          <w:szCs w:val="20"/>
          <w:color w:val="auto"/>
        </w:rPr>
      </w:pPr>
      <w:r>
        <w:rPr>
          <w:rFonts w:ascii="Arial" w:cs="Arial" w:eastAsia="Arial" w:hAnsi="Arial"/>
          <w:sz w:val="13"/>
          <w:szCs w:val="13"/>
          <w:color w:val="auto"/>
        </w:rPr>
        <w:t>Candace Widdoes leads the portfolio operations team at ICONIQ Capital, LLC. Since August, 2020, she has advised Global 2000 owners and operators on their digital transformation as well as supporting high-growth technology companies with their commercial and international expansion. Prior to joining ICONIQ in August 2020, Ms. Widdoes spent over 12 years as a member of Plug and Play, LLC (“Plug and Play”) an early-stage investor and accelerator, where she played a central role in developing a global corporate innovation platform. Candace holds a B.S. in Business Administration and Finance from the Leeds School of Business at the University of Colorado at Boulders.</w:t>
      </w:r>
    </w:p>
    <w:p>
      <w:pPr>
        <w:spacing w:after="0" w:line="13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Linda Keene Solomon</w:t>
      </w:r>
    </w:p>
    <w:p>
      <w:pPr>
        <w:spacing w:after="0" w:line="167" w:lineRule="exact"/>
        <w:rPr>
          <w:sz w:val="20"/>
          <w:szCs w:val="20"/>
          <w:color w:val="auto"/>
        </w:rPr>
      </w:pPr>
    </w:p>
    <w:p>
      <w:pPr>
        <w:ind w:right="120"/>
        <w:spacing w:after="0" w:line="258" w:lineRule="auto"/>
        <w:rPr>
          <w:sz w:val="20"/>
          <w:szCs w:val="20"/>
          <w:color w:val="auto"/>
        </w:rPr>
      </w:pPr>
      <w:r>
        <w:rPr>
          <w:rFonts w:ascii="Arial" w:cs="Arial" w:eastAsia="Arial" w:hAnsi="Arial"/>
          <w:sz w:val="13"/>
          <w:szCs w:val="13"/>
          <w:color w:val="auto"/>
        </w:rPr>
        <w:t>Linda Keene Solomon currently serves as Chief Executive Officer of Wellspring Solutions, Inc., a position she has held since 2016. Prior to Wellspring Solutions, she served at global accounting and consulting firm Deloitte LLP from 1990 to 2016 where she built their Federal Government Services practice. Ms. Solomon led Deloitte’s homeland security consulting practice from 2004 until 2014 and currently advises national security and law enforcement companies who serve federal, state, and local government agencies. In addition, she has served as Executive Officer and Director on the Homeland Security and Defense Business Council. Ms. Solomon earned a BA in Computer Mathematics, a minor in French, and an MBA from the NYU Stern School of Business.</w:t>
      </w:r>
    </w:p>
    <w:p>
      <w:pPr>
        <w:spacing w:after="0" w:line="13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Jackeline (“Jackie”) V. Hernandez Fentanez</w:t>
      </w:r>
    </w:p>
    <w:p>
      <w:pPr>
        <w:spacing w:after="0" w:line="167" w:lineRule="exact"/>
        <w:rPr>
          <w:sz w:val="20"/>
          <w:szCs w:val="20"/>
          <w:color w:val="auto"/>
        </w:rPr>
      </w:pPr>
    </w:p>
    <w:p>
      <w:pPr>
        <w:ind w:right="160"/>
        <w:spacing w:after="0" w:line="294" w:lineRule="auto"/>
        <w:rPr>
          <w:sz w:val="20"/>
          <w:szCs w:val="20"/>
          <w:color w:val="auto"/>
        </w:rPr>
      </w:pPr>
      <w:r>
        <w:rPr>
          <w:rFonts w:ascii="Arial" w:cs="Arial" w:eastAsia="Arial" w:hAnsi="Arial"/>
          <w:sz w:val="12"/>
          <w:szCs w:val="12"/>
          <w:color w:val="auto"/>
        </w:rPr>
        <w:t>Jackie Hernandez Fentanez is a founding member of Plug and Play since its inception in 2006. Ms. Hernandez serves as its Senior Vice President of global partnerships. Ms. Hernandez Fentanez graduated from the National Autonomous University of Mexico with a major in chemistry and a concentration in immunology. She has been a speaker at several international forums such TEDx, Stanford University, ClimateKIC Europe, as well as international universities and incubators. Ms. Hernandez Fentanez will serve as the chairperson of the Company’s compensation committee.</w:t>
      </w:r>
    </w:p>
    <w:p>
      <w:pPr>
        <w:spacing w:after="0" w:line="11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Patricia (“Patty”) L. Watkins</w:t>
      </w:r>
    </w:p>
    <w:p>
      <w:pPr>
        <w:spacing w:after="0" w:line="167" w:lineRule="exact"/>
        <w:rPr>
          <w:sz w:val="20"/>
          <w:szCs w:val="20"/>
          <w:color w:val="auto"/>
        </w:rPr>
      </w:pPr>
    </w:p>
    <w:p>
      <w:pPr>
        <w:ind w:right="40"/>
        <w:spacing w:after="0" w:line="281" w:lineRule="auto"/>
        <w:rPr>
          <w:sz w:val="20"/>
          <w:szCs w:val="20"/>
          <w:color w:val="auto"/>
        </w:rPr>
      </w:pPr>
      <w:r>
        <w:rPr>
          <w:rFonts w:ascii="Arial" w:cs="Arial" w:eastAsia="Arial" w:hAnsi="Arial"/>
          <w:sz w:val="12"/>
          <w:szCs w:val="12"/>
          <w:color w:val="auto"/>
        </w:rPr>
        <w:t>Patty Watkins has been a Managing Partner of M.O.R.E. SALES Advisors, a sales and marketing advisory firm providing services to to technology firms since 2019. In 2019, she served as the Vice President of Sales for the Americas and Europe, and for Conversation AI, SaaS, Software and Services for Avaamo, Inc. From 2017 to 2019, she served as Vice President of Sales for Genesys, Inc., a provider of cloud and on-premise customer engagement solutions, she served as VP of sales for Motionloft, a provider of sensor and analytics solutions in 2017, and from 2015 to 2106, she served SA Global Vice President of Sales for Internap Holding LLC, a global provider of infrastructure solutions. She possesses over 20 years of experience in senior executive roles in the global technology sector, including at HP, AT&amp;T and Teradata, with a background that expands hardware, software, SaaS, Cloud, customer experience, data analytics, machine learning and artificial intelligence. Ms. Watkins holds a BBA from the University of Texas, in Austin (with honors), and a MBA from Santa Clara University where she was a member of Beta Gamma Sigma, the International Business Honor Society.</w:t>
      </w:r>
    </w:p>
    <w:p>
      <w:pPr>
        <w:spacing w:after="0" w:line="12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Patricia (“Trish”) Howell</w:t>
      </w:r>
    </w:p>
    <w:p>
      <w:pPr>
        <w:spacing w:after="0" w:line="167" w:lineRule="exact"/>
        <w:rPr>
          <w:sz w:val="20"/>
          <w:szCs w:val="20"/>
          <w:color w:val="auto"/>
        </w:rPr>
      </w:pPr>
    </w:p>
    <w:p>
      <w:pPr>
        <w:ind w:right="200"/>
        <w:spacing w:after="0" w:line="256" w:lineRule="auto"/>
        <w:rPr>
          <w:sz w:val="20"/>
          <w:szCs w:val="20"/>
          <w:color w:val="auto"/>
        </w:rPr>
      </w:pPr>
      <w:r>
        <w:rPr>
          <w:rFonts w:ascii="Arial" w:cs="Arial" w:eastAsia="Arial" w:hAnsi="Arial"/>
          <w:sz w:val="13"/>
          <w:szCs w:val="13"/>
          <w:color w:val="auto"/>
        </w:rPr>
        <w:t>Trish Howell has approximately thirty years’ experience leading operations functions in multiple industries. She joined Avail Medsystems, Inc. as Vice President, Manufacturing in February 2021. Ms. Howell also serves as the Independent Director and Audit Committee Chair of CVR Medical, where she was appointed in March 2020. From December 2019 to February 2021, Ms. Howell was Vice President of Operations at Stryker Corporation (formerly ZipLine Medical, where she held the same role from 2016-2019). From 2013-2016, Ms. Howell served as Vice President of Operations at Pulmonx Corporation where she led manufacturing, quality, and supply chain. Ms. Howell holds a BS in Mechanical Engineering from the University of Michigan and an MBA in Finance from the University of Michigan-Dearborn. She is also a member of the National Association of Corporate Directors.</w:t>
      </w:r>
    </w:p>
    <w:p>
      <w:pPr>
        <w:spacing w:after="0" w:line="141"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Director Independence</w:t>
      </w:r>
    </w:p>
    <w:p>
      <w:pPr>
        <w:spacing w:after="0" w:line="163" w:lineRule="exact"/>
        <w:rPr>
          <w:sz w:val="20"/>
          <w:szCs w:val="20"/>
          <w:color w:val="auto"/>
        </w:rPr>
      </w:pPr>
    </w:p>
    <w:p>
      <w:pPr>
        <w:ind w:right="220"/>
        <w:spacing w:after="0" w:line="320" w:lineRule="auto"/>
        <w:rPr>
          <w:sz w:val="20"/>
          <w:szCs w:val="20"/>
          <w:color w:val="auto"/>
        </w:rPr>
      </w:pPr>
      <w:r>
        <w:rPr>
          <w:rFonts w:ascii="Arial" w:cs="Arial" w:eastAsia="Arial" w:hAnsi="Arial"/>
          <w:sz w:val="11"/>
          <w:szCs w:val="11"/>
          <w:color w:val="auto"/>
        </w:rPr>
        <w:t>Nasdaq listing standards require that a majority of our board of directors be independent. An “independent director” is defined generally as a person other than an officer or employee of the Company or any other individual having a relationship which in the opinion of the Company’s board of directors, would interfere with the director’s exercise of independent judgment in carrying out the responsibilities of a director. Our current sole director has determined that director nominees Candace Widdoes, Jackie Hernandez Fentanez, Kristi Ross, Linda Keene Solomon, Patty Watkins and Trish Howell will be “independent directors” as defined in the Nasdaq listing standards and applicable Commission rules. Our independent directors will have regularly scheduled meetings at which only independent directors are present.</w:t>
      </w:r>
    </w:p>
    <w:p>
      <w:pPr>
        <w:spacing w:after="0" w:line="10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Committees of Our Board of Directors</w:t>
      </w:r>
    </w:p>
    <w:p>
      <w:pPr>
        <w:spacing w:after="0" w:line="163" w:lineRule="exact"/>
        <w:rPr>
          <w:sz w:val="20"/>
          <w:szCs w:val="20"/>
          <w:color w:val="auto"/>
        </w:rPr>
      </w:pPr>
    </w:p>
    <w:p>
      <w:pPr>
        <w:ind w:right="100"/>
        <w:spacing w:after="0" w:line="283" w:lineRule="auto"/>
        <w:rPr>
          <w:sz w:val="20"/>
          <w:szCs w:val="20"/>
          <w:color w:val="auto"/>
        </w:rPr>
      </w:pPr>
      <w:r>
        <w:rPr>
          <w:rFonts w:ascii="Arial" w:cs="Arial" w:eastAsia="Arial" w:hAnsi="Arial"/>
          <w:sz w:val="12"/>
          <w:szCs w:val="12"/>
          <w:color w:val="auto"/>
        </w:rPr>
        <w:t>The Company intends to establish audit and compensation committees of the Board meeting the Nasdaq requirements if approved for listing. Our Board of Directors may establish other committees to facilitate the management of our business from time to time. Our Board of Directors expects to delegate various responsibilities and authority to committees as generally described below. It is expected that the committees will regularly report on their activities and actions to the full Board of Directors. Each member of each committee of our Board of Directors qualifies as an independent director in accordance with the listing standards of the Nasdaq Global Market. Each of the committees will operate under its own written charter to be adopted by our Board of Directors, each of which will be available on our website upon the completion of this offering and listing on Nasdaq. Members will serve on these committees until their resignation or until otherwise determined by our Board of Directors.</w:t>
      </w:r>
    </w:p>
    <w:p>
      <w:pPr>
        <w:spacing w:after="0" w:line="121"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Audit Committee</w:t>
      </w:r>
    </w:p>
    <w:p>
      <w:pPr>
        <w:spacing w:after="0" w:line="167" w:lineRule="exact"/>
        <w:rPr>
          <w:sz w:val="20"/>
          <w:szCs w:val="20"/>
          <w:color w:val="auto"/>
        </w:rPr>
      </w:pPr>
    </w:p>
    <w:p>
      <w:pPr>
        <w:jc w:val="both"/>
        <w:ind w:right="120"/>
        <w:spacing w:after="0" w:line="258" w:lineRule="auto"/>
        <w:rPr>
          <w:sz w:val="20"/>
          <w:szCs w:val="20"/>
          <w:color w:val="auto"/>
        </w:rPr>
      </w:pPr>
      <w:r>
        <w:rPr>
          <w:rFonts w:ascii="Arial" w:cs="Arial" w:eastAsia="Arial" w:hAnsi="Arial"/>
          <w:sz w:val="13"/>
          <w:szCs w:val="13"/>
          <w:color w:val="auto"/>
        </w:rPr>
        <w:t>Following the completion of this offering and listing on Nasdaq, the Company will establish an audit committee, whose members will be Kristi Ross and two other independent directors, to be determined following the offering. Ms. Ross will serve as chairperson. Our Board of Directors has determined that the proposed chairperson of the audit committee can read and understand and will ensure that each member seated in the future will be able to, read and understand fundamental financial statements and qualifies as an audit committee financial expert within the meaning of Commission regulations and meets the financial sophistication requirements of the Nasdaq Global Market.</w:t>
      </w:r>
    </w:p>
    <w:p>
      <w:pPr>
        <w:spacing w:after="0" w:line="139" w:lineRule="exact"/>
        <w:rPr>
          <w:sz w:val="20"/>
          <w:szCs w:val="20"/>
          <w:color w:val="auto"/>
        </w:rPr>
      </w:pPr>
    </w:p>
    <w:p>
      <w:pPr>
        <w:ind w:right="320"/>
        <w:spacing w:after="0" w:line="332" w:lineRule="auto"/>
        <w:rPr>
          <w:sz w:val="20"/>
          <w:szCs w:val="20"/>
          <w:color w:val="auto"/>
        </w:rPr>
      </w:pPr>
      <w:r>
        <w:rPr>
          <w:rFonts w:ascii="Arial" w:cs="Arial" w:eastAsia="Arial" w:hAnsi="Arial"/>
          <w:sz w:val="11"/>
          <w:szCs w:val="11"/>
          <w:color w:val="auto"/>
        </w:rPr>
        <w:t>Our audit committee will assist our Board of Directors with its oversight of the integrity of our financial statements; our compliance with legal and regulatory requirements; the qualifications, independence, and performance of the independent registered public accounting firm; the design and implementation of our risk assessment and risk management. Among other things, our audit committee will be responsible for reviewing and discussing with our management the adequacy and effectiveness of our disclosure controls and procedures. The audit committee also will discuss with our management and independent registered</w:t>
      </w:r>
    </w:p>
    <w:p>
      <w:pPr>
        <w:sectPr>
          <w:pgSz w:w="11900" w:h="16909" w:orient="portrait"/>
          <w:cols w:equalWidth="0" w:num="1">
            <w:col w:w="11280"/>
          </w:cols>
          <w:pgMar w:left="300" w:top="698" w:right="319" w:bottom="0" w:gutter="0" w:footer="0" w:header="0"/>
        </w:sectPr>
      </w:pPr>
    </w:p>
    <w:bookmarkStart w:id="41" w:name="page42"/>
    <w:bookmarkEnd w:id="41"/>
    <w:p>
      <w:pPr>
        <w:spacing w:after="0" w:line="281" w:lineRule="auto"/>
        <w:rPr>
          <w:sz w:val="20"/>
          <w:szCs w:val="20"/>
          <w:color w:val="auto"/>
        </w:rPr>
      </w:pPr>
      <w:r>
        <w:rPr>
          <w:rFonts w:ascii="Arial" w:cs="Arial" w:eastAsia="Arial" w:hAnsi="Arial"/>
          <w:sz w:val="12"/>
          <w:szCs w:val="12"/>
          <w:color w:val="auto"/>
        </w:rPr>
        <w:t>public accounting firm the annual audit plan and scope of audit activities, scope and timing of the annual audit of our financial statements, and the results of the audit, quarterly reviews of our financial statements and, as appropriate, will initiate inquiries into certain aspects of our financial affairs. Our audit committee will be responsible for establishing and overseeing procedures for the receipt, retention, and treatment of any complaints regarding accounting, internal accounting controls or auditing matters, as well as for the confidential and anonymous submissions by our employees of concerns regarding questionable accounting or auditing matters. In addition, our audit committee will have direct responsibility for the appointment, compensation, retention, and oversight of the work of our independent registered public accounting firm. Our audit committee will have sole authority to approve the hiring and discharging of our independent registered public accounting firm, all audit engagement terms and fees, and all permissible non-audit engagements with the independent auditor. Our audit committee will review and oversee all related person transactions in accordance with our policies and procedures.</w:t>
      </w:r>
    </w:p>
    <w:p>
      <w:pPr>
        <w:spacing w:after="0" w:line="12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Compensation Committee</w:t>
      </w:r>
    </w:p>
    <w:p>
      <w:pPr>
        <w:spacing w:after="0" w:line="167" w:lineRule="exact"/>
        <w:rPr>
          <w:sz w:val="20"/>
          <w:szCs w:val="20"/>
          <w:color w:val="auto"/>
        </w:rPr>
      </w:pPr>
    </w:p>
    <w:p>
      <w:pPr>
        <w:spacing w:after="0" w:line="256" w:lineRule="auto"/>
        <w:rPr>
          <w:sz w:val="20"/>
          <w:szCs w:val="20"/>
          <w:color w:val="auto"/>
        </w:rPr>
      </w:pPr>
      <w:r>
        <w:rPr>
          <w:rFonts w:ascii="Arial" w:cs="Arial" w:eastAsia="Arial" w:hAnsi="Arial"/>
          <w:sz w:val="13"/>
          <w:szCs w:val="13"/>
          <w:color w:val="auto"/>
        </w:rPr>
        <w:t>Following the completion of this offering and listing on Nasdaq, the Company will establish a compensation committee whose members will be Jackie Hernandez Fentanez, and two other independent directors to be determined following the offering. Ms. Hernandez will serve as the chairperson. Our compensation committee will assist our Board of Directors with its oversight of the forms and amount of compensation for our executive officers (including officers reporting under Section 16 of the Exchange Act), the administration of our equity and non-equity incentive plans for employees and other service providers and certain other matters related to our compensation programs. Our compensation committee, among other responsibilities, will evaluate the performance of our Chief Executive Officer and, in consultation with him, will evaluate the performance of our other executive officers (including officers reporting under Section 16 of the Exchange Act).</w:t>
      </w:r>
    </w:p>
    <w:p>
      <w:pPr>
        <w:spacing w:after="0" w:line="298"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38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60"/>
          </w:cols>
          <w:pgMar w:left="300" w:top="131" w:right="339" w:bottom="1440" w:gutter="0" w:footer="0" w:header="0"/>
        </w:sectPr>
      </w:pPr>
    </w:p>
    <w:bookmarkStart w:id="42" w:name="page43"/>
    <w:bookmarkEnd w:id="42"/>
    <w:p>
      <w:pPr>
        <w:spacing w:after="0"/>
        <w:rPr>
          <w:sz w:val="20"/>
          <w:szCs w:val="20"/>
          <w:color w:val="auto"/>
        </w:rPr>
      </w:pPr>
      <w:r>
        <w:rPr>
          <w:rFonts w:ascii="Arial" w:cs="Arial" w:eastAsia="Arial" w:hAnsi="Arial"/>
          <w:sz w:val="13"/>
          <w:szCs w:val="13"/>
          <w:b w:val="1"/>
          <w:bCs w:val="1"/>
          <w:color w:val="auto"/>
        </w:rPr>
        <w:t>COMPENSATION OF DIRECTORS AND EXECUTIVE OFFICERS</w:t>
      </w:r>
    </w:p>
    <w:p>
      <w:pPr>
        <w:spacing w:after="0" w:line="167" w:lineRule="exact"/>
        <w:rPr>
          <w:sz w:val="20"/>
          <w:szCs w:val="20"/>
          <w:color w:val="auto"/>
        </w:rPr>
      </w:pPr>
    </w:p>
    <w:p>
      <w:pPr>
        <w:ind w:right="100"/>
        <w:spacing w:after="0" w:line="294" w:lineRule="auto"/>
        <w:rPr>
          <w:sz w:val="20"/>
          <w:szCs w:val="20"/>
          <w:color w:val="auto"/>
        </w:rPr>
      </w:pPr>
      <w:r>
        <w:rPr>
          <w:rFonts w:ascii="Arial" w:cs="Arial" w:eastAsia="Arial" w:hAnsi="Arial"/>
          <w:sz w:val="12"/>
          <w:szCs w:val="12"/>
          <w:color w:val="auto"/>
        </w:rPr>
        <w:t>We are an emerging growth company for purposes of the Commission’s executive compensation disclosure rules. In accordance with such rules, we are required to provide a Summary Compensation Table and an Outstanding Equity Awards at Fiscal Year End Table, as well as limited narrative disclosures regarding executive compensation for our last completed fiscal year. Further, our reporting obligations extend only to our “named executive officers,” who are those individuals serving as our Leadership who were serving as executive officers at the end of the last completed fiscal year.</w:t>
      </w:r>
    </w:p>
    <w:p>
      <w:pPr>
        <w:spacing w:after="0" w:line="11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2020 Summary Compensation Table</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color w:val="auto"/>
        </w:rPr>
        <w:t>For the fiscal year ended December 31, 2020, we compensated the Leadership as follows:</w:t>
      </w:r>
    </w:p>
    <w:p>
      <w:pPr>
        <w:spacing w:after="0" w:line="159" w:lineRule="exact"/>
        <w:rPr>
          <w:sz w:val="20"/>
          <w:szCs w:val="20"/>
          <w:color w:val="auto"/>
        </w:rPr>
      </w:pPr>
    </w:p>
    <w:tbl>
      <w:tblPr>
        <w:tblLayout w:type="fixed"/>
        <w:tblInd w:w="0" w:type="dxa"/>
        <w:tblCellMar>
          <w:top w:w="0" w:type="dxa"/>
          <w:left w:w="0" w:type="dxa"/>
          <w:bottom w:w="0" w:type="dxa"/>
          <w:right w:w="0" w:type="dxa"/>
        </w:tblCellMar>
      </w:tblPr>
      <w:tr>
        <w:trPr>
          <w:trHeight w:val="156"/>
        </w:trPr>
        <w:tc>
          <w:tcPr>
            <w:tcW w:w="34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840" w:type="dxa"/>
            <w:vAlign w:val="bottom"/>
          </w:tcPr>
          <w:p>
            <w:pPr>
              <w:ind w:left="80"/>
              <w:spacing w:after="0"/>
              <w:rPr>
                <w:sz w:val="20"/>
                <w:szCs w:val="20"/>
                <w:color w:val="auto"/>
              </w:rPr>
            </w:pPr>
            <w:r>
              <w:rPr>
                <w:rFonts w:ascii="Arial" w:cs="Arial" w:eastAsia="Arial" w:hAnsi="Arial"/>
                <w:sz w:val="13"/>
                <w:szCs w:val="13"/>
                <w:b w:val="1"/>
                <w:bCs w:val="1"/>
                <w:color w:val="auto"/>
                <w:w w:val="93"/>
              </w:rPr>
              <w:t>Nonqualified</w:t>
            </w:r>
          </w:p>
        </w:tc>
        <w:tc>
          <w:tcPr>
            <w:tcW w:w="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100" w:type="dxa"/>
            <w:vAlign w:val="bottom"/>
          </w:tcPr>
          <w:p>
            <w:pPr>
              <w:spacing w:after="0"/>
              <w:rPr>
                <w:sz w:val="13"/>
                <w:szCs w:val="13"/>
                <w:color w:val="auto"/>
              </w:rPr>
            </w:pPr>
          </w:p>
        </w:tc>
      </w:tr>
      <w:tr>
        <w:trPr>
          <w:trHeight w:val="156"/>
        </w:trPr>
        <w:tc>
          <w:tcPr>
            <w:tcW w:w="34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40" w:type="dxa"/>
            <w:vAlign w:val="bottom"/>
          </w:tcPr>
          <w:p>
            <w:pPr>
              <w:jc w:val="right"/>
              <w:ind w:right="45"/>
              <w:spacing w:after="0"/>
              <w:rPr>
                <w:sz w:val="20"/>
                <w:szCs w:val="20"/>
                <w:color w:val="auto"/>
              </w:rPr>
            </w:pPr>
            <w:r>
              <w:rPr>
                <w:rFonts w:ascii="Arial" w:cs="Arial" w:eastAsia="Arial" w:hAnsi="Arial"/>
                <w:sz w:val="13"/>
                <w:szCs w:val="13"/>
                <w:b w:val="1"/>
                <w:bCs w:val="1"/>
                <w:color w:val="auto"/>
              </w:rPr>
              <w:t>Nonequity</w:t>
            </w:r>
          </w:p>
        </w:tc>
        <w:tc>
          <w:tcPr>
            <w:tcW w:w="6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840" w:type="dxa"/>
            <w:vAlign w:val="bottom"/>
          </w:tcPr>
          <w:p>
            <w:pPr>
              <w:jc w:val="right"/>
              <w:ind w:right="95"/>
              <w:spacing w:after="0"/>
              <w:rPr>
                <w:sz w:val="20"/>
                <w:szCs w:val="20"/>
                <w:color w:val="auto"/>
              </w:rPr>
            </w:pPr>
            <w:r>
              <w:rPr>
                <w:rFonts w:ascii="Arial" w:cs="Arial" w:eastAsia="Arial" w:hAnsi="Arial"/>
                <w:sz w:val="13"/>
                <w:szCs w:val="13"/>
                <w:b w:val="1"/>
                <w:bCs w:val="1"/>
                <w:color w:val="auto"/>
              </w:rPr>
              <w:t>deferred</w:t>
            </w:r>
          </w:p>
        </w:tc>
        <w:tc>
          <w:tcPr>
            <w:tcW w:w="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100" w:type="dxa"/>
            <w:vAlign w:val="bottom"/>
          </w:tcPr>
          <w:p>
            <w:pPr>
              <w:spacing w:after="0"/>
              <w:rPr>
                <w:sz w:val="13"/>
                <w:szCs w:val="13"/>
                <w:color w:val="auto"/>
              </w:rPr>
            </w:pPr>
          </w:p>
        </w:tc>
      </w:tr>
      <w:tr>
        <w:trPr>
          <w:trHeight w:val="156"/>
        </w:trPr>
        <w:tc>
          <w:tcPr>
            <w:tcW w:w="34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40" w:type="dxa"/>
            <w:vAlign w:val="bottom"/>
          </w:tcPr>
          <w:p>
            <w:pPr>
              <w:jc w:val="right"/>
              <w:spacing w:after="0"/>
              <w:rPr>
                <w:sz w:val="20"/>
                <w:szCs w:val="20"/>
                <w:color w:val="auto"/>
              </w:rPr>
            </w:pPr>
            <w:r>
              <w:rPr>
                <w:rFonts w:ascii="Arial" w:cs="Arial" w:eastAsia="Arial" w:hAnsi="Arial"/>
                <w:sz w:val="13"/>
                <w:szCs w:val="13"/>
                <w:b w:val="1"/>
                <w:bCs w:val="1"/>
                <w:color w:val="auto"/>
                <w:w w:val="92"/>
              </w:rPr>
              <w:t>incentive plan</w:t>
            </w:r>
          </w:p>
        </w:tc>
        <w:tc>
          <w:tcPr>
            <w:tcW w:w="6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840" w:type="dxa"/>
            <w:vAlign w:val="bottom"/>
          </w:tcPr>
          <w:p>
            <w:pPr>
              <w:ind w:left="60"/>
              <w:spacing w:after="0"/>
              <w:rPr>
                <w:sz w:val="20"/>
                <w:szCs w:val="20"/>
                <w:color w:val="auto"/>
              </w:rPr>
            </w:pPr>
            <w:r>
              <w:rPr>
                <w:rFonts w:ascii="Arial" w:cs="Arial" w:eastAsia="Arial" w:hAnsi="Arial"/>
                <w:sz w:val="13"/>
                <w:szCs w:val="13"/>
                <w:b w:val="1"/>
                <w:bCs w:val="1"/>
                <w:color w:val="auto"/>
                <w:w w:val="86"/>
              </w:rPr>
              <w:t>compensation</w:t>
            </w:r>
          </w:p>
        </w:tc>
        <w:tc>
          <w:tcPr>
            <w:tcW w:w="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800" w:type="dxa"/>
            <w:vAlign w:val="bottom"/>
            <w:gridSpan w:val="2"/>
          </w:tcPr>
          <w:p>
            <w:pPr>
              <w:jc w:val="center"/>
              <w:ind w:right="280"/>
              <w:spacing w:after="0"/>
              <w:rPr>
                <w:sz w:val="20"/>
                <w:szCs w:val="20"/>
                <w:color w:val="auto"/>
              </w:rPr>
            </w:pPr>
            <w:r>
              <w:rPr>
                <w:rFonts w:ascii="Arial" w:cs="Arial" w:eastAsia="Arial" w:hAnsi="Arial"/>
                <w:sz w:val="13"/>
                <w:szCs w:val="13"/>
                <w:b w:val="1"/>
                <w:bCs w:val="1"/>
                <w:color w:val="auto"/>
                <w:w w:val="89"/>
              </w:rPr>
              <w:t>Total</w:t>
            </w:r>
          </w:p>
        </w:tc>
      </w:tr>
      <w:tr>
        <w:trPr>
          <w:trHeight w:val="169"/>
        </w:trPr>
        <w:tc>
          <w:tcPr>
            <w:tcW w:w="3400" w:type="dxa"/>
            <w:vAlign w:val="bottom"/>
          </w:tcPr>
          <w:p>
            <w:pPr>
              <w:spacing w:after="0"/>
              <w:rPr>
                <w:sz w:val="20"/>
                <w:szCs w:val="20"/>
                <w:color w:val="auto"/>
              </w:rPr>
            </w:pPr>
            <w:r>
              <w:rPr>
                <w:rFonts w:ascii="Arial" w:cs="Arial" w:eastAsia="Arial" w:hAnsi="Arial"/>
                <w:sz w:val="13"/>
                <w:szCs w:val="13"/>
                <w:b w:val="1"/>
                <w:bCs w:val="1"/>
                <w:color w:val="auto"/>
              </w:rPr>
              <w:t>Name and principal position</w:t>
            </w:r>
          </w:p>
        </w:tc>
        <w:tc>
          <w:tcPr>
            <w:tcW w:w="10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980" w:type="dxa"/>
            <w:vAlign w:val="bottom"/>
            <w:gridSpan w:val="2"/>
          </w:tcPr>
          <w:p>
            <w:pPr>
              <w:ind w:left="100"/>
              <w:spacing w:after="0"/>
              <w:rPr>
                <w:sz w:val="20"/>
                <w:szCs w:val="20"/>
                <w:color w:val="auto"/>
              </w:rPr>
            </w:pPr>
            <w:r>
              <w:rPr>
                <w:rFonts w:ascii="Arial" w:cs="Arial" w:eastAsia="Arial" w:hAnsi="Arial"/>
                <w:sz w:val="13"/>
                <w:szCs w:val="13"/>
                <w:b w:val="1"/>
                <w:bCs w:val="1"/>
                <w:color w:val="auto"/>
              </w:rPr>
              <w:t>Salary</w:t>
            </w:r>
          </w:p>
        </w:tc>
        <w:tc>
          <w:tcPr>
            <w:tcW w:w="160" w:type="dxa"/>
            <w:vAlign w:val="bottom"/>
          </w:tcPr>
          <w:p>
            <w:pPr>
              <w:spacing w:after="0"/>
              <w:rPr>
                <w:sz w:val="14"/>
                <w:szCs w:val="14"/>
                <w:color w:val="auto"/>
              </w:rPr>
            </w:pPr>
          </w:p>
        </w:tc>
        <w:tc>
          <w:tcPr>
            <w:tcW w:w="980" w:type="dxa"/>
            <w:vAlign w:val="bottom"/>
            <w:gridSpan w:val="2"/>
          </w:tcPr>
          <w:p>
            <w:pPr>
              <w:jc w:val="right"/>
              <w:ind w:right="520"/>
              <w:spacing w:after="0"/>
              <w:rPr>
                <w:sz w:val="20"/>
                <w:szCs w:val="20"/>
                <w:color w:val="auto"/>
              </w:rPr>
            </w:pPr>
            <w:r>
              <w:rPr>
                <w:rFonts w:ascii="Arial" w:cs="Arial" w:eastAsia="Arial" w:hAnsi="Arial"/>
                <w:sz w:val="13"/>
                <w:szCs w:val="13"/>
                <w:b w:val="1"/>
                <w:bCs w:val="1"/>
                <w:color w:val="auto"/>
              </w:rPr>
              <w:t>Bonus</w:t>
            </w:r>
          </w:p>
        </w:tc>
        <w:tc>
          <w:tcPr>
            <w:tcW w:w="60" w:type="dxa"/>
            <w:vAlign w:val="bottom"/>
          </w:tcPr>
          <w:p>
            <w:pPr>
              <w:spacing w:after="0"/>
              <w:rPr>
                <w:sz w:val="14"/>
                <w:szCs w:val="14"/>
                <w:color w:val="auto"/>
              </w:rPr>
            </w:pPr>
          </w:p>
        </w:tc>
        <w:tc>
          <w:tcPr>
            <w:tcW w:w="1080" w:type="dxa"/>
            <w:vAlign w:val="bottom"/>
            <w:gridSpan w:val="2"/>
          </w:tcPr>
          <w:p>
            <w:pPr>
              <w:jc w:val="right"/>
              <w:ind w:right="300"/>
              <w:spacing w:after="0"/>
              <w:rPr>
                <w:sz w:val="20"/>
                <w:szCs w:val="20"/>
                <w:color w:val="auto"/>
              </w:rPr>
            </w:pPr>
            <w:r>
              <w:rPr>
                <w:rFonts w:ascii="Arial" w:cs="Arial" w:eastAsia="Arial" w:hAnsi="Arial"/>
                <w:sz w:val="13"/>
                <w:szCs w:val="13"/>
                <w:b w:val="1"/>
                <w:bCs w:val="1"/>
                <w:color w:val="auto"/>
                <w:w w:val="88"/>
              </w:rPr>
              <w:t>Stock Awards</w:t>
            </w:r>
          </w:p>
        </w:tc>
        <w:tc>
          <w:tcPr>
            <w:tcW w:w="1140" w:type="dxa"/>
            <w:vAlign w:val="bottom"/>
            <w:gridSpan w:val="3"/>
          </w:tcPr>
          <w:p>
            <w:pPr>
              <w:jc w:val="right"/>
              <w:ind w:right="260"/>
              <w:spacing w:after="0"/>
              <w:rPr>
                <w:sz w:val="20"/>
                <w:szCs w:val="20"/>
                <w:color w:val="auto"/>
              </w:rPr>
            </w:pPr>
            <w:r>
              <w:rPr>
                <w:rFonts w:ascii="Arial" w:cs="Arial" w:eastAsia="Arial" w:hAnsi="Arial"/>
                <w:sz w:val="13"/>
                <w:szCs w:val="13"/>
                <w:b w:val="1"/>
                <w:bCs w:val="1"/>
                <w:color w:val="auto"/>
                <w:w w:val="92"/>
              </w:rPr>
              <w:t>Option Awards</w:t>
            </w:r>
          </w:p>
        </w:tc>
        <w:tc>
          <w:tcPr>
            <w:tcW w:w="840" w:type="dxa"/>
            <w:vAlign w:val="bottom"/>
          </w:tcPr>
          <w:p>
            <w:pPr>
              <w:jc w:val="right"/>
              <w:spacing w:after="0"/>
              <w:rPr>
                <w:sz w:val="20"/>
                <w:szCs w:val="20"/>
                <w:color w:val="auto"/>
              </w:rPr>
            </w:pPr>
            <w:r>
              <w:rPr>
                <w:rFonts w:ascii="Arial" w:cs="Arial" w:eastAsia="Arial" w:hAnsi="Arial"/>
                <w:sz w:val="13"/>
                <w:szCs w:val="13"/>
                <w:b w:val="1"/>
                <w:bCs w:val="1"/>
                <w:color w:val="auto"/>
                <w:w w:val="92"/>
              </w:rPr>
              <w:t>compensation</w:t>
            </w:r>
          </w:p>
        </w:tc>
        <w:tc>
          <w:tcPr>
            <w:tcW w:w="6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840" w:type="dxa"/>
            <w:vAlign w:val="bottom"/>
          </w:tcPr>
          <w:p>
            <w:pPr>
              <w:jc w:val="right"/>
              <w:ind w:right="75"/>
              <w:spacing w:after="0"/>
              <w:rPr>
                <w:sz w:val="20"/>
                <w:szCs w:val="20"/>
                <w:color w:val="auto"/>
              </w:rPr>
            </w:pPr>
            <w:r>
              <w:rPr>
                <w:rFonts w:ascii="Arial" w:cs="Arial" w:eastAsia="Arial" w:hAnsi="Arial"/>
                <w:sz w:val="13"/>
                <w:szCs w:val="13"/>
                <w:b w:val="1"/>
                <w:bCs w:val="1"/>
                <w:color w:val="auto"/>
              </w:rPr>
              <w:t>earnings</w:t>
            </w:r>
          </w:p>
        </w:tc>
        <w:tc>
          <w:tcPr>
            <w:tcW w:w="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980" w:type="dxa"/>
            <w:vAlign w:val="bottom"/>
            <w:gridSpan w:val="3"/>
          </w:tcPr>
          <w:p>
            <w:pPr>
              <w:jc w:val="center"/>
              <w:ind w:right="100"/>
              <w:spacing w:after="0"/>
              <w:rPr>
                <w:sz w:val="20"/>
                <w:szCs w:val="20"/>
                <w:color w:val="auto"/>
              </w:rPr>
            </w:pPr>
            <w:r>
              <w:rPr>
                <w:rFonts w:ascii="Arial" w:cs="Arial" w:eastAsia="Arial" w:hAnsi="Arial"/>
                <w:sz w:val="13"/>
                <w:szCs w:val="13"/>
                <w:b w:val="1"/>
                <w:bCs w:val="1"/>
                <w:color w:val="auto"/>
                <w:w w:val="88"/>
              </w:rPr>
              <w:t>Compensation</w:t>
            </w:r>
          </w:p>
        </w:tc>
      </w:tr>
      <w:tr>
        <w:trPr>
          <w:trHeight w:val="138"/>
        </w:trPr>
        <w:tc>
          <w:tcPr>
            <w:tcW w:w="3400" w:type="dxa"/>
            <w:vAlign w:val="bottom"/>
            <w:tcBorders>
              <w:top w:val="single" w:sz="8" w:color="auto"/>
            </w:tcBorders>
            <w:shd w:val="clear" w:color="auto" w:fill="CCEEFF"/>
          </w:tcPr>
          <w:p>
            <w:pPr>
              <w:spacing w:after="0" w:line="138" w:lineRule="exact"/>
              <w:rPr>
                <w:sz w:val="20"/>
                <w:szCs w:val="20"/>
                <w:color w:val="auto"/>
              </w:rPr>
            </w:pPr>
            <w:r>
              <w:rPr>
                <w:rFonts w:ascii="Arial" w:cs="Arial" w:eastAsia="Arial" w:hAnsi="Arial"/>
                <w:sz w:val="13"/>
                <w:szCs w:val="13"/>
                <w:i w:val="1"/>
                <w:iCs w:val="1"/>
                <w:color w:val="auto"/>
              </w:rPr>
              <w:t>William Santana Li</w:t>
            </w:r>
          </w:p>
        </w:tc>
        <w:tc>
          <w:tcPr>
            <w:tcW w:w="100" w:type="dxa"/>
            <w:vAlign w:val="bottom"/>
            <w:tcBorders>
              <w:top w:val="single" w:sz="8" w:color="CCEEFF"/>
            </w:tcBorders>
            <w:shd w:val="clear" w:color="auto" w:fill="CCEEFF"/>
          </w:tcPr>
          <w:p>
            <w:pPr>
              <w:spacing w:after="0"/>
              <w:rPr>
                <w:sz w:val="11"/>
                <w:szCs w:val="11"/>
                <w:color w:val="auto"/>
              </w:rPr>
            </w:pPr>
          </w:p>
        </w:tc>
        <w:tc>
          <w:tcPr>
            <w:tcW w:w="180" w:type="dxa"/>
            <w:vAlign w:val="bottom"/>
            <w:tcBorders>
              <w:top w:val="single" w:sz="8" w:color="auto"/>
            </w:tcBorders>
            <w:shd w:val="clear" w:color="auto" w:fill="CCEEFF"/>
          </w:tcPr>
          <w:p>
            <w:pPr>
              <w:spacing w:after="0"/>
              <w:rPr>
                <w:sz w:val="11"/>
                <w:szCs w:val="11"/>
                <w:color w:val="auto"/>
              </w:rPr>
            </w:pPr>
          </w:p>
        </w:tc>
        <w:tc>
          <w:tcPr>
            <w:tcW w:w="740" w:type="dxa"/>
            <w:vAlign w:val="bottom"/>
            <w:tcBorders>
              <w:top w:val="single" w:sz="8" w:color="auto"/>
            </w:tcBorders>
            <w:shd w:val="clear" w:color="auto" w:fill="CCEEFF"/>
          </w:tcPr>
          <w:p>
            <w:pPr>
              <w:spacing w:after="0"/>
              <w:rPr>
                <w:sz w:val="11"/>
                <w:szCs w:val="11"/>
                <w:color w:val="auto"/>
              </w:rPr>
            </w:pPr>
          </w:p>
        </w:tc>
        <w:tc>
          <w:tcPr>
            <w:tcW w:w="240" w:type="dxa"/>
            <w:vAlign w:val="bottom"/>
            <w:tcBorders>
              <w:top w:val="single" w:sz="8" w:color="CCEEFF"/>
            </w:tcBorders>
            <w:shd w:val="clear" w:color="auto" w:fill="CCEEFF"/>
          </w:tcPr>
          <w:p>
            <w:pPr>
              <w:spacing w:after="0"/>
              <w:rPr>
                <w:sz w:val="11"/>
                <w:szCs w:val="11"/>
                <w:color w:val="auto"/>
              </w:rPr>
            </w:pPr>
          </w:p>
        </w:tc>
        <w:tc>
          <w:tcPr>
            <w:tcW w:w="160" w:type="dxa"/>
            <w:vAlign w:val="bottom"/>
            <w:tcBorders>
              <w:top w:val="single" w:sz="8" w:color="auto"/>
            </w:tcBorders>
            <w:shd w:val="clear" w:color="auto" w:fill="CCEEFF"/>
          </w:tcPr>
          <w:p>
            <w:pPr>
              <w:spacing w:after="0"/>
              <w:rPr>
                <w:sz w:val="11"/>
                <w:szCs w:val="11"/>
                <w:color w:val="auto"/>
              </w:rPr>
            </w:pPr>
          </w:p>
        </w:tc>
        <w:tc>
          <w:tcPr>
            <w:tcW w:w="740" w:type="dxa"/>
            <w:vAlign w:val="bottom"/>
            <w:tcBorders>
              <w:top w:val="single" w:sz="8" w:color="auto"/>
            </w:tcBorders>
            <w:shd w:val="clear" w:color="auto" w:fill="CCEEFF"/>
          </w:tcPr>
          <w:p>
            <w:pPr>
              <w:spacing w:after="0"/>
              <w:rPr>
                <w:sz w:val="11"/>
                <w:szCs w:val="11"/>
                <w:color w:val="auto"/>
              </w:rPr>
            </w:pPr>
          </w:p>
        </w:tc>
        <w:tc>
          <w:tcPr>
            <w:tcW w:w="240" w:type="dxa"/>
            <w:vAlign w:val="bottom"/>
            <w:tcBorders>
              <w:top w:val="single" w:sz="8" w:color="CCEEFF"/>
            </w:tcBorders>
            <w:shd w:val="clear" w:color="auto" w:fill="CCEEFF"/>
          </w:tcPr>
          <w:p>
            <w:pPr>
              <w:spacing w:after="0"/>
              <w:rPr>
                <w:sz w:val="11"/>
                <w:szCs w:val="11"/>
                <w:color w:val="auto"/>
              </w:rPr>
            </w:pPr>
          </w:p>
        </w:tc>
        <w:tc>
          <w:tcPr>
            <w:tcW w:w="60" w:type="dxa"/>
            <w:vAlign w:val="bottom"/>
            <w:tcBorders>
              <w:top w:val="single" w:sz="8" w:color="auto"/>
            </w:tcBorders>
            <w:shd w:val="clear" w:color="auto" w:fill="CCEEFF"/>
          </w:tcPr>
          <w:p>
            <w:pPr>
              <w:spacing w:after="0"/>
              <w:rPr>
                <w:sz w:val="11"/>
                <w:szCs w:val="11"/>
                <w:color w:val="auto"/>
              </w:rPr>
            </w:pPr>
          </w:p>
        </w:tc>
        <w:tc>
          <w:tcPr>
            <w:tcW w:w="840" w:type="dxa"/>
            <w:vAlign w:val="bottom"/>
            <w:tcBorders>
              <w:top w:val="single" w:sz="8" w:color="auto"/>
            </w:tcBorders>
            <w:shd w:val="clear" w:color="auto" w:fill="CCEEFF"/>
          </w:tcPr>
          <w:p>
            <w:pPr>
              <w:spacing w:after="0"/>
              <w:rPr>
                <w:sz w:val="11"/>
                <w:szCs w:val="11"/>
                <w:color w:val="auto"/>
              </w:rPr>
            </w:pPr>
          </w:p>
        </w:tc>
        <w:tc>
          <w:tcPr>
            <w:tcW w:w="240" w:type="dxa"/>
            <w:vAlign w:val="bottom"/>
            <w:tcBorders>
              <w:top w:val="single" w:sz="8" w:color="CCEEFF"/>
            </w:tcBorders>
            <w:shd w:val="clear" w:color="auto" w:fill="CCEEFF"/>
          </w:tcPr>
          <w:p>
            <w:pPr>
              <w:spacing w:after="0"/>
              <w:rPr>
                <w:sz w:val="11"/>
                <w:szCs w:val="11"/>
                <w:color w:val="auto"/>
              </w:rPr>
            </w:pPr>
          </w:p>
        </w:tc>
        <w:tc>
          <w:tcPr>
            <w:tcW w:w="280" w:type="dxa"/>
            <w:vAlign w:val="bottom"/>
            <w:tcBorders>
              <w:top w:val="single" w:sz="8" w:color="auto"/>
            </w:tcBorders>
            <w:shd w:val="clear" w:color="auto" w:fill="CCEEFF"/>
          </w:tcPr>
          <w:p>
            <w:pPr>
              <w:spacing w:after="0"/>
              <w:rPr>
                <w:sz w:val="11"/>
                <w:szCs w:val="11"/>
                <w:color w:val="auto"/>
              </w:rPr>
            </w:pPr>
          </w:p>
        </w:tc>
        <w:tc>
          <w:tcPr>
            <w:tcW w:w="620" w:type="dxa"/>
            <w:vAlign w:val="bottom"/>
            <w:tcBorders>
              <w:top w:val="single" w:sz="8" w:color="auto"/>
            </w:tcBorders>
            <w:shd w:val="clear" w:color="auto" w:fill="CCEEFF"/>
          </w:tcPr>
          <w:p>
            <w:pPr>
              <w:spacing w:after="0"/>
              <w:rPr>
                <w:sz w:val="11"/>
                <w:szCs w:val="11"/>
                <w:color w:val="auto"/>
              </w:rPr>
            </w:pPr>
          </w:p>
        </w:tc>
        <w:tc>
          <w:tcPr>
            <w:tcW w:w="240" w:type="dxa"/>
            <w:vAlign w:val="bottom"/>
            <w:tcBorders>
              <w:top w:val="single" w:sz="8" w:color="CCEEFF"/>
            </w:tcBorders>
            <w:shd w:val="clear" w:color="auto" w:fill="CCEEFF"/>
          </w:tcPr>
          <w:p>
            <w:pPr>
              <w:spacing w:after="0"/>
              <w:rPr>
                <w:sz w:val="11"/>
                <w:szCs w:val="11"/>
                <w:color w:val="auto"/>
              </w:rPr>
            </w:pPr>
          </w:p>
        </w:tc>
        <w:tc>
          <w:tcPr>
            <w:tcW w:w="840" w:type="dxa"/>
            <w:vAlign w:val="bottom"/>
            <w:tcBorders>
              <w:top w:val="single" w:sz="8" w:color="auto"/>
            </w:tcBorders>
            <w:shd w:val="clear" w:color="auto" w:fill="CCEEFF"/>
          </w:tcPr>
          <w:p>
            <w:pPr>
              <w:spacing w:after="0"/>
              <w:rPr>
                <w:sz w:val="11"/>
                <w:szCs w:val="11"/>
                <w:color w:val="auto"/>
              </w:rPr>
            </w:pPr>
          </w:p>
        </w:tc>
        <w:tc>
          <w:tcPr>
            <w:tcW w:w="60" w:type="dxa"/>
            <w:vAlign w:val="bottom"/>
            <w:tcBorders>
              <w:top w:val="single" w:sz="8" w:color="auto"/>
            </w:tcBorders>
            <w:shd w:val="clear" w:color="auto" w:fill="CCEEFF"/>
          </w:tcPr>
          <w:p>
            <w:pPr>
              <w:spacing w:after="0"/>
              <w:rPr>
                <w:sz w:val="11"/>
                <w:szCs w:val="11"/>
                <w:color w:val="auto"/>
              </w:rPr>
            </w:pPr>
          </w:p>
        </w:tc>
        <w:tc>
          <w:tcPr>
            <w:tcW w:w="200" w:type="dxa"/>
            <w:vAlign w:val="bottom"/>
            <w:tcBorders>
              <w:top w:val="single" w:sz="8" w:color="CCEEFF"/>
            </w:tcBorders>
            <w:shd w:val="clear" w:color="auto" w:fill="CCEEFF"/>
          </w:tcPr>
          <w:p>
            <w:pPr>
              <w:spacing w:after="0"/>
              <w:rPr>
                <w:sz w:val="11"/>
                <w:szCs w:val="11"/>
                <w:color w:val="auto"/>
              </w:rPr>
            </w:pPr>
          </w:p>
        </w:tc>
        <w:tc>
          <w:tcPr>
            <w:tcW w:w="840" w:type="dxa"/>
            <w:vAlign w:val="bottom"/>
            <w:tcBorders>
              <w:top w:val="single" w:sz="8" w:color="auto"/>
            </w:tcBorders>
            <w:shd w:val="clear" w:color="auto" w:fill="CCEEFF"/>
          </w:tcPr>
          <w:p>
            <w:pPr>
              <w:spacing w:after="0"/>
              <w:rPr>
                <w:sz w:val="11"/>
                <w:szCs w:val="11"/>
                <w:color w:val="auto"/>
              </w:rPr>
            </w:pPr>
          </w:p>
        </w:tc>
        <w:tc>
          <w:tcPr>
            <w:tcW w:w="60" w:type="dxa"/>
            <w:vAlign w:val="bottom"/>
            <w:tcBorders>
              <w:top w:val="single" w:sz="8" w:color="auto"/>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c>
          <w:tcPr>
            <w:tcW w:w="120" w:type="dxa"/>
            <w:vAlign w:val="bottom"/>
            <w:tcBorders>
              <w:top w:val="single" w:sz="8" w:color="CCEEFF"/>
            </w:tcBorders>
            <w:shd w:val="clear" w:color="auto" w:fill="CCEEFF"/>
          </w:tcPr>
          <w:p>
            <w:pPr>
              <w:spacing w:after="0"/>
              <w:rPr>
                <w:sz w:val="11"/>
                <w:szCs w:val="11"/>
                <w:color w:val="auto"/>
              </w:rPr>
            </w:pPr>
          </w:p>
        </w:tc>
        <w:tc>
          <w:tcPr>
            <w:tcW w:w="180" w:type="dxa"/>
            <w:vAlign w:val="bottom"/>
            <w:tcBorders>
              <w:top w:val="single" w:sz="8" w:color="auto"/>
            </w:tcBorders>
            <w:shd w:val="clear" w:color="auto" w:fill="CCEEFF"/>
          </w:tcPr>
          <w:p>
            <w:pPr>
              <w:spacing w:after="0"/>
              <w:rPr>
                <w:sz w:val="11"/>
                <w:szCs w:val="11"/>
                <w:color w:val="auto"/>
              </w:rPr>
            </w:pPr>
          </w:p>
        </w:tc>
        <w:tc>
          <w:tcPr>
            <w:tcW w:w="700" w:type="dxa"/>
            <w:vAlign w:val="bottom"/>
            <w:tcBorders>
              <w:top w:val="single" w:sz="8" w:color="auto"/>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r>
      <w:tr>
        <w:trPr>
          <w:trHeight w:val="165"/>
        </w:trPr>
        <w:tc>
          <w:tcPr>
            <w:tcW w:w="3400" w:type="dxa"/>
            <w:vAlign w:val="bottom"/>
            <w:shd w:val="clear" w:color="auto" w:fill="CCEEFF"/>
          </w:tcPr>
          <w:p>
            <w:pPr>
              <w:spacing w:after="0"/>
              <w:rPr>
                <w:sz w:val="20"/>
                <w:szCs w:val="20"/>
                <w:color w:val="auto"/>
              </w:rPr>
            </w:pPr>
            <w:r>
              <w:rPr>
                <w:rFonts w:ascii="Arial" w:cs="Arial" w:eastAsia="Arial" w:hAnsi="Arial"/>
                <w:sz w:val="13"/>
                <w:szCs w:val="13"/>
                <w:i w:val="1"/>
                <w:iCs w:val="1"/>
                <w:color w:val="auto"/>
              </w:rPr>
              <w:t>Chief Executive Officer</w:t>
            </w:r>
          </w:p>
        </w:tc>
        <w:tc>
          <w:tcPr>
            <w:tcW w:w="28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9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264,262</w:t>
            </w:r>
          </w:p>
        </w:tc>
        <w:tc>
          <w:tcPr>
            <w:tcW w:w="160" w:type="dxa"/>
            <w:vAlign w:val="bottom"/>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9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180,000</w:t>
            </w:r>
          </w:p>
        </w:tc>
        <w:tc>
          <w:tcPr>
            <w:tcW w:w="60" w:type="dxa"/>
            <w:vAlign w:val="bottom"/>
            <w:shd w:val="clear" w:color="auto" w:fill="CCEEFF"/>
          </w:tcPr>
          <w:p>
            <w:pPr>
              <w:jc w:val="right"/>
              <w:spacing w:after="0"/>
              <w:rPr>
                <w:sz w:val="20"/>
                <w:szCs w:val="20"/>
                <w:color w:val="auto"/>
              </w:rPr>
            </w:pPr>
            <w:r>
              <w:rPr>
                <w:rFonts w:ascii="Arial" w:cs="Arial" w:eastAsia="Arial" w:hAnsi="Arial"/>
                <w:sz w:val="10"/>
                <w:szCs w:val="10"/>
                <w:color w:val="auto"/>
                <w:w w:val="71"/>
              </w:rPr>
              <w:t>$</w:t>
            </w:r>
          </w:p>
        </w:tc>
        <w:tc>
          <w:tcPr>
            <w:tcW w:w="10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w:t>
            </w:r>
          </w:p>
        </w:tc>
        <w:tc>
          <w:tcPr>
            <w:tcW w:w="280" w:type="dxa"/>
            <w:vAlign w:val="bottom"/>
            <w:shd w:val="clear" w:color="auto" w:fill="CCEEFF"/>
          </w:tcPr>
          <w:p>
            <w:pPr>
              <w:jc w:val="right"/>
              <w:ind w:right="168"/>
              <w:spacing w:after="0"/>
              <w:rPr>
                <w:sz w:val="20"/>
                <w:szCs w:val="20"/>
                <w:color w:val="auto"/>
              </w:rPr>
            </w:pPr>
            <w:r>
              <w:rPr>
                <w:rFonts w:ascii="Arial" w:cs="Arial" w:eastAsia="Arial" w:hAnsi="Arial"/>
                <w:sz w:val="10"/>
                <w:szCs w:val="10"/>
                <w:color w:val="auto"/>
                <w:w w:val="71"/>
              </w:rPr>
              <w:t>$</w:t>
            </w:r>
          </w:p>
        </w:tc>
        <w:tc>
          <w:tcPr>
            <w:tcW w:w="86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w:t>
            </w:r>
          </w:p>
        </w:tc>
        <w:tc>
          <w:tcPr>
            <w:tcW w:w="840" w:type="dxa"/>
            <w:vAlign w:val="bottom"/>
            <w:shd w:val="clear" w:color="auto" w:fill="CCEEFF"/>
          </w:tcPr>
          <w:p>
            <w:pPr>
              <w:jc w:val="right"/>
              <w:ind w:right="725"/>
              <w:spacing w:after="0"/>
              <w:rPr>
                <w:sz w:val="20"/>
                <w:szCs w:val="20"/>
                <w:color w:val="auto"/>
              </w:rPr>
            </w:pPr>
            <w:r>
              <w:rPr>
                <w:rFonts w:ascii="Arial" w:cs="Arial" w:eastAsia="Arial" w:hAnsi="Arial"/>
                <w:sz w:val="10"/>
                <w:szCs w:val="10"/>
                <w:color w:val="auto"/>
                <w:w w:val="71"/>
              </w:rPr>
              <w:t>$</w:t>
            </w:r>
          </w:p>
        </w:tc>
        <w:tc>
          <w:tcPr>
            <w:tcW w:w="60" w:type="dxa"/>
            <w:vAlign w:val="bottom"/>
            <w:shd w:val="clear" w:color="auto" w:fill="CCEEFF"/>
          </w:tcPr>
          <w:p>
            <w:pPr>
              <w:jc w:val="right"/>
              <w:spacing w:after="0"/>
              <w:rPr>
                <w:sz w:val="20"/>
                <w:szCs w:val="20"/>
                <w:color w:val="auto"/>
              </w:rPr>
            </w:pPr>
            <w:r>
              <w:rPr>
                <w:rFonts w:ascii="Arial" w:cs="Arial" w:eastAsia="Arial" w:hAnsi="Arial"/>
                <w:sz w:val="13"/>
                <w:szCs w:val="13"/>
                <w:color w:val="auto"/>
                <w:w w:val="91"/>
              </w:rPr>
              <w:t>-</w:t>
            </w:r>
          </w:p>
        </w:tc>
        <w:tc>
          <w:tcPr>
            <w:tcW w:w="1040" w:type="dxa"/>
            <w:vAlign w:val="bottom"/>
            <w:gridSpan w:val="2"/>
            <w:shd w:val="clear" w:color="auto" w:fill="CCEEFF"/>
          </w:tcPr>
          <w:p>
            <w:pPr>
              <w:jc w:val="right"/>
              <w:ind w:right="695"/>
              <w:spacing w:after="0"/>
              <w:rPr>
                <w:sz w:val="20"/>
                <w:szCs w:val="20"/>
                <w:color w:val="auto"/>
              </w:rPr>
            </w:pPr>
            <w:r>
              <w:rPr>
                <w:rFonts w:ascii="Arial" w:cs="Arial" w:eastAsia="Arial" w:hAnsi="Arial"/>
                <w:sz w:val="13"/>
                <w:szCs w:val="13"/>
                <w:color w:val="auto"/>
              </w:rPr>
              <w:t>$</w:t>
            </w:r>
          </w:p>
        </w:tc>
        <w:tc>
          <w:tcPr>
            <w:tcW w:w="1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w w:val="91"/>
              </w:rPr>
              <w:t>-</w:t>
            </w:r>
          </w:p>
        </w:tc>
        <w:tc>
          <w:tcPr>
            <w:tcW w:w="300" w:type="dxa"/>
            <w:vAlign w:val="bottom"/>
            <w:gridSpan w:val="2"/>
            <w:shd w:val="clear" w:color="auto" w:fill="CCEEFF"/>
          </w:tcPr>
          <w:p>
            <w:pPr>
              <w:jc w:val="right"/>
              <w:ind w:right="55"/>
              <w:spacing w:after="0"/>
              <w:rPr>
                <w:sz w:val="20"/>
                <w:szCs w:val="20"/>
                <w:color w:val="auto"/>
              </w:rPr>
            </w:pPr>
            <w:r>
              <w:rPr>
                <w:rFonts w:ascii="Arial" w:cs="Arial" w:eastAsia="Arial" w:hAnsi="Arial"/>
                <w:sz w:val="13"/>
                <w:szCs w:val="13"/>
                <w:color w:val="auto"/>
              </w:rPr>
              <w:t>$</w:t>
            </w:r>
          </w:p>
        </w:tc>
        <w:tc>
          <w:tcPr>
            <w:tcW w:w="7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444,262</w:t>
            </w:r>
          </w:p>
        </w:tc>
        <w:tc>
          <w:tcPr>
            <w:tcW w:w="100" w:type="dxa"/>
            <w:vAlign w:val="bottom"/>
            <w:shd w:val="clear" w:color="auto" w:fill="CCEEFF"/>
          </w:tcPr>
          <w:p>
            <w:pPr>
              <w:spacing w:after="0"/>
              <w:rPr>
                <w:sz w:val="14"/>
                <w:szCs w:val="14"/>
                <w:color w:val="auto"/>
              </w:rPr>
            </w:pPr>
          </w:p>
        </w:tc>
      </w:tr>
      <w:tr>
        <w:trPr>
          <w:trHeight w:val="148"/>
        </w:trPr>
        <w:tc>
          <w:tcPr>
            <w:tcW w:w="3400" w:type="dxa"/>
            <w:vAlign w:val="bottom"/>
          </w:tcPr>
          <w:p>
            <w:pPr>
              <w:spacing w:after="0" w:line="148" w:lineRule="exact"/>
              <w:rPr>
                <w:sz w:val="20"/>
                <w:szCs w:val="20"/>
                <w:color w:val="auto"/>
              </w:rPr>
            </w:pPr>
            <w:r>
              <w:rPr>
                <w:rFonts w:ascii="Arial" w:cs="Arial" w:eastAsia="Arial" w:hAnsi="Arial"/>
                <w:sz w:val="13"/>
                <w:szCs w:val="13"/>
                <w:i w:val="1"/>
                <w:iCs w:val="1"/>
                <w:color w:val="auto"/>
              </w:rPr>
              <w:t>Stacy Dean Stephens</w:t>
            </w:r>
          </w:p>
        </w:tc>
        <w:tc>
          <w:tcPr>
            <w:tcW w:w="10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74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74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4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84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84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100" w:type="dxa"/>
            <w:vAlign w:val="bottom"/>
          </w:tcPr>
          <w:p>
            <w:pPr>
              <w:spacing w:after="0"/>
              <w:rPr>
                <w:sz w:val="12"/>
                <w:szCs w:val="12"/>
                <w:color w:val="auto"/>
              </w:rPr>
            </w:pPr>
          </w:p>
        </w:tc>
      </w:tr>
      <w:tr>
        <w:trPr>
          <w:trHeight w:val="164"/>
        </w:trPr>
        <w:tc>
          <w:tcPr>
            <w:tcW w:w="3400" w:type="dxa"/>
            <w:vAlign w:val="bottom"/>
          </w:tcPr>
          <w:p>
            <w:pPr>
              <w:spacing w:after="0"/>
              <w:rPr>
                <w:sz w:val="20"/>
                <w:szCs w:val="20"/>
                <w:color w:val="auto"/>
              </w:rPr>
            </w:pPr>
            <w:r>
              <w:rPr>
                <w:rFonts w:ascii="Arial" w:cs="Arial" w:eastAsia="Arial" w:hAnsi="Arial"/>
                <w:sz w:val="13"/>
                <w:szCs w:val="13"/>
                <w:i w:val="1"/>
                <w:iCs w:val="1"/>
                <w:color w:val="auto"/>
              </w:rPr>
              <w:t>Chief Client Officer</w:t>
            </w:r>
          </w:p>
        </w:tc>
        <w:tc>
          <w:tcPr>
            <w:tcW w:w="2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980" w:type="dxa"/>
            <w:vAlign w:val="bottom"/>
            <w:gridSpan w:val="2"/>
          </w:tcPr>
          <w:p>
            <w:pPr>
              <w:jc w:val="right"/>
              <w:ind w:right="240"/>
              <w:spacing w:after="0"/>
              <w:rPr>
                <w:sz w:val="20"/>
                <w:szCs w:val="20"/>
                <w:color w:val="auto"/>
              </w:rPr>
            </w:pPr>
            <w:r>
              <w:rPr>
                <w:rFonts w:ascii="Arial" w:cs="Arial" w:eastAsia="Arial" w:hAnsi="Arial"/>
                <w:sz w:val="13"/>
                <w:szCs w:val="13"/>
                <w:color w:val="auto"/>
              </w:rPr>
              <w:t>209,835</w:t>
            </w:r>
          </w:p>
        </w:tc>
        <w:tc>
          <w:tcPr>
            <w:tcW w:w="160" w:type="dxa"/>
            <w:vAlign w:val="bottom"/>
          </w:tcPr>
          <w:p>
            <w:pPr>
              <w:jc w:val="right"/>
              <w:ind w:right="51"/>
              <w:spacing w:after="0"/>
              <w:rPr>
                <w:sz w:val="20"/>
                <w:szCs w:val="20"/>
                <w:color w:val="auto"/>
              </w:rPr>
            </w:pPr>
            <w:r>
              <w:rPr>
                <w:rFonts w:ascii="Arial" w:cs="Arial" w:eastAsia="Arial" w:hAnsi="Arial"/>
                <w:sz w:val="10"/>
                <w:szCs w:val="10"/>
                <w:color w:val="auto"/>
                <w:w w:val="71"/>
              </w:rPr>
              <w:t>$</w:t>
            </w:r>
          </w:p>
        </w:tc>
        <w:tc>
          <w:tcPr>
            <w:tcW w:w="980" w:type="dxa"/>
            <w:vAlign w:val="bottom"/>
            <w:gridSpan w:val="2"/>
          </w:tcPr>
          <w:p>
            <w:pPr>
              <w:jc w:val="right"/>
              <w:ind w:right="240"/>
              <w:spacing w:after="0"/>
              <w:rPr>
                <w:sz w:val="20"/>
                <w:szCs w:val="20"/>
                <w:color w:val="auto"/>
              </w:rPr>
            </w:pPr>
            <w:r>
              <w:rPr>
                <w:rFonts w:ascii="Arial" w:cs="Arial" w:eastAsia="Arial" w:hAnsi="Arial"/>
                <w:sz w:val="13"/>
                <w:szCs w:val="13"/>
                <w:color w:val="auto"/>
              </w:rPr>
              <w:t>155,000</w:t>
            </w:r>
          </w:p>
        </w:tc>
        <w:tc>
          <w:tcPr>
            <w:tcW w:w="60" w:type="dxa"/>
            <w:vAlign w:val="bottom"/>
          </w:tcPr>
          <w:p>
            <w:pPr>
              <w:jc w:val="right"/>
              <w:spacing w:after="0"/>
              <w:rPr>
                <w:sz w:val="20"/>
                <w:szCs w:val="20"/>
                <w:color w:val="auto"/>
              </w:rPr>
            </w:pPr>
            <w:r>
              <w:rPr>
                <w:rFonts w:ascii="Arial" w:cs="Arial" w:eastAsia="Arial" w:hAnsi="Arial"/>
                <w:sz w:val="10"/>
                <w:szCs w:val="10"/>
                <w:color w:val="auto"/>
                <w:w w:val="71"/>
              </w:rPr>
              <w:t>$</w:t>
            </w:r>
          </w:p>
        </w:tc>
        <w:tc>
          <w:tcPr>
            <w:tcW w:w="1080" w:type="dxa"/>
            <w:vAlign w:val="bottom"/>
            <w:gridSpan w:val="2"/>
          </w:tcPr>
          <w:p>
            <w:pPr>
              <w:jc w:val="right"/>
              <w:ind w:right="240"/>
              <w:spacing w:after="0"/>
              <w:rPr>
                <w:sz w:val="20"/>
                <w:szCs w:val="20"/>
                <w:color w:val="auto"/>
              </w:rPr>
            </w:pPr>
            <w:r>
              <w:rPr>
                <w:rFonts w:ascii="Arial" w:cs="Arial" w:eastAsia="Arial" w:hAnsi="Arial"/>
                <w:sz w:val="13"/>
                <w:szCs w:val="13"/>
                <w:color w:val="auto"/>
              </w:rPr>
              <w:t>-</w:t>
            </w:r>
          </w:p>
        </w:tc>
        <w:tc>
          <w:tcPr>
            <w:tcW w:w="280" w:type="dxa"/>
            <w:vAlign w:val="bottom"/>
          </w:tcPr>
          <w:p>
            <w:pPr>
              <w:jc w:val="right"/>
              <w:ind w:right="168"/>
              <w:spacing w:after="0"/>
              <w:rPr>
                <w:sz w:val="20"/>
                <w:szCs w:val="20"/>
                <w:color w:val="auto"/>
              </w:rPr>
            </w:pPr>
            <w:r>
              <w:rPr>
                <w:rFonts w:ascii="Arial" w:cs="Arial" w:eastAsia="Arial" w:hAnsi="Arial"/>
                <w:sz w:val="10"/>
                <w:szCs w:val="10"/>
                <w:color w:val="auto"/>
                <w:w w:val="71"/>
              </w:rPr>
              <w:t>$</w:t>
            </w:r>
          </w:p>
        </w:tc>
        <w:tc>
          <w:tcPr>
            <w:tcW w:w="860" w:type="dxa"/>
            <w:vAlign w:val="bottom"/>
            <w:gridSpan w:val="2"/>
          </w:tcPr>
          <w:p>
            <w:pPr>
              <w:jc w:val="right"/>
              <w:ind w:right="240"/>
              <w:spacing w:after="0"/>
              <w:rPr>
                <w:sz w:val="20"/>
                <w:szCs w:val="20"/>
                <w:color w:val="auto"/>
              </w:rPr>
            </w:pPr>
            <w:r>
              <w:rPr>
                <w:rFonts w:ascii="Arial" w:cs="Arial" w:eastAsia="Arial" w:hAnsi="Arial"/>
                <w:sz w:val="13"/>
                <w:szCs w:val="13"/>
                <w:color w:val="auto"/>
              </w:rPr>
              <w:t>-</w:t>
            </w:r>
          </w:p>
        </w:tc>
        <w:tc>
          <w:tcPr>
            <w:tcW w:w="840" w:type="dxa"/>
            <w:vAlign w:val="bottom"/>
          </w:tcPr>
          <w:p>
            <w:pPr>
              <w:jc w:val="right"/>
              <w:ind w:right="725"/>
              <w:spacing w:after="0"/>
              <w:rPr>
                <w:sz w:val="20"/>
                <w:szCs w:val="20"/>
                <w:color w:val="auto"/>
              </w:rPr>
            </w:pPr>
            <w:r>
              <w:rPr>
                <w:rFonts w:ascii="Arial" w:cs="Arial" w:eastAsia="Arial" w:hAnsi="Arial"/>
                <w:sz w:val="10"/>
                <w:szCs w:val="10"/>
                <w:color w:val="auto"/>
                <w:w w:val="71"/>
              </w:rPr>
              <w:t>$</w:t>
            </w:r>
          </w:p>
        </w:tc>
        <w:tc>
          <w:tcPr>
            <w:tcW w:w="60" w:type="dxa"/>
            <w:vAlign w:val="bottom"/>
          </w:tcPr>
          <w:p>
            <w:pPr>
              <w:jc w:val="right"/>
              <w:spacing w:after="0"/>
              <w:rPr>
                <w:sz w:val="20"/>
                <w:szCs w:val="20"/>
                <w:color w:val="auto"/>
              </w:rPr>
            </w:pPr>
            <w:r>
              <w:rPr>
                <w:rFonts w:ascii="Arial" w:cs="Arial" w:eastAsia="Arial" w:hAnsi="Arial"/>
                <w:sz w:val="13"/>
                <w:szCs w:val="13"/>
                <w:color w:val="auto"/>
                <w:w w:val="91"/>
              </w:rPr>
              <w:t>-</w:t>
            </w:r>
          </w:p>
        </w:tc>
        <w:tc>
          <w:tcPr>
            <w:tcW w:w="1040" w:type="dxa"/>
            <w:vAlign w:val="bottom"/>
            <w:gridSpan w:val="2"/>
          </w:tcPr>
          <w:p>
            <w:pPr>
              <w:jc w:val="right"/>
              <w:ind w:right="695"/>
              <w:spacing w:after="0"/>
              <w:rPr>
                <w:sz w:val="20"/>
                <w:szCs w:val="20"/>
                <w:color w:val="auto"/>
              </w:rPr>
            </w:pPr>
            <w:r>
              <w:rPr>
                <w:rFonts w:ascii="Arial" w:cs="Arial" w:eastAsia="Arial" w:hAnsi="Arial"/>
                <w:sz w:val="13"/>
                <w:szCs w:val="13"/>
                <w:color w:val="auto"/>
              </w:rPr>
              <w:t>$</w:t>
            </w:r>
          </w:p>
        </w:tc>
        <w:tc>
          <w:tcPr>
            <w:tcW w:w="160" w:type="dxa"/>
            <w:vAlign w:val="bottom"/>
            <w:gridSpan w:val="2"/>
          </w:tcPr>
          <w:p>
            <w:pPr>
              <w:jc w:val="right"/>
              <w:ind w:right="100"/>
              <w:spacing w:after="0"/>
              <w:rPr>
                <w:sz w:val="20"/>
                <w:szCs w:val="20"/>
                <w:color w:val="auto"/>
              </w:rPr>
            </w:pPr>
            <w:r>
              <w:rPr>
                <w:rFonts w:ascii="Arial" w:cs="Arial" w:eastAsia="Arial" w:hAnsi="Arial"/>
                <w:sz w:val="13"/>
                <w:szCs w:val="13"/>
                <w:color w:val="auto"/>
                <w:w w:val="91"/>
              </w:rPr>
              <w:t>-</w:t>
            </w:r>
          </w:p>
        </w:tc>
        <w:tc>
          <w:tcPr>
            <w:tcW w:w="300" w:type="dxa"/>
            <w:vAlign w:val="bottom"/>
            <w:gridSpan w:val="2"/>
          </w:tcPr>
          <w:p>
            <w:pPr>
              <w:jc w:val="right"/>
              <w:ind w:right="55"/>
              <w:spacing w:after="0"/>
              <w:rPr>
                <w:sz w:val="20"/>
                <w:szCs w:val="20"/>
                <w:color w:val="auto"/>
              </w:rPr>
            </w:pPr>
            <w:r>
              <w:rPr>
                <w:rFonts w:ascii="Arial" w:cs="Arial" w:eastAsia="Arial" w:hAnsi="Arial"/>
                <w:sz w:val="13"/>
                <w:szCs w:val="13"/>
                <w:color w:val="auto"/>
              </w:rPr>
              <w:t>$</w:t>
            </w:r>
          </w:p>
        </w:tc>
        <w:tc>
          <w:tcPr>
            <w:tcW w:w="700" w:type="dxa"/>
            <w:vAlign w:val="bottom"/>
          </w:tcPr>
          <w:p>
            <w:pPr>
              <w:jc w:val="right"/>
              <w:spacing w:after="0"/>
              <w:rPr>
                <w:sz w:val="20"/>
                <w:szCs w:val="20"/>
                <w:color w:val="auto"/>
              </w:rPr>
            </w:pPr>
            <w:r>
              <w:rPr>
                <w:rFonts w:ascii="Arial" w:cs="Arial" w:eastAsia="Arial" w:hAnsi="Arial"/>
                <w:sz w:val="13"/>
                <w:szCs w:val="13"/>
                <w:color w:val="auto"/>
              </w:rPr>
              <w:t>364,835</w:t>
            </w:r>
          </w:p>
        </w:tc>
        <w:tc>
          <w:tcPr>
            <w:tcW w:w="100" w:type="dxa"/>
            <w:vAlign w:val="bottom"/>
          </w:tcPr>
          <w:p>
            <w:pPr>
              <w:spacing w:after="0"/>
              <w:rPr>
                <w:sz w:val="14"/>
                <w:szCs w:val="14"/>
                <w:color w:val="auto"/>
              </w:rPr>
            </w:pPr>
          </w:p>
        </w:tc>
      </w:tr>
      <w:tr>
        <w:trPr>
          <w:trHeight w:val="149"/>
        </w:trPr>
        <w:tc>
          <w:tcPr>
            <w:tcW w:w="3400" w:type="dxa"/>
            <w:vAlign w:val="bottom"/>
            <w:shd w:val="clear" w:color="auto" w:fill="CCEEFF"/>
          </w:tcPr>
          <w:p>
            <w:pPr>
              <w:spacing w:after="0"/>
              <w:rPr>
                <w:sz w:val="20"/>
                <w:szCs w:val="20"/>
                <w:color w:val="auto"/>
              </w:rPr>
            </w:pPr>
            <w:r>
              <w:rPr>
                <w:rFonts w:ascii="Arial" w:cs="Arial" w:eastAsia="Arial" w:hAnsi="Arial"/>
                <w:sz w:val="13"/>
                <w:szCs w:val="13"/>
                <w:i w:val="1"/>
                <w:iCs w:val="1"/>
                <w:color w:val="auto"/>
              </w:rPr>
              <w:t>Mercedes Soria</w:t>
            </w:r>
          </w:p>
        </w:tc>
        <w:tc>
          <w:tcPr>
            <w:tcW w:w="100" w:type="dxa"/>
            <w:vAlign w:val="bottom"/>
            <w:shd w:val="clear" w:color="auto" w:fill="CCEEFF"/>
          </w:tcPr>
          <w:p>
            <w:pPr>
              <w:spacing w:after="0"/>
              <w:rPr>
                <w:sz w:val="12"/>
                <w:szCs w:val="12"/>
                <w:color w:val="auto"/>
              </w:rPr>
            </w:pPr>
          </w:p>
        </w:tc>
        <w:tc>
          <w:tcPr>
            <w:tcW w:w="180" w:type="dxa"/>
            <w:vAlign w:val="bottom"/>
            <w:shd w:val="clear" w:color="auto" w:fill="CCEEFF"/>
          </w:tcPr>
          <w:p>
            <w:pPr>
              <w:spacing w:after="0"/>
              <w:rPr>
                <w:sz w:val="12"/>
                <w:szCs w:val="12"/>
                <w:color w:val="auto"/>
              </w:rPr>
            </w:pPr>
          </w:p>
        </w:tc>
        <w:tc>
          <w:tcPr>
            <w:tcW w:w="74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74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84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280" w:type="dxa"/>
            <w:vAlign w:val="bottom"/>
            <w:shd w:val="clear" w:color="auto" w:fill="CCEEFF"/>
          </w:tcPr>
          <w:p>
            <w:pPr>
              <w:spacing w:after="0"/>
              <w:rPr>
                <w:sz w:val="12"/>
                <w:szCs w:val="12"/>
                <w:color w:val="auto"/>
              </w:rPr>
            </w:pPr>
          </w:p>
        </w:tc>
        <w:tc>
          <w:tcPr>
            <w:tcW w:w="62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84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200" w:type="dxa"/>
            <w:vAlign w:val="bottom"/>
            <w:shd w:val="clear" w:color="auto" w:fill="CCEEFF"/>
          </w:tcPr>
          <w:p>
            <w:pPr>
              <w:spacing w:after="0"/>
              <w:rPr>
                <w:sz w:val="12"/>
                <w:szCs w:val="12"/>
                <w:color w:val="auto"/>
              </w:rPr>
            </w:pPr>
          </w:p>
        </w:tc>
        <w:tc>
          <w:tcPr>
            <w:tcW w:w="84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80" w:type="dxa"/>
            <w:vAlign w:val="bottom"/>
            <w:shd w:val="clear" w:color="auto" w:fill="CCEEFF"/>
          </w:tcPr>
          <w:p>
            <w:pPr>
              <w:spacing w:after="0"/>
              <w:rPr>
                <w:sz w:val="12"/>
                <w:szCs w:val="12"/>
                <w:color w:val="auto"/>
              </w:rPr>
            </w:pPr>
          </w:p>
        </w:tc>
        <w:tc>
          <w:tcPr>
            <w:tcW w:w="7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r>
      <w:tr>
        <w:trPr>
          <w:trHeight w:val="165"/>
        </w:trPr>
        <w:tc>
          <w:tcPr>
            <w:tcW w:w="3400" w:type="dxa"/>
            <w:vAlign w:val="bottom"/>
            <w:shd w:val="clear" w:color="auto" w:fill="CCEEFF"/>
          </w:tcPr>
          <w:p>
            <w:pPr>
              <w:spacing w:after="0"/>
              <w:rPr>
                <w:sz w:val="20"/>
                <w:szCs w:val="20"/>
                <w:color w:val="auto"/>
              </w:rPr>
            </w:pPr>
            <w:r>
              <w:rPr>
                <w:rFonts w:ascii="Arial" w:cs="Arial" w:eastAsia="Arial" w:hAnsi="Arial"/>
                <w:sz w:val="13"/>
                <w:szCs w:val="13"/>
                <w:i w:val="1"/>
                <w:iCs w:val="1"/>
                <w:color w:val="auto"/>
              </w:rPr>
              <w:t>Chief Intelligence Officer</w:t>
            </w:r>
          </w:p>
        </w:tc>
        <w:tc>
          <w:tcPr>
            <w:tcW w:w="28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9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224,047</w:t>
            </w:r>
          </w:p>
        </w:tc>
        <w:tc>
          <w:tcPr>
            <w:tcW w:w="160" w:type="dxa"/>
            <w:vAlign w:val="bottom"/>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9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155,000</w:t>
            </w:r>
          </w:p>
        </w:tc>
        <w:tc>
          <w:tcPr>
            <w:tcW w:w="60" w:type="dxa"/>
            <w:vAlign w:val="bottom"/>
            <w:shd w:val="clear" w:color="auto" w:fill="CCEEFF"/>
          </w:tcPr>
          <w:p>
            <w:pPr>
              <w:jc w:val="right"/>
              <w:spacing w:after="0"/>
              <w:rPr>
                <w:sz w:val="20"/>
                <w:szCs w:val="20"/>
                <w:color w:val="auto"/>
              </w:rPr>
            </w:pPr>
            <w:r>
              <w:rPr>
                <w:rFonts w:ascii="Arial" w:cs="Arial" w:eastAsia="Arial" w:hAnsi="Arial"/>
                <w:sz w:val="10"/>
                <w:szCs w:val="10"/>
                <w:color w:val="auto"/>
                <w:w w:val="71"/>
              </w:rPr>
              <w:t>$</w:t>
            </w:r>
          </w:p>
        </w:tc>
        <w:tc>
          <w:tcPr>
            <w:tcW w:w="10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w:t>
            </w:r>
          </w:p>
        </w:tc>
        <w:tc>
          <w:tcPr>
            <w:tcW w:w="280" w:type="dxa"/>
            <w:vAlign w:val="bottom"/>
            <w:shd w:val="clear" w:color="auto" w:fill="CCEEFF"/>
          </w:tcPr>
          <w:p>
            <w:pPr>
              <w:jc w:val="right"/>
              <w:ind w:right="168"/>
              <w:spacing w:after="0"/>
              <w:rPr>
                <w:sz w:val="20"/>
                <w:szCs w:val="20"/>
                <w:color w:val="auto"/>
              </w:rPr>
            </w:pPr>
            <w:r>
              <w:rPr>
                <w:rFonts w:ascii="Arial" w:cs="Arial" w:eastAsia="Arial" w:hAnsi="Arial"/>
                <w:sz w:val="10"/>
                <w:szCs w:val="10"/>
                <w:color w:val="auto"/>
                <w:w w:val="71"/>
              </w:rPr>
              <w:t>$</w:t>
            </w:r>
          </w:p>
        </w:tc>
        <w:tc>
          <w:tcPr>
            <w:tcW w:w="86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31,400</w:t>
            </w:r>
          </w:p>
        </w:tc>
        <w:tc>
          <w:tcPr>
            <w:tcW w:w="840" w:type="dxa"/>
            <w:vAlign w:val="bottom"/>
            <w:shd w:val="clear" w:color="auto" w:fill="CCEEFF"/>
          </w:tcPr>
          <w:p>
            <w:pPr>
              <w:jc w:val="right"/>
              <w:ind w:right="725"/>
              <w:spacing w:after="0"/>
              <w:rPr>
                <w:sz w:val="20"/>
                <w:szCs w:val="20"/>
                <w:color w:val="auto"/>
              </w:rPr>
            </w:pPr>
            <w:r>
              <w:rPr>
                <w:rFonts w:ascii="Arial" w:cs="Arial" w:eastAsia="Arial" w:hAnsi="Arial"/>
                <w:sz w:val="10"/>
                <w:szCs w:val="10"/>
                <w:color w:val="auto"/>
                <w:w w:val="71"/>
              </w:rPr>
              <w:t>$</w:t>
            </w:r>
          </w:p>
        </w:tc>
        <w:tc>
          <w:tcPr>
            <w:tcW w:w="60" w:type="dxa"/>
            <w:vAlign w:val="bottom"/>
            <w:shd w:val="clear" w:color="auto" w:fill="CCEEFF"/>
          </w:tcPr>
          <w:p>
            <w:pPr>
              <w:jc w:val="right"/>
              <w:spacing w:after="0"/>
              <w:rPr>
                <w:sz w:val="20"/>
                <w:szCs w:val="20"/>
                <w:color w:val="auto"/>
              </w:rPr>
            </w:pPr>
            <w:r>
              <w:rPr>
                <w:rFonts w:ascii="Arial" w:cs="Arial" w:eastAsia="Arial" w:hAnsi="Arial"/>
                <w:sz w:val="13"/>
                <w:szCs w:val="13"/>
                <w:color w:val="auto"/>
                <w:w w:val="91"/>
              </w:rPr>
              <w:t>-</w:t>
            </w:r>
          </w:p>
        </w:tc>
        <w:tc>
          <w:tcPr>
            <w:tcW w:w="1040" w:type="dxa"/>
            <w:vAlign w:val="bottom"/>
            <w:gridSpan w:val="2"/>
            <w:shd w:val="clear" w:color="auto" w:fill="CCEEFF"/>
          </w:tcPr>
          <w:p>
            <w:pPr>
              <w:jc w:val="right"/>
              <w:ind w:right="695"/>
              <w:spacing w:after="0"/>
              <w:rPr>
                <w:sz w:val="20"/>
                <w:szCs w:val="20"/>
                <w:color w:val="auto"/>
              </w:rPr>
            </w:pPr>
            <w:r>
              <w:rPr>
                <w:rFonts w:ascii="Arial" w:cs="Arial" w:eastAsia="Arial" w:hAnsi="Arial"/>
                <w:sz w:val="13"/>
                <w:szCs w:val="13"/>
                <w:color w:val="auto"/>
              </w:rPr>
              <w:t>$</w:t>
            </w:r>
          </w:p>
        </w:tc>
        <w:tc>
          <w:tcPr>
            <w:tcW w:w="1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w w:val="91"/>
              </w:rPr>
              <w:t>-</w:t>
            </w:r>
          </w:p>
        </w:tc>
        <w:tc>
          <w:tcPr>
            <w:tcW w:w="300" w:type="dxa"/>
            <w:vAlign w:val="bottom"/>
            <w:gridSpan w:val="2"/>
            <w:shd w:val="clear" w:color="auto" w:fill="CCEEFF"/>
          </w:tcPr>
          <w:p>
            <w:pPr>
              <w:jc w:val="right"/>
              <w:ind w:right="55"/>
              <w:spacing w:after="0"/>
              <w:rPr>
                <w:sz w:val="20"/>
                <w:szCs w:val="20"/>
                <w:color w:val="auto"/>
              </w:rPr>
            </w:pPr>
            <w:r>
              <w:rPr>
                <w:rFonts w:ascii="Arial" w:cs="Arial" w:eastAsia="Arial" w:hAnsi="Arial"/>
                <w:sz w:val="13"/>
                <w:szCs w:val="13"/>
                <w:color w:val="auto"/>
              </w:rPr>
              <w:t>$</w:t>
            </w:r>
          </w:p>
        </w:tc>
        <w:tc>
          <w:tcPr>
            <w:tcW w:w="7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410,447</w:t>
            </w:r>
          </w:p>
        </w:tc>
        <w:tc>
          <w:tcPr>
            <w:tcW w:w="100" w:type="dxa"/>
            <w:vAlign w:val="bottom"/>
            <w:shd w:val="clear" w:color="auto" w:fill="CCEEFF"/>
          </w:tcPr>
          <w:p>
            <w:pPr>
              <w:spacing w:after="0"/>
              <w:rPr>
                <w:sz w:val="14"/>
                <w:szCs w:val="14"/>
                <w:color w:val="auto"/>
              </w:rPr>
            </w:pPr>
          </w:p>
        </w:tc>
      </w:tr>
      <w:tr>
        <w:trPr>
          <w:trHeight w:val="148"/>
        </w:trPr>
        <w:tc>
          <w:tcPr>
            <w:tcW w:w="3400" w:type="dxa"/>
            <w:vAlign w:val="bottom"/>
          </w:tcPr>
          <w:p>
            <w:pPr>
              <w:spacing w:after="0" w:line="148" w:lineRule="exact"/>
              <w:rPr>
                <w:sz w:val="20"/>
                <w:szCs w:val="20"/>
                <w:color w:val="auto"/>
              </w:rPr>
            </w:pPr>
            <w:r>
              <w:rPr>
                <w:rFonts w:ascii="Arial" w:cs="Arial" w:eastAsia="Arial" w:hAnsi="Arial"/>
                <w:sz w:val="13"/>
                <w:szCs w:val="13"/>
                <w:i w:val="1"/>
                <w:iCs w:val="1"/>
                <w:color w:val="auto"/>
              </w:rPr>
              <w:t>Mallorie Burak</w:t>
            </w:r>
          </w:p>
        </w:tc>
        <w:tc>
          <w:tcPr>
            <w:tcW w:w="10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74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74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4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84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84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100" w:type="dxa"/>
            <w:vAlign w:val="bottom"/>
          </w:tcPr>
          <w:p>
            <w:pPr>
              <w:spacing w:after="0"/>
              <w:rPr>
                <w:sz w:val="12"/>
                <w:szCs w:val="12"/>
                <w:color w:val="auto"/>
              </w:rPr>
            </w:pPr>
          </w:p>
        </w:tc>
      </w:tr>
      <w:tr>
        <w:trPr>
          <w:trHeight w:val="164"/>
        </w:trPr>
        <w:tc>
          <w:tcPr>
            <w:tcW w:w="3400" w:type="dxa"/>
            <w:vAlign w:val="bottom"/>
          </w:tcPr>
          <w:p>
            <w:pPr>
              <w:spacing w:after="0"/>
              <w:rPr>
                <w:sz w:val="20"/>
                <w:szCs w:val="20"/>
                <w:color w:val="auto"/>
              </w:rPr>
            </w:pPr>
            <w:r>
              <w:rPr>
                <w:rFonts w:ascii="Arial" w:cs="Arial" w:eastAsia="Arial" w:hAnsi="Arial"/>
                <w:sz w:val="13"/>
                <w:szCs w:val="13"/>
                <w:i w:val="1"/>
                <w:iCs w:val="1"/>
                <w:color w:val="auto"/>
              </w:rPr>
              <w:t>Chief Financial Officer</w:t>
            </w:r>
          </w:p>
        </w:tc>
        <w:tc>
          <w:tcPr>
            <w:tcW w:w="2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980" w:type="dxa"/>
            <w:vAlign w:val="bottom"/>
            <w:gridSpan w:val="2"/>
          </w:tcPr>
          <w:p>
            <w:pPr>
              <w:jc w:val="right"/>
              <w:ind w:right="240"/>
              <w:spacing w:after="0"/>
              <w:rPr>
                <w:sz w:val="20"/>
                <w:szCs w:val="20"/>
                <w:color w:val="auto"/>
              </w:rPr>
            </w:pPr>
            <w:r>
              <w:rPr>
                <w:rFonts w:ascii="Arial" w:cs="Arial" w:eastAsia="Arial" w:hAnsi="Arial"/>
                <w:sz w:val="13"/>
                <w:szCs w:val="13"/>
                <w:color w:val="auto"/>
              </w:rPr>
              <w:t>60,606</w:t>
            </w:r>
          </w:p>
        </w:tc>
        <w:tc>
          <w:tcPr>
            <w:tcW w:w="160" w:type="dxa"/>
            <w:vAlign w:val="bottom"/>
          </w:tcPr>
          <w:p>
            <w:pPr>
              <w:jc w:val="right"/>
              <w:ind w:right="51"/>
              <w:spacing w:after="0"/>
              <w:rPr>
                <w:sz w:val="20"/>
                <w:szCs w:val="20"/>
                <w:color w:val="auto"/>
              </w:rPr>
            </w:pPr>
            <w:r>
              <w:rPr>
                <w:rFonts w:ascii="Arial" w:cs="Arial" w:eastAsia="Arial" w:hAnsi="Arial"/>
                <w:sz w:val="10"/>
                <w:szCs w:val="10"/>
                <w:color w:val="auto"/>
                <w:w w:val="71"/>
              </w:rPr>
              <w:t>$</w:t>
            </w:r>
          </w:p>
        </w:tc>
        <w:tc>
          <w:tcPr>
            <w:tcW w:w="980" w:type="dxa"/>
            <w:vAlign w:val="bottom"/>
            <w:gridSpan w:val="2"/>
          </w:tcPr>
          <w:p>
            <w:pPr>
              <w:jc w:val="right"/>
              <w:ind w:right="240"/>
              <w:spacing w:after="0"/>
              <w:rPr>
                <w:sz w:val="20"/>
                <w:szCs w:val="20"/>
                <w:color w:val="auto"/>
              </w:rPr>
            </w:pPr>
            <w:r>
              <w:rPr>
                <w:rFonts w:ascii="Arial" w:cs="Arial" w:eastAsia="Arial" w:hAnsi="Arial"/>
                <w:sz w:val="13"/>
                <w:szCs w:val="13"/>
                <w:color w:val="auto"/>
              </w:rPr>
              <w:t>-</w:t>
            </w:r>
          </w:p>
        </w:tc>
        <w:tc>
          <w:tcPr>
            <w:tcW w:w="60" w:type="dxa"/>
            <w:vAlign w:val="bottom"/>
          </w:tcPr>
          <w:p>
            <w:pPr>
              <w:jc w:val="right"/>
              <w:spacing w:after="0"/>
              <w:rPr>
                <w:sz w:val="20"/>
                <w:szCs w:val="20"/>
                <w:color w:val="auto"/>
              </w:rPr>
            </w:pPr>
            <w:r>
              <w:rPr>
                <w:rFonts w:ascii="Arial" w:cs="Arial" w:eastAsia="Arial" w:hAnsi="Arial"/>
                <w:sz w:val="10"/>
                <w:szCs w:val="10"/>
                <w:color w:val="auto"/>
                <w:w w:val="71"/>
              </w:rPr>
              <w:t>$</w:t>
            </w:r>
          </w:p>
        </w:tc>
        <w:tc>
          <w:tcPr>
            <w:tcW w:w="1080" w:type="dxa"/>
            <w:vAlign w:val="bottom"/>
            <w:gridSpan w:val="2"/>
          </w:tcPr>
          <w:p>
            <w:pPr>
              <w:jc w:val="right"/>
              <w:ind w:right="240"/>
              <w:spacing w:after="0"/>
              <w:rPr>
                <w:sz w:val="20"/>
                <w:szCs w:val="20"/>
                <w:color w:val="auto"/>
              </w:rPr>
            </w:pPr>
            <w:r>
              <w:rPr>
                <w:rFonts w:ascii="Arial" w:cs="Arial" w:eastAsia="Arial" w:hAnsi="Arial"/>
                <w:sz w:val="13"/>
                <w:szCs w:val="13"/>
                <w:color w:val="auto"/>
              </w:rPr>
              <w:t>-</w:t>
            </w:r>
          </w:p>
        </w:tc>
        <w:tc>
          <w:tcPr>
            <w:tcW w:w="280" w:type="dxa"/>
            <w:vAlign w:val="bottom"/>
          </w:tcPr>
          <w:p>
            <w:pPr>
              <w:jc w:val="right"/>
              <w:ind w:right="168"/>
              <w:spacing w:after="0"/>
              <w:rPr>
                <w:sz w:val="20"/>
                <w:szCs w:val="20"/>
                <w:color w:val="auto"/>
              </w:rPr>
            </w:pPr>
            <w:r>
              <w:rPr>
                <w:rFonts w:ascii="Arial" w:cs="Arial" w:eastAsia="Arial" w:hAnsi="Arial"/>
                <w:sz w:val="10"/>
                <w:szCs w:val="10"/>
                <w:color w:val="auto"/>
                <w:w w:val="71"/>
              </w:rPr>
              <w:t>$</w:t>
            </w:r>
          </w:p>
        </w:tc>
        <w:tc>
          <w:tcPr>
            <w:tcW w:w="860" w:type="dxa"/>
            <w:vAlign w:val="bottom"/>
            <w:gridSpan w:val="2"/>
          </w:tcPr>
          <w:p>
            <w:pPr>
              <w:jc w:val="right"/>
              <w:ind w:right="240"/>
              <w:spacing w:after="0"/>
              <w:rPr>
                <w:sz w:val="20"/>
                <w:szCs w:val="20"/>
                <w:color w:val="auto"/>
              </w:rPr>
            </w:pPr>
            <w:r>
              <w:rPr>
                <w:rFonts w:ascii="Arial" w:cs="Arial" w:eastAsia="Arial" w:hAnsi="Arial"/>
                <w:sz w:val="13"/>
                <w:szCs w:val="13"/>
                <w:color w:val="auto"/>
              </w:rPr>
              <w:t>570,000</w:t>
            </w:r>
          </w:p>
        </w:tc>
        <w:tc>
          <w:tcPr>
            <w:tcW w:w="840" w:type="dxa"/>
            <w:vAlign w:val="bottom"/>
          </w:tcPr>
          <w:p>
            <w:pPr>
              <w:jc w:val="right"/>
              <w:ind w:right="725"/>
              <w:spacing w:after="0"/>
              <w:rPr>
                <w:sz w:val="20"/>
                <w:szCs w:val="20"/>
                <w:color w:val="auto"/>
              </w:rPr>
            </w:pPr>
            <w:r>
              <w:rPr>
                <w:rFonts w:ascii="Arial" w:cs="Arial" w:eastAsia="Arial" w:hAnsi="Arial"/>
                <w:sz w:val="10"/>
                <w:szCs w:val="10"/>
                <w:color w:val="auto"/>
                <w:w w:val="71"/>
              </w:rPr>
              <w:t>$</w:t>
            </w:r>
          </w:p>
        </w:tc>
        <w:tc>
          <w:tcPr>
            <w:tcW w:w="60" w:type="dxa"/>
            <w:vAlign w:val="bottom"/>
          </w:tcPr>
          <w:p>
            <w:pPr>
              <w:jc w:val="right"/>
              <w:spacing w:after="0"/>
              <w:rPr>
                <w:sz w:val="20"/>
                <w:szCs w:val="20"/>
                <w:color w:val="auto"/>
              </w:rPr>
            </w:pPr>
            <w:r>
              <w:rPr>
                <w:rFonts w:ascii="Arial" w:cs="Arial" w:eastAsia="Arial" w:hAnsi="Arial"/>
                <w:sz w:val="13"/>
                <w:szCs w:val="13"/>
                <w:color w:val="auto"/>
                <w:w w:val="91"/>
              </w:rPr>
              <w:t>-</w:t>
            </w:r>
          </w:p>
        </w:tc>
        <w:tc>
          <w:tcPr>
            <w:tcW w:w="1040" w:type="dxa"/>
            <w:vAlign w:val="bottom"/>
            <w:gridSpan w:val="2"/>
          </w:tcPr>
          <w:p>
            <w:pPr>
              <w:jc w:val="right"/>
              <w:ind w:right="695"/>
              <w:spacing w:after="0"/>
              <w:rPr>
                <w:sz w:val="20"/>
                <w:szCs w:val="20"/>
                <w:color w:val="auto"/>
              </w:rPr>
            </w:pPr>
            <w:r>
              <w:rPr>
                <w:rFonts w:ascii="Arial" w:cs="Arial" w:eastAsia="Arial" w:hAnsi="Arial"/>
                <w:sz w:val="13"/>
                <w:szCs w:val="13"/>
                <w:color w:val="auto"/>
              </w:rPr>
              <w:t>$</w:t>
            </w:r>
          </w:p>
        </w:tc>
        <w:tc>
          <w:tcPr>
            <w:tcW w:w="160" w:type="dxa"/>
            <w:vAlign w:val="bottom"/>
            <w:gridSpan w:val="2"/>
          </w:tcPr>
          <w:p>
            <w:pPr>
              <w:jc w:val="right"/>
              <w:ind w:right="100"/>
              <w:spacing w:after="0"/>
              <w:rPr>
                <w:sz w:val="20"/>
                <w:szCs w:val="20"/>
                <w:color w:val="auto"/>
              </w:rPr>
            </w:pPr>
            <w:r>
              <w:rPr>
                <w:rFonts w:ascii="Arial" w:cs="Arial" w:eastAsia="Arial" w:hAnsi="Arial"/>
                <w:sz w:val="13"/>
                <w:szCs w:val="13"/>
                <w:color w:val="auto"/>
                <w:w w:val="91"/>
              </w:rPr>
              <w:t>-</w:t>
            </w:r>
          </w:p>
        </w:tc>
        <w:tc>
          <w:tcPr>
            <w:tcW w:w="300" w:type="dxa"/>
            <w:vAlign w:val="bottom"/>
            <w:gridSpan w:val="2"/>
          </w:tcPr>
          <w:p>
            <w:pPr>
              <w:jc w:val="right"/>
              <w:ind w:right="55"/>
              <w:spacing w:after="0"/>
              <w:rPr>
                <w:sz w:val="20"/>
                <w:szCs w:val="20"/>
                <w:color w:val="auto"/>
              </w:rPr>
            </w:pPr>
            <w:r>
              <w:rPr>
                <w:rFonts w:ascii="Arial" w:cs="Arial" w:eastAsia="Arial" w:hAnsi="Arial"/>
                <w:sz w:val="13"/>
                <w:szCs w:val="13"/>
                <w:color w:val="auto"/>
              </w:rPr>
              <w:t>$</w:t>
            </w:r>
          </w:p>
        </w:tc>
        <w:tc>
          <w:tcPr>
            <w:tcW w:w="700" w:type="dxa"/>
            <w:vAlign w:val="bottom"/>
          </w:tcPr>
          <w:p>
            <w:pPr>
              <w:jc w:val="right"/>
              <w:spacing w:after="0"/>
              <w:rPr>
                <w:sz w:val="20"/>
                <w:szCs w:val="20"/>
                <w:color w:val="auto"/>
              </w:rPr>
            </w:pPr>
            <w:r>
              <w:rPr>
                <w:rFonts w:ascii="Arial" w:cs="Arial" w:eastAsia="Arial" w:hAnsi="Arial"/>
                <w:sz w:val="13"/>
                <w:szCs w:val="13"/>
                <w:color w:val="auto"/>
              </w:rPr>
              <w:t>630,606</w:t>
            </w:r>
          </w:p>
        </w:tc>
        <w:tc>
          <w:tcPr>
            <w:tcW w:w="100" w:type="dxa"/>
            <w:vAlign w:val="bottom"/>
          </w:tcPr>
          <w:p>
            <w:pPr>
              <w:spacing w:after="0"/>
              <w:rPr>
                <w:sz w:val="14"/>
                <w:szCs w:val="14"/>
                <w:color w:val="auto"/>
              </w:rPr>
            </w:pPr>
          </w:p>
        </w:tc>
      </w:tr>
      <w:tr>
        <w:trPr>
          <w:trHeight w:val="149"/>
        </w:trPr>
        <w:tc>
          <w:tcPr>
            <w:tcW w:w="3400" w:type="dxa"/>
            <w:vAlign w:val="bottom"/>
            <w:shd w:val="clear" w:color="auto" w:fill="CCEEFF"/>
          </w:tcPr>
          <w:p>
            <w:pPr>
              <w:spacing w:after="0"/>
              <w:rPr>
                <w:sz w:val="20"/>
                <w:szCs w:val="20"/>
                <w:color w:val="auto"/>
              </w:rPr>
            </w:pPr>
            <w:r>
              <w:rPr>
                <w:rFonts w:ascii="Arial" w:cs="Arial" w:eastAsia="Arial" w:hAnsi="Arial"/>
                <w:sz w:val="13"/>
                <w:szCs w:val="13"/>
                <w:i w:val="1"/>
                <w:iCs w:val="1"/>
                <w:color w:val="auto"/>
              </w:rPr>
              <w:t>Aaron J. Lehnhardt</w:t>
            </w:r>
          </w:p>
        </w:tc>
        <w:tc>
          <w:tcPr>
            <w:tcW w:w="100" w:type="dxa"/>
            <w:vAlign w:val="bottom"/>
            <w:shd w:val="clear" w:color="auto" w:fill="CCEEFF"/>
          </w:tcPr>
          <w:p>
            <w:pPr>
              <w:spacing w:after="0"/>
              <w:rPr>
                <w:sz w:val="12"/>
                <w:szCs w:val="12"/>
                <w:color w:val="auto"/>
              </w:rPr>
            </w:pPr>
          </w:p>
        </w:tc>
        <w:tc>
          <w:tcPr>
            <w:tcW w:w="180" w:type="dxa"/>
            <w:vAlign w:val="bottom"/>
            <w:shd w:val="clear" w:color="auto" w:fill="CCEEFF"/>
          </w:tcPr>
          <w:p>
            <w:pPr>
              <w:spacing w:after="0"/>
              <w:rPr>
                <w:sz w:val="12"/>
                <w:szCs w:val="12"/>
                <w:color w:val="auto"/>
              </w:rPr>
            </w:pPr>
          </w:p>
        </w:tc>
        <w:tc>
          <w:tcPr>
            <w:tcW w:w="74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160" w:type="dxa"/>
            <w:vAlign w:val="bottom"/>
            <w:shd w:val="clear" w:color="auto" w:fill="CCEEFF"/>
          </w:tcPr>
          <w:p>
            <w:pPr>
              <w:spacing w:after="0"/>
              <w:rPr>
                <w:sz w:val="12"/>
                <w:szCs w:val="12"/>
                <w:color w:val="auto"/>
              </w:rPr>
            </w:pPr>
          </w:p>
        </w:tc>
        <w:tc>
          <w:tcPr>
            <w:tcW w:w="74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84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280" w:type="dxa"/>
            <w:vAlign w:val="bottom"/>
            <w:shd w:val="clear" w:color="auto" w:fill="CCEEFF"/>
          </w:tcPr>
          <w:p>
            <w:pPr>
              <w:spacing w:after="0"/>
              <w:rPr>
                <w:sz w:val="12"/>
                <w:szCs w:val="12"/>
                <w:color w:val="auto"/>
              </w:rPr>
            </w:pPr>
          </w:p>
        </w:tc>
        <w:tc>
          <w:tcPr>
            <w:tcW w:w="62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84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200" w:type="dxa"/>
            <w:vAlign w:val="bottom"/>
            <w:shd w:val="clear" w:color="auto" w:fill="CCEEFF"/>
          </w:tcPr>
          <w:p>
            <w:pPr>
              <w:spacing w:after="0"/>
              <w:rPr>
                <w:sz w:val="12"/>
                <w:szCs w:val="12"/>
                <w:color w:val="auto"/>
              </w:rPr>
            </w:pPr>
          </w:p>
        </w:tc>
        <w:tc>
          <w:tcPr>
            <w:tcW w:w="840" w:type="dxa"/>
            <w:vAlign w:val="bottom"/>
            <w:shd w:val="clear" w:color="auto" w:fill="CCEEFF"/>
          </w:tcPr>
          <w:p>
            <w:pPr>
              <w:spacing w:after="0"/>
              <w:rPr>
                <w:sz w:val="12"/>
                <w:szCs w:val="12"/>
                <w:color w:val="auto"/>
              </w:rPr>
            </w:pPr>
          </w:p>
        </w:tc>
        <w:tc>
          <w:tcPr>
            <w:tcW w:w="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80" w:type="dxa"/>
            <w:vAlign w:val="bottom"/>
            <w:shd w:val="clear" w:color="auto" w:fill="CCEEFF"/>
          </w:tcPr>
          <w:p>
            <w:pPr>
              <w:spacing w:after="0"/>
              <w:rPr>
                <w:sz w:val="12"/>
                <w:szCs w:val="12"/>
                <w:color w:val="auto"/>
              </w:rPr>
            </w:pPr>
          </w:p>
        </w:tc>
        <w:tc>
          <w:tcPr>
            <w:tcW w:w="70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r>
      <w:tr>
        <w:trPr>
          <w:trHeight w:val="165"/>
        </w:trPr>
        <w:tc>
          <w:tcPr>
            <w:tcW w:w="3400" w:type="dxa"/>
            <w:vAlign w:val="bottom"/>
            <w:shd w:val="clear" w:color="auto" w:fill="CCEEFF"/>
          </w:tcPr>
          <w:p>
            <w:pPr>
              <w:spacing w:after="0"/>
              <w:rPr>
                <w:sz w:val="20"/>
                <w:szCs w:val="20"/>
                <w:color w:val="auto"/>
              </w:rPr>
            </w:pPr>
            <w:r>
              <w:rPr>
                <w:rFonts w:ascii="Arial" w:cs="Arial" w:eastAsia="Arial" w:hAnsi="Arial"/>
                <w:sz w:val="13"/>
                <w:szCs w:val="13"/>
                <w:i w:val="1"/>
                <w:iCs w:val="1"/>
                <w:color w:val="auto"/>
              </w:rPr>
              <w:t>Chief Design Officer</w:t>
            </w:r>
          </w:p>
        </w:tc>
        <w:tc>
          <w:tcPr>
            <w:tcW w:w="28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9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206,623</w:t>
            </w:r>
          </w:p>
        </w:tc>
        <w:tc>
          <w:tcPr>
            <w:tcW w:w="160" w:type="dxa"/>
            <w:vAlign w:val="bottom"/>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9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155,000</w:t>
            </w:r>
          </w:p>
        </w:tc>
        <w:tc>
          <w:tcPr>
            <w:tcW w:w="60" w:type="dxa"/>
            <w:vAlign w:val="bottom"/>
            <w:shd w:val="clear" w:color="auto" w:fill="CCEEFF"/>
          </w:tcPr>
          <w:p>
            <w:pPr>
              <w:jc w:val="right"/>
              <w:spacing w:after="0"/>
              <w:rPr>
                <w:sz w:val="20"/>
                <w:szCs w:val="20"/>
                <w:color w:val="auto"/>
              </w:rPr>
            </w:pPr>
            <w:r>
              <w:rPr>
                <w:rFonts w:ascii="Arial" w:cs="Arial" w:eastAsia="Arial" w:hAnsi="Arial"/>
                <w:sz w:val="10"/>
                <w:szCs w:val="10"/>
                <w:color w:val="auto"/>
                <w:w w:val="71"/>
              </w:rPr>
              <w:t>$</w:t>
            </w:r>
          </w:p>
        </w:tc>
        <w:tc>
          <w:tcPr>
            <w:tcW w:w="10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w:t>
            </w:r>
          </w:p>
        </w:tc>
        <w:tc>
          <w:tcPr>
            <w:tcW w:w="280" w:type="dxa"/>
            <w:vAlign w:val="bottom"/>
            <w:shd w:val="clear" w:color="auto" w:fill="CCEEFF"/>
          </w:tcPr>
          <w:p>
            <w:pPr>
              <w:jc w:val="right"/>
              <w:ind w:right="168"/>
              <w:spacing w:after="0"/>
              <w:rPr>
                <w:sz w:val="20"/>
                <w:szCs w:val="20"/>
                <w:color w:val="auto"/>
              </w:rPr>
            </w:pPr>
            <w:r>
              <w:rPr>
                <w:rFonts w:ascii="Arial" w:cs="Arial" w:eastAsia="Arial" w:hAnsi="Arial"/>
                <w:sz w:val="10"/>
                <w:szCs w:val="10"/>
                <w:color w:val="auto"/>
                <w:w w:val="71"/>
              </w:rPr>
              <w:t>$</w:t>
            </w:r>
          </w:p>
        </w:tc>
        <w:tc>
          <w:tcPr>
            <w:tcW w:w="86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31,400</w:t>
            </w:r>
          </w:p>
        </w:tc>
        <w:tc>
          <w:tcPr>
            <w:tcW w:w="840" w:type="dxa"/>
            <w:vAlign w:val="bottom"/>
            <w:shd w:val="clear" w:color="auto" w:fill="CCEEFF"/>
          </w:tcPr>
          <w:p>
            <w:pPr>
              <w:jc w:val="right"/>
              <w:ind w:right="725"/>
              <w:spacing w:after="0"/>
              <w:rPr>
                <w:sz w:val="20"/>
                <w:szCs w:val="20"/>
                <w:color w:val="auto"/>
              </w:rPr>
            </w:pPr>
            <w:r>
              <w:rPr>
                <w:rFonts w:ascii="Arial" w:cs="Arial" w:eastAsia="Arial" w:hAnsi="Arial"/>
                <w:sz w:val="10"/>
                <w:szCs w:val="10"/>
                <w:color w:val="auto"/>
                <w:w w:val="71"/>
              </w:rPr>
              <w:t>$</w:t>
            </w:r>
          </w:p>
        </w:tc>
        <w:tc>
          <w:tcPr>
            <w:tcW w:w="60" w:type="dxa"/>
            <w:vAlign w:val="bottom"/>
            <w:shd w:val="clear" w:color="auto" w:fill="CCEEFF"/>
          </w:tcPr>
          <w:p>
            <w:pPr>
              <w:jc w:val="right"/>
              <w:spacing w:after="0"/>
              <w:rPr>
                <w:sz w:val="20"/>
                <w:szCs w:val="20"/>
                <w:color w:val="auto"/>
              </w:rPr>
            </w:pPr>
            <w:r>
              <w:rPr>
                <w:rFonts w:ascii="Arial" w:cs="Arial" w:eastAsia="Arial" w:hAnsi="Arial"/>
                <w:sz w:val="13"/>
                <w:szCs w:val="13"/>
                <w:color w:val="auto"/>
                <w:w w:val="91"/>
              </w:rPr>
              <w:t>-</w:t>
            </w:r>
          </w:p>
        </w:tc>
        <w:tc>
          <w:tcPr>
            <w:tcW w:w="1040" w:type="dxa"/>
            <w:vAlign w:val="bottom"/>
            <w:gridSpan w:val="2"/>
            <w:shd w:val="clear" w:color="auto" w:fill="CCEEFF"/>
          </w:tcPr>
          <w:p>
            <w:pPr>
              <w:jc w:val="right"/>
              <w:ind w:right="695"/>
              <w:spacing w:after="0"/>
              <w:rPr>
                <w:sz w:val="20"/>
                <w:szCs w:val="20"/>
                <w:color w:val="auto"/>
              </w:rPr>
            </w:pPr>
            <w:r>
              <w:rPr>
                <w:rFonts w:ascii="Arial" w:cs="Arial" w:eastAsia="Arial" w:hAnsi="Arial"/>
                <w:sz w:val="13"/>
                <w:szCs w:val="13"/>
                <w:color w:val="auto"/>
              </w:rPr>
              <w:t>$</w:t>
            </w:r>
          </w:p>
        </w:tc>
        <w:tc>
          <w:tcPr>
            <w:tcW w:w="1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w w:val="91"/>
              </w:rPr>
              <w:t>-</w:t>
            </w:r>
          </w:p>
        </w:tc>
        <w:tc>
          <w:tcPr>
            <w:tcW w:w="300" w:type="dxa"/>
            <w:vAlign w:val="bottom"/>
            <w:gridSpan w:val="2"/>
            <w:shd w:val="clear" w:color="auto" w:fill="CCEEFF"/>
          </w:tcPr>
          <w:p>
            <w:pPr>
              <w:jc w:val="right"/>
              <w:ind w:right="55"/>
              <w:spacing w:after="0"/>
              <w:rPr>
                <w:sz w:val="20"/>
                <w:szCs w:val="20"/>
                <w:color w:val="auto"/>
              </w:rPr>
            </w:pPr>
            <w:r>
              <w:rPr>
                <w:rFonts w:ascii="Arial" w:cs="Arial" w:eastAsia="Arial" w:hAnsi="Arial"/>
                <w:sz w:val="13"/>
                <w:szCs w:val="13"/>
                <w:color w:val="auto"/>
              </w:rPr>
              <w:t>$</w:t>
            </w:r>
          </w:p>
        </w:tc>
        <w:tc>
          <w:tcPr>
            <w:tcW w:w="7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393,023</w:t>
            </w:r>
          </w:p>
        </w:tc>
        <w:tc>
          <w:tcPr>
            <w:tcW w:w="100" w:type="dxa"/>
            <w:vAlign w:val="bottom"/>
            <w:shd w:val="clear" w:color="auto" w:fill="CCEEFF"/>
          </w:tcPr>
          <w:p>
            <w:pPr>
              <w:spacing w:after="0"/>
              <w:rPr>
                <w:sz w:val="14"/>
                <w:szCs w:val="14"/>
                <w:color w:val="auto"/>
              </w:rPr>
            </w:pPr>
          </w:p>
        </w:tc>
      </w:tr>
    </w:tbl>
    <w:p>
      <w:pPr>
        <w:spacing w:after="0" w:line="14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Narrative to Summary Compensation Table</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Principal Elements of Compensation</w:t>
      </w:r>
    </w:p>
    <w:p>
      <w:pPr>
        <w:spacing w:after="0" w:line="163" w:lineRule="exact"/>
        <w:rPr>
          <w:sz w:val="20"/>
          <w:szCs w:val="20"/>
          <w:color w:val="auto"/>
        </w:rPr>
      </w:pPr>
    </w:p>
    <w:p>
      <w:pPr>
        <w:jc w:val="both"/>
        <w:ind w:right="80"/>
        <w:spacing w:after="0" w:line="262" w:lineRule="auto"/>
        <w:rPr>
          <w:sz w:val="20"/>
          <w:szCs w:val="20"/>
          <w:color w:val="auto"/>
        </w:rPr>
      </w:pPr>
      <w:r>
        <w:rPr>
          <w:rFonts w:ascii="Arial" w:cs="Arial" w:eastAsia="Arial" w:hAnsi="Arial"/>
          <w:sz w:val="13"/>
          <w:szCs w:val="13"/>
          <w:color w:val="auto"/>
        </w:rPr>
        <w:t>The compensation of the Company’s executive officers is comprised of the following major elements: (a) base salary; (b) an annual, discretionary cash bonus; and (c) long-term equity incentives, consisting of stock options, restricted stock awards, performance compensation awards and/or other applicable awards granted under the Company’s equity incentive plan and any other equity plan that may be approved by the board of directors from time to time. These principal elements of compensation are described below.</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i w:val="1"/>
          <w:iCs w:val="1"/>
          <w:color w:val="auto"/>
        </w:rPr>
        <w:t>Base Salaries</w:t>
      </w:r>
    </w:p>
    <w:p>
      <w:pPr>
        <w:spacing w:after="0" w:line="163"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Base salary is provided as a fixed source of compensation for our executive officers. Adjustments to base salaries will be reviewed annually and as warranted throughout the year to reflect promotions or other changes in the scope of breadth of an executive officer’s role or responsibilities, as well as to maintain market competitiveness.</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i w:val="1"/>
          <w:iCs w:val="1"/>
          <w:color w:val="auto"/>
        </w:rPr>
        <w:t>Annual Bonuses</w:t>
      </w:r>
    </w:p>
    <w:p>
      <w:pPr>
        <w:spacing w:after="0" w:line="163" w:lineRule="exact"/>
        <w:rPr>
          <w:sz w:val="20"/>
          <w:szCs w:val="20"/>
          <w:color w:val="auto"/>
        </w:rPr>
      </w:pPr>
    </w:p>
    <w:p>
      <w:pPr>
        <w:ind w:right="280"/>
        <w:spacing w:after="0" w:line="262" w:lineRule="auto"/>
        <w:rPr>
          <w:sz w:val="20"/>
          <w:szCs w:val="20"/>
          <w:color w:val="auto"/>
        </w:rPr>
      </w:pPr>
      <w:r>
        <w:rPr>
          <w:rFonts w:ascii="Arial" w:cs="Arial" w:eastAsia="Arial" w:hAnsi="Arial"/>
          <w:sz w:val="13"/>
          <w:szCs w:val="13"/>
          <w:color w:val="auto"/>
        </w:rPr>
        <w:t>Annual bonuses may be awarded based on qualitative and quantitative performance standards and will reward performance of our executive officers individually. The determination of an executive officer’s performance may vary from year to year depending on economic conditions and conditions in our industry and may be based on measures such as stock price performance, the meeting of financial targets against budget, the meeting of acquisition objectives and balance sheet performance.</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i w:val="1"/>
          <w:iCs w:val="1"/>
          <w:color w:val="auto"/>
        </w:rPr>
        <w:t>Equity Incentive Plan</w:t>
      </w:r>
    </w:p>
    <w:p>
      <w:pPr>
        <w:spacing w:after="0" w:line="163" w:lineRule="exact"/>
        <w:rPr>
          <w:sz w:val="20"/>
          <w:szCs w:val="20"/>
          <w:color w:val="auto"/>
        </w:rPr>
      </w:pPr>
    </w:p>
    <w:p>
      <w:pPr>
        <w:ind w:right="20"/>
        <w:spacing w:after="0" w:line="262" w:lineRule="auto"/>
        <w:rPr>
          <w:sz w:val="20"/>
          <w:szCs w:val="20"/>
          <w:color w:val="auto"/>
        </w:rPr>
      </w:pPr>
      <w:r>
        <w:rPr>
          <w:rFonts w:ascii="Arial" w:cs="Arial" w:eastAsia="Arial" w:hAnsi="Arial"/>
          <w:sz w:val="13"/>
          <w:szCs w:val="13"/>
          <w:color w:val="auto"/>
        </w:rPr>
        <w:t>The equity incentive plan provides continual motivation for our officers, employees, consultants and directors to achieve our business and financial objectives and align their interests with the long-term interests of our stockholders. The purpose of our equity incentive plan is to promote greater alignment of interests between employees and stockholders, and to support the achievement of our longer-term performance objectives, while providing a long term retention element.</w:t>
      </w:r>
    </w:p>
    <w:p>
      <w:pPr>
        <w:spacing w:after="0" w:line="293"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43" w:name="page44"/>
    <w:bookmarkEnd w:id="43"/>
    <w:p>
      <w:pPr>
        <w:spacing w:after="0"/>
        <w:rPr>
          <w:sz w:val="20"/>
          <w:szCs w:val="20"/>
          <w:color w:val="auto"/>
        </w:rPr>
      </w:pPr>
      <w:r>
        <w:rPr>
          <w:rFonts w:ascii="Arial" w:cs="Arial" w:eastAsia="Arial" w:hAnsi="Arial"/>
          <w:sz w:val="13"/>
          <w:szCs w:val="13"/>
          <w:b w:val="1"/>
          <w:bCs w:val="1"/>
          <w:color w:val="auto"/>
        </w:rPr>
        <w:t>Employment Agreements</w:t>
      </w:r>
    </w:p>
    <w:p>
      <w:pPr>
        <w:spacing w:after="0" w:line="167" w:lineRule="exact"/>
        <w:rPr>
          <w:sz w:val="20"/>
          <w:szCs w:val="20"/>
          <w:color w:val="auto"/>
        </w:rPr>
      </w:pPr>
    </w:p>
    <w:p>
      <w:pPr>
        <w:spacing w:after="0" w:line="305" w:lineRule="auto"/>
        <w:rPr>
          <w:sz w:val="20"/>
          <w:szCs w:val="20"/>
          <w:color w:val="auto"/>
        </w:rPr>
      </w:pPr>
      <w:r>
        <w:rPr>
          <w:rFonts w:ascii="Arial" w:cs="Arial" w:eastAsia="Arial" w:hAnsi="Arial"/>
          <w:sz w:val="11"/>
          <w:szCs w:val="11"/>
          <w:color w:val="auto"/>
        </w:rPr>
        <w:t>The Company has entered into an employment agreement with each member of Leadership. In addition to their salaries, members of Leadership are eligible to receive an annual bonus initially targeted at 50% of each executive’s salary based upon the level of achievement of the applicable company performance objectives, as determined by the board of directors in its discretion. For 2021, the board set 4 performance metrics, each of which represent 25% of a potential annual bonus: the Company consummating a SPAC transaction or public listing; the Company securing a 12-month cash runway as of June 30, September 30 and December 31; the Company’s successful release of the K5 ASR version 4.5 during the third quarter and certain specified quarterly gross ASR revenues. Each member of Leadership is also eligible to receive a performance bonus as specified below. Each employment agreement also includes severance benefits in the event the Company terminates the executive’s employment other than for cause, due to the executive’s death or due to the executive’s disability (a “non-change termination”). Each executive is also eligible for severance benefits in the event of a change of control. In the event of a non-change termination, an executive will receive their base salary for six months, in addition to reimbursement for COBRA premiums for the executive and their dependents. In the event of a change of control termination, an executive will receive their base salary for 12 months, a lump sum payment equal to 100% of the executive’s target annual bonus, accelerated vesting of their equity awards and reimbursement for COBRA premiums for the executive and their dependents. The Company has also entered into indemnification agreements with each member of Leadership that supplements the indemnification provided in the Company’s certificate of incorporation and bylaws.</w:t>
      </w:r>
    </w:p>
    <w:p>
      <w:pPr>
        <w:spacing w:after="0" w:line="118" w:lineRule="exact"/>
        <w:rPr>
          <w:sz w:val="20"/>
          <w:szCs w:val="20"/>
          <w:color w:val="auto"/>
        </w:rPr>
      </w:pPr>
    </w:p>
    <w:p>
      <w:pPr>
        <w:ind w:right="80"/>
        <w:spacing w:after="0" w:line="262" w:lineRule="auto"/>
        <w:rPr>
          <w:sz w:val="20"/>
          <w:szCs w:val="20"/>
          <w:color w:val="auto"/>
        </w:rPr>
      </w:pPr>
      <w:r>
        <w:rPr>
          <w:rFonts w:ascii="Arial" w:cs="Arial" w:eastAsia="Arial" w:hAnsi="Arial"/>
          <w:sz w:val="13"/>
          <w:szCs w:val="13"/>
          <w:color w:val="auto"/>
        </w:rPr>
        <w:t>Under his employment agreement, Mr. Li receives a base salary of $300,000, which is subject to review and adjustment based upon the Company’s normal performance review practices. In addition to the annual bonus, he is also eligible to receive certain performance bonuses: a one-time $75,000 cash bonus upon the successful completion a Regulation A raise equal to or in excess of $10 million and a one-time $75,000 cash bonus upon the successful completion a Regulation A raise equal to or in excess of $20 million.</w:t>
      </w:r>
    </w:p>
    <w:p>
      <w:pPr>
        <w:spacing w:after="0" w:line="136" w:lineRule="exact"/>
        <w:rPr>
          <w:sz w:val="20"/>
          <w:szCs w:val="20"/>
          <w:color w:val="auto"/>
        </w:rPr>
      </w:pPr>
    </w:p>
    <w:p>
      <w:pPr>
        <w:ind w:right="40"/>
        <w:spacing w:after="0" w:line="262" w:lineRule="auto"/>
        <w:rPr>
          <w:sz w:val="20"/>
          <w:szCs w:val="20"/>
          <w:color w:val="auto"/>
        </w:rPr>
      </w:pPr>
      <w:r>
        <w:rPr>
          <w:rFonts w:ascii="Arial" w:cs="Arial" w:eastAsia="Arial" w:hAnsi="Arial"/>
          <w:sz w:val="13"/>
          <w:szCs w:val="13"/>
          <w:color w:val="auto"/>
        </w:rPr>
        <w:t>Under his employment agreement, Mr. Stephens receives a base salary of $250,000, which is subject to review and adjustment based upon the Company’s normal performance review practices. In addition to the annual bonus, he is also eligible to receive certain performance bonuses: a one-time $25,000 cash bonus upon the successful completion of $250,000 in online store sales and a one-time $100,000 cash bonus upon the successful completion of booking $1 million of new business.</w:t>
      </w:r>
    </w:p>
    <w:p>
      <w:pPr>
        <w:spacing w:after="0" w:line="136" w:lineRule="exact"/>
        <w:rPr>
          <w:sz w:val="20"/>
          <w:szCs w:val="20"/>
          <w:color w:val="auto"/>
        </w:rPr>
      </w:pPr>
    </w:p>
    <w:p>
      <w:pPr>
        <w:ind w:right="40"/>
        <w:spacing w:after="0" w:line="287" w:lineRule="auto"/>
        <w:rPr>
          <w:sz w:val="20"/>
          <w:szCs w:val="20"/>
          <w:color w:val="auto"/>
        </w:rPr>
      </w:pPr>
      <w:r>
        <w:rPr>
          <w:rFonts w:ascii="Arial" w:cs="Arial" w:eastAsia="Arial" w:hAnsi="Arial"/>
          <w:sz w:val="12"/>
          <w:szCs w:val="12"/>
          <w:color w:val="auto"/>
        </w:rPr>
        <w:t>Under her employment agreement, Ms. Burak receives a base salary of $250,000, which is subject to review and adjustment based upon the Company’s normal performance review practices. In addition to the annual bonus, she is also eligible to receive certain performance bonuses: a one-time $25,000 bonus upon the successful completion of the 2020 audit and the on-time filing of the Company’s annual report for 2020, $50,000 bonus for successful placement of a debt or deal financing arrangement for the Company, and a one-time cash bonus of $50,000 upon the Company having over $35 million cash on hand. The previously stated performance criteria were agreed upon subsequent to the execution of Ms. Burak’s employment agreement and replace the milestones referenced in the agreement.</w:t>
      </w:r>
    </w:p>
    <w:p>
      <w:pPr>
        <w:spacing w:after="0" w:line="122" w:lineRule="exact"/>
        <w:rPr>
          <w:sz w:val="20"/>
          <w:szCs w:val="20"/>
          <w:color w:val="auto"/>
        </w:rPr>
      </w:pPr>
    </w:p>
    <w:p>
      <w:pPr>
        <w:jc w:val="both"/>
        <w:ind w:right="80"/>
        <w:spacing w:after="0" w:line="262" w:lineRule="auto"/>
        <w:rPr>
          <w:sz w:val="20"/>
          <w:szCs w:val="20"/>
          <w:color w:val="auto"/>
        </w:rPr>
      </w:pPr>
      <w:r>
        <w:rPr>
          <w:rFonts w:ascii="Arial" w:cs="Arial" w:eastAsia="Arial" w:hAnsi="Arial"/>
          <w:sz w:val="13"/>
          <w:szCs w:val="13"/>
          <w:color w:val="auto"/>
        </w:rPr>
        <w:t>Under her employment agreement, Ms. Soria receives a base salary of $250,000, which is subject to review and adjustment based upon the Company’s normal performance review practices. In addition to the annual bonus, she is also eligible to receive certain performance bonuses: a one-time $25,000 cash bonus upon the successful completion of the Knightscope Public Safety App and a one-time $100,000 cash bonus upon the successful completion of the KSOC App.</w:t>
      </w:r>
    </w:p>
    <w:p>
      <w:pPr>
        <w:spacing w:after="0" w:line="136" w:lineRule="exact"/>
        <w:rPr>
          <w:sz w:val="20"/>
          <w:szCs w:val="20"/>
          <w:color w:val="auto"/>
        </w:rPr>
      </w:pPr>
    </w:p>
    <w:p>
      <w:pPr>
        <w:ind w:right="240"/>
        <w:spacing w:after="0" w:line="262" w:lineRule="auto"/>
        <w:rPr>
          <w:sz w:val="20"/>
          <w:szCs w:val="20"/>
          <w:color w:val="auto"/>
        </w:rPr>
      </w:pPr>
      <w:r>
        <w:rPr>
          <w:rFonts w:ascii="Arial" w:cs="Arial" w:eastAsia="Arial" w:hAnsi="Arial"/>
          <w:sz w:val="13"/>
          <w:szCs w:val="13"/>
          <w:color w:val="auto"/>
        </w:rPr>
        <w:t>Under his employment agreement, Mr. Lehnhardt receives a base salary of $250,000, which is subject to review and adjustment based upon the Company’s normal performance review practices. In addition to the annual bonus, he is also eligible to receive certain performance bonuses: a one-time $25,000 cash bonus upon successful completion of the K1 Nano beta prototype and a one-time $100,000 cash bonus upon successful completion of the K7 alpha prototype.</w:t>
      </w:r>
    </w:p>
    <w:p>
      <w:pPr>
        <w:spacing w:after="0" w:line="136" w:lineRule="exact"/>
        <w:rPr>
          <w:sz w:val="20"/>
          <w:szCs w:val="20"/>
          <w:color w:val="auto"/>
        </w:rPr>
      </w:pPr>
    </w:p>
    <w:p>
      <w:pPr>
        <w:jc w:val="both"/>
        <w:ind w:right="280"/>
        <w:spacing w:after="0" w:line="262" w:lineRule="auto"/>
        <w:rPr>
          <w:sz w:val="20"/>
          <w:szCs w:val="20"/>
          <w:color w:val="auto"/>
        </w:rPr>
      </w:pPr>
      <w:r>
        <w:rPr>
          <w:rFonts w:ascii="Arial" w:cs="Arial" w:eastAsia="Arial" w:hAnsi="Arial"/>
          <w:sz w:val="13"/>
          <w:szCs w:val="13"/>
          <w:color w:val="auto"/>
        </w:rPr>
        <w:t>Under his employment agreement, Mr. Weinberg receives a base salary of $250,000, which is subject to review and adjustment based upon the Company’s normal performance review practices. In addition to the annual bonus, he is also eligible to receive certain performance bonuses: a one-time $62,500 cash bonus upon successful completion of the initial FedRamp documentation requirements and successful FedRamp certification, and a one-time $62,500 cash bonus upon the Company completing a successful public listing.</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Director Compensation</w:t>
      </w:r>
    </w:p>
    <w:p>
      <w:pPr>
        <w:spacing w:after="0" w:line="167" w:lineRule="exact"/>
        <w:rPr>
          <w:sz w:val="20"/>
          <w:szCs w:val="20"/>
          <w:color w:val="auto"/>
        </w:rPr>
      </w:pPr>
    </w:p>
    <w:p>
      <w:pPr>
        <w:spacing w:after="0" w:line="255" w:lineRule="auto"/>
        <w:rPr>
          <w:sz w:val="20"/>
          <w:szCs w:val="20"/>
          <w:color w:val="auto"/>
        </w:rPr>
      </w:pPr>
      <w:r>
        <w:rPr>
          <w:rFonts w:ascii="Arial" w:cs="Arial" w:eastAsia="Arial" w:hAnsi="Arial"/>
          <w:sz w:val="13"/>
          <w:szCs w:val="13"/>
          <w:color w:val="auto"/>
        </w:rPr>
        <w:t>The Company’s sole director did not receive any compensation during the year ended December 31, 2020 in connection with his directorship. There is currently no agreement or arrangement to pay our director for his services as a director. The Company has applied to list the Shares on Nasdaq and upon completion of the offering and listing intends to increase the board to include 6 new independent directors, who will be seated upon listing on Nasdaq. The Company has entered into agreements that will become effective as of listing and seating of the director nominees to compensate them for their service. Each non-executive director will receive an annual cash fee of $60,000, or $70,000 if the director serves as the chairperson of a Board committee. Each non-executive director will also receive a grant of 40,000 nonstatutory stock options that will vest after the first anniversary of their board service and will be eligible to receive awards under the Company’s equity incentive plans as may be determined from time to time by the Board of Directors in its sole discretion.</w:t>
      </w:r>
    </w:p>
    <w:p>
      <w:pPr>
        <w:spacing w:after="0" w:line="298"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40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44" w:name="page45"/>
    <w:bookmarkEnd w:id="44"/>
    <w:tbl>
      <w:tblPr>
        <w:tblLayout w:type="fixed"/>
        <w:tblInd w:w="0" w:type="dxa"/>
        <w:tblCellMar>
          <w:top w:w="0" w:type="dxa"/>
          <w:left w:w="0" w:type="dxa"/>
          <w:bottom w:w="0" w:type="dxa"/>
          <w:right w:w="0" w:type="dxa"/>
        </w:tblCellMar>
      </w:tblPr>
      <w:tr>
        <w:trPr>
          <w:trHeight w:val="168"/>
        </w:trPr>
        <w:tc>
          <w:tcPr>
            <w:tcW w:w="2780" w:type="dxa"/>
            <w:vAlign w:val="bottom"/>
            <w:gridSpan w:val="4"/>
          </w:tcPr>
          <w:p>
            <w:pPr>
              <w:spacing w:after="0"/>
              <w:rPr>
                <w:sz w:val="20"/>
                <w:szCs w:val="20"/>
                <w:color w:val="auto"/>
              </w:rPr>
            </w:pPr>
            <w:r>
              <w:rPr>
                <w:rFonts w:ascii="Arial" w:cs="Arial" w:eastAsia="Arial" w:hAnsi="Arial"/>
                <w:sz w:val="13"/>
                <w:szCs w:val="13"/>
                <w:b w:val="1"/>
                <w:bCs w:val="1"/>
                <w:color w:val="auto"/>
                <w:w w:val="96"/>
              </w:rPr>
              <w:t>Outstanding Equity Awards at Fiscal Year-End</w:t>
            </w:r>
          </w:p>
        </w:tc>
        <w:tc>
          <w:tcPr>
            <w:tcW w:w="480" w:type="dxa"/>
            <w:vAlign w:val="bottom"/>
          </w:tcPr>
          <w:p>
            <w:pPr>
              <w:spacing w:after="0"/>
              <w:rPr>
                <w:sz w:val="14"/>
                <w:szCs w:val="14"/>
                <w:color w:val="auto"/>
              </w:rPr>
            </w:pPr>
          </w:p>
        </w:tc>
        <w:tc>
          <w:tcPr>
            <w:tcW w:w="880" w:type="dxa"/>
            <w:vAlign w:val="bottom"/>
          </w:tcPr>
          <w:p>
            <w:pPr>
              <w:spacing w:after="0"/>
              <w:rPr>
                <w:sz w:val="14"/>
                <w:szCs w:val="14"/>
                <w:color w:val="auto"/>
              </w:rPr>
            </w:pPr>
          </w:p>
        </w:tc>
        <w:tc>
          <w:tcPr>
            <w:tcW w:w="480" w:type="dxa"/>
            <w:vAlign w:val="bottom"/>
          </w:tcPr>
          <w:p>
            <w:pPr>
              <w:spacing w:after="0"/>
              <w:rPr>
                <w:sz w:val="14"/>
                <w:szCs w:val="14"/>
                <w:color w:val="auto"/>
              </w:rPr>
            </w:pPr>
          </w:p>
        </w:tc>
        <w:tc>
          <w:tcPr>
            <w:tcW w:w="880" w:type="dxa"/>
            <w:vAlign w:val="bottom"/>
          </w:tcPr>
          <w:p>
            <w:pPr>
              <w:spacing w:after="0"/>
              <w:rPr>
                <w:sz w:val="14"/>
                <w:szCs w:val="14"/>
                <w:color w:val="auto"/>
              </w:rPr>
            </w:pPr>
          </w:p>
        </w:tc>
        <w:tc>
          <w:tcPr>
            <w:tcW w:w="48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52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92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23"/>
        </w:trPr>
        <w:tc>
          <w:tcPr>
            <w:tcW w:w="1800" w:type="dxa"/>
            <w:vAlign w:val="bottom"/>
          </w:tcPr>
          <w:p>
            <w:pPr>
              <w:spacing w:after="0"/>
              <w:rPr>
                <w:sz w:val="24"/>
                <w:szCs w:val="24"/>
                <w:color w:val="auto"/>
              </w:rPr>
            </w:pPr>
          </w:p>
        </w:tc>
        <w:tc>
          <w:tcPr>
            <w:tcW w:w="980" w:type="dxa"/>
            <w:vAlign w:val="bottom"/>
            <w:gridSpan w:val="3"/>
          </w:tcPr>
          <w:p>
            <w:pPr>
              <w:ind w:left="100"/>
              <w:spacing w:after="0"/>
              <w:rPr>
                <w:sz w:val="20"/>
                <w:szCs w:val="20"/>
                <w:color w:val="auto"/>
              </w:rPr>
            </w:pPr>
            <w:r>
              <w:rPr>
                <w:rFonts w:ascii="Arial" w:cs="Arial" w:eastAsia="Arial" w:hAnsi="Arial"/>
                <w:sz w:val="13"/>
                <w:szCs w:val="13"/>
                <w:color w:val="auto"/>
              </w:rPr>
              <w:t>Option awards</w:t>
            </w:r>
          </w:p>
        </w:tc>
        <w:tc>
          <w:tcPr>
            <w:tcW w:w="48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960" w:type="dxa"/>
            <w:vAlign w:val="bottom"/>
          </w:tcPr>
          <w:p>
            <w:pPr>
              <w:spacing w:after="0"/>
              <w:rPr>
                <w:sz w:val="20"/>
                <w:szCs w:val="20"/>
                <w:color w:val="auto"/>
              </w:rPr>
            </w:pPr>
            <w:r>
              <w:rPr>
                <w:rFonts w:ascii="Arial" w:cs="Arial" w:eastAsia="Arial" w:hAnsi="Arial"/>
                <w:sz w:val="13"/>
                <w:szCs w:val="13"/>
                <w:color w:val="auto"/>
              </w:rPr>
              <w:t>Stock awards</w:t>
            </w:r>
          </w:p>
        </w:tc>
        <w:tc>
          <w:tcPr>
            <w:tcW w:w="5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8"/>
        </w:trPr>
        <w:tc>
          <w:tcPr>
            <w:tcW w:w="18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860" w:type="dxa"/>
            <w:vAlign w:val="bottom"/>
            <w:tcBorders>
              <w:top w:val="single" w:sz="8" w:color="auto"/>
            </w:tcBorders>
          </w:tcPr>
          <w:p>
            <w:pPr>
              <w:spacing w:after="0"/>
              <w:rPr>
                <w:sz w:val="11"/>
                <w:szCs w:val="11"/>
                <w:color w:val="auto"/>
              </w:rPr>
            </w:pPr>
          </w:p>
        </w:tc>
        <w:tc>
          <w:tcPr>
            <w:tcW w:w="20" w:type="dxa"/>
            <w:vAlign w:val="bottom"/>
            <w:tcBorders>
              <w:top w:val="single" w:sz="8" w:color="auto"/>
            </w:tcBorders>
          </w:tcPr>
          <w:p>
            <w:pPr>
              <w:spacing w:after="0"/>
              <w:rPr>
                <w:sz w:val="11"/>
                <w:szCs w:val="11"/>
                <w:color w:val="auto"/>
              </w:rPr>
            </w:pPr>
          </w:p>
        </w:tc>
        <w:tc>
          <w:tcPr>
            <w:tcW w:w="480" w:type="dxa"/>
            <w:vAlign w:val="bottom"/>
            <w:tcBorders>
              <w:top w:val="single" w:sz="8" w:color="auto"/>
            </w:tcBorders>
          </w:tcPr>
          <w:p>
            <w:pPr>
              <w:spacing w:after="0"/>
              <w:rPr>
                <w:sz w:val="11"/>
                <w:szCs w:val="11"/>
                <w:color w:val="auto"/>
              </w:rPr>
            </w:pPr>
          </w:p>
        </w:tc>
        <w:tc>
          <w:tcPr>
            <w:tcW w:w="880" w:type="dxa"/>
            <w:vAlign w:val="bottom"/>
            <w:tcBorders>
              <w:top w:val="single" w:sz="8" w:color="auto"/>
            </w:tcBorders>
          </w:tcPr>
          <w:p>
            <w:pPr>
              <w:spacing w:after="0"/>
              <w:rPr>
                <w:sz w:val="11"/>
                <w:szCs w:val="11"/>
                <w:color w:val="auto"/>
              </w:rPr>
            </w:pPr>
          </w:p>
        </w:tc>
        <w:tc>
          <w:tcPr>
            <w:tcW w:w="480" w:type="dxa"/>
            <w:vAlign w:val="bottom"/>
            <w:tcBorders>
              <w:top w:val="single" w:sz="8" w:color="auto"/>
            </w:tcBorders>
          </w:tcPr>
          <w:p>
            <w:pPr>
              <w:spacing w:after="0"/>
              <w:rPr>
                <w:sz w:val="11"/>
                <w:szCs w:val="11"/>
                <w:color w:val="auto"/>
              </w:rPr>
            </w:pPr>
          </w:p>
        </w:tc>
        <w:tc>
          <w:tcPr>
            <w:tcW w:w="880" w:type="dxa"/>
            <w:vAlign w:val="bottom"/>
            <w:tcBorders>
              <w:top w:val="single" w:sz="8" w:color="auto"/>
            </w:tcBorders>
          </w:tcPr>
          <w:p>
            <w:pPr>
              <w:spacing w:after="0" w:line="138" w:lineRule="exact"/>
              <w:rPr>
                <w:sz w:val="20"/>
                <w:szCs w:val="20"/>
                <w:color w:val="auto"/>
              </w:rPr>
            </w:pPr>
            <w:r>
              <w:rPr>
                <w:rFonts w:ascii="Arial" w:cs="Arial" w:eastAsia="Arial" w:hAnsi="Arial"/>
                <w:sz w:val="13"/>
                <w:szCs w:val="13"/>
                <w:color w:val="auto"/>
              </w:rPr>
              <w:t>Equity</w:t>
            </w:r>
          </w:p>
        </w:tc>
        <w:tc>
          <w:tcPr>
            <w:tcW w:w="480" w:type="dxa"/>
            <w:vAlign w:val="bottom"/>
            <w:tcBorders>
              <w:top w:val="single" w:sz="8" w:color="auto"/>
            </w:tcBorders>
          </w:tcPr>
          <w:p>
            <w:pPr>
              <w:spacing w:after="0"/>
              <w:rPr>
                <w:sz w:val="11"/>
                <w:szCs w:val="11"/>
                <w:color w:val="auto"/>
              </w:rPr>
            </w:pPr>
          </w:p>
        </w:tc>
        <w:tc>
          <w:tcPr>
            <w:tcW w:w="360" w:type="dxa"/>
            <w:vAlign w:val="bottom"/>
            <w:tcBorders>
              <w:top w:val="single" w:sz="8" w:color="auto"/>
            </w:tcBorders>
          </w:tcPr>
          <w:p>
            <w:pPr>
              <w:spacing w:after="0"/>
              <w:rPr>
                <w:sz w:val="11"/>
                <w:szCs w:val="11"/>
                <w:color w:val="auto"/>
              </w:rPr>
            </w:pPr>
          </w:p>
        </w:tc>
        <w:tc>
          <w:tcPr>
            <w:tcW w:w="120" w:type="dxa"/>
            <w:vAlign w:val="bottom"/>
            <w:tcBorders>
              <w:top w:val="single" w:sz="8" w:color="auto"/>
            </w:tcBorders>
          </w:tcPr>
          <w:p>
            <w:pPr>
              <w:spacing w:after="0"/>
              <w:rPr>
                <w:sz w:val="11"/>
                <w:szCs w:val="11"/>
                <w:color w:val="auto"/>
              </w:rPr>
            </w:pPr>
          </w:p>
        </w:tc>
        <w:tc>
          <w:tcPr>
            <w:tcW w:w="860" w:type="dxa"/>
            <w:vAlign w:val="bottom"/>
            <w:tcBorders>
              <w:top w:val="single" w:sz="8" w:color="auto"/>
            </w:tcBorders>
          </w:tcPr>
          <w:p>
            <w:pPr>
              <w:spacing w:after="0"/>
              <w:rPr>
                <w:sz w:val="11"/>
                <w:szCs w:val="11"/>
                <w:color w:val="auto"/>
              </w:rPr>
            </w:pPr>
          </w:p>
        </w:tc>
        <w:tc>
          <w:tcPr>
            <w:tcW w:w="100" w:type="dxa"/>
            <w:vAlign w:val="bottom"/>
          </w:tcPr>
          <w:p>
            <w:pPr>
              <w:spacing w:after="0"/>
              <w:rPr>
                <w:sz w:val="11"/>
                <w:szCs w:val="11"/>
                <w:color w:val="auto"/>
              </w:rPr>
            </w:pPr>
          </w:p>
        </w:tc>
        <w:tc>
          <w:tcPr>
            <w:tcW w:w="960" w:type="dxa"/>
            <w:vAlign w:val="bottom"/>
            <w:tcBorders>
              <w:top w:val="single" w:sz="8" w:color="auto"/>
            </w:tcBorders>
          </w:tcPr>
          <w:p>
            <w:pPr>
              <w:spacing w:after="0"/>
              <w:rPr>
                <w:sz w:val="11"/>
                <w:szCs w:val="11"/>
                <w:color w:val="auto"/>
              </w:rPr>
            </w:pPr>
          </w:p>
        </w:tc>
        <w:tc>
          <w:tcPr>
            <w:tcW w:w="520" w:type="dxa"/>
            <w:vAlign w:val="bottom"/>
            <w:tcBorders>
              <w:top w:val="single" w:sz="8" w:color="auto"/>
            </w:tcBorders>
          </w:tcPr>
          <w:p>
            <w:pPr>
              <w:spacing w:after="0"/>
              <w:rPr>
                <w:sz w:val="11"/>
                <w:szCs w:val="11"/>
                <w:color w:val="auto"/>
              </w:rPr>
            </w:pPr>
          </w:p>
        </w:tc>
        <w:tc>
          <w:tcPr>
            <w:tcW w:w="560" w:type="dxa"/>
            <w:vAlign w:val="bottom"/>
            <w:tcBorders>
              <w:top w:val="single" w:sz="8" w:color="auto"/>
            </w:tcBorders>
          </w:tcPr>
          <w:p>
            <w:pPr>
              <w:spacing w:after="0"/>
              <w:rPr>
                <w:sz w:val="11"/>
                <w:szCs w:val="11"/>
                <w:color w:val="auto"/>
              </w:rPr>
            </w:pPr>
          </w:p>
        </w:tc>
        <w:tc>
          <w:tcPr>
            <w:tcW w:w="860" w:type="dxa"/>
            <w:vAlign w:val="bottom"/>
            <w:tcBorders>
              <w:top w:val="single" w:sz="8" w:color="auto"/>
            </w:tcBorders>
            <w:gridSpan w:val="2"/>
          </w:tcPr>
          <w:p>
            <w:pPr>
              <w:spacing w:after="0" w:line="138" w:lineRule="exact"/>
              <w:rPr>
                <w:sz w:val="20"/>
                <w:szCs w:val="20"/>
                <w:color w:val="auto"/>
              </w:rPr>
            </w:pPr>
            <w:r>
              <w:rPr>
                <w:rFonts w:ascii="Arial" w:cs="Arial" w:eastAsia="Arial" w:hAnsi="Arial"/>
                <w:sz w:val="13"/>
                <w:szCs w:val="13"/>
                <w:color w:val="auto"/>
              </w:rPr>
              <w:t>Equity</w:t>
            </w:r>
          </w:p>
        </w:tc>
        <w:tc>
          <w:tcPr>
            <w:tcW w:w="920" w:type="dxa"/>
            <w:vAlign w:val="bottom"/>
            <w:tcBorders>
              <w:top w:val="single" w:sz="8" w:color="auto"/>
            </w:tcBorders>
          </w:tcPr>
          <w:p>
            <w:pPr>
              <w:spacing w:after="0"/>
              <w:rPr>
                <w:sz w:val="11"/>
                <w:szCs w:val="11"/>
                <w:color w:val="auto"/>
              </w:rPr>
            </w:pPr>
          </w:p>
        </w:tc>
        <w:tc>
          <w:tcPr>
            <w:tcW w:w="40" w:type="dxa"/>
            <w:vAlign w:val="bottom"/>
            <w:tcBorders>
              <w:top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56"/>
        </w:trPr>
        <w:tc>
          <w:tcPr>
            <w:tcW w:w="18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88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880" w:type="dxa"/>
            <w:vAlign w:val="bottom"/>
          </w:tcPr>
          <w:p>
            <w:pPr>
              <w:spacing w:after="0"/>
              <w:rPr>
                <w:sz w:val="20"/>
                <w:szCs w:val="20"/>
                <w:color w:val="auto"/>
              </w:rPr>
            </w:pPr>
            <w:r>
              <w:rPr>
                <w:rFonts w:ascii="Arial" w:cs="Arial" w:eastAsia="Arial" w:hAnsi="Arial"/>
                <w:sz w:val="13"/>
                <w:szCs w:val="13"/>
                <w:color w:val="auto"/>
              </w:rPr>
              <w:t>incentive plan</w:t>
            </w:r>
          </w:p>
        </w:tc>
        <w:tc>
          <w:tcPr>
            <w:tcW w:w="48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860" w:type="dxa"/>
            <w:vAlign w:val="bottom"/>
            <w:gridSpan w:val="2"/>
          </w:tcPr>
          <w:p>
            <w:pPr>
              <w:spacing w:after="0"/>
              <w:rPr>
                <w:sz w:val="20"/>
                <w:szCs w:val="20"/>
                <w:color w:val="auto"/>
              </w:rPr>
            </w:pPr>
            <w:r>
              <w:rPr>
                <w:rFonts w:ascii="Arial" w:cs="Arial" w:eastAsia="Arial" w:hAnsi="Arial"/>
                <w:sz w:val="13"/>
                <w:szCs w:val="13"/>
                <w:color w:val="auto"/>
              </w:rPr>
              <w:t>incentive plan</w:t>
            </w:r>
          </w:p>
        </w:tc>
        <w:tc>
          <w:tcPr>
            <w:tcW w:w="92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88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880" w:type="dxa"/>
            <w:vAlign w:val="bottom"/>
          </w:tcPr>
          <w:p>
            <w:pPr>
              <w:spacing w:after="0"/>
              <w:rPr>
                <w:sz w:val="20"/>
                <w:szCs w:val="20"/>
                <w:color w:val="auto"/>
              </w:rPr>
            </w:pPr>
            <w:r>
              <w:rPr>
                <w:rFonts w:ascii="Arial" w:cs="Arial" w:eastAsia="Arial" w:hAnsi="Arial"/>
                <w:sz w:val="13"/>
                <w:szCs w:val="13"/>
                <w:color w:val="auto"/>
              </w:rPr>
              <w:t>awards:</w:t>
            </w:r>
          </w:p>
        </w:tc>
        <w:tc>
          <w:tcPr>
            <w:tcW w:w="48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520" w:type="dxa"/>
            <w:vAlign w:val="bottom"/>
          </w:tcPr>
          <w:p>
            <w:pPr>
              <w:spacing w:after="0"/>
              <w:rPr>
                <w:sz w:val="20"/>
                <w:szCs w:val="20"/>
                <w:color w:val="auto"/>
              </w:rPr>
            </w:pPr>
            <w:r>
              <w:rPr>
                <w:rFonts w:ascii="Arial" w:cs="Arial" w:eastAsia="Arial" w:hAnsi="Arial"/>
                <w:sz w:val="13"/>
                <w:szCs w:val="13"/>
                <w:color w:val="auto"/>
              </w:rPr>
              <w:t>Market</w:t>
            </w:r>
          </w:p>
        </w:tc>
        <w:tc>
          <w:tcPr>
            <w:tcW w:w="560" w:type="dxa"/>
            <w:vAlign w:val="bottom"/>
          </w:tcPr>
          <w:p>
            <w:pPr>
              <w:spacing w:after="0"/>
              <w:rPr>
                <w:sz w:val="13"/>
                <w:szCs w:val="13"/>
                <w:color w:val="auto"/>
              </w:rPr>
            </w:pPr>
          </w:p>
        </w:tc>
        <w:tc>
          <w:tcPr>
            <w:tcW w:w="860" w:type="dxa"/>
            <w:vAlign w:val="bottom"/>
            <w:gridSpan w:val="2"/>
          </w:tcPr>
          <w:p>
            <w:pPr>
              <w:spacing w:after="0"/>
              <w:rPr>
                <w:sz w:val="20"/>
                <w:szCs w:val="20"/>
                <w:color w:val="auto"/>
              </w:rPr>
            </w:pPr>
            <w:r>
              <w:rPr>
                <w:rFonts w:ascii="Arial" w:cs="Arial" w:eastAsia="Arial" w:hAnsi="Arial"/>
                <w:sz w:val="13"/>
                <w:szCs w:val="13"/>
                <w:color w:val="auto"/>
              </w:rPr>
              <w:t>awards:</w:t>
            </w:r>
          </w:p>
        </w:tc>
        <w:tc>
          <w:tcPr>
            <w:tcW w:w="920" w:type="dxa"/>
            <w:vAlign w:val="bottom"/>
          </w:tcPr>
          <w:p>
            <w:pPr>
              <w:spacing w:after="0"/>
              <w:rPr>
                <w:sz w:val="20"/>
                <w:szCs w:val="20"/>
                <w:color w:val="auto"/>
              </w:rPr>
            </w:pPr>
            <w:r>
              <w:rPr>
                <w:rFonts w:ascii="Arial" w:cs="Arial" w:eastAsia="Arial" w:hAnsi="Arial"/>
                <w:sz w:val="13"/>
                <w:szCs w:val="13"/>
                <w:color w:val="auto"/>
                <w:w w:val="98"/>
              </w:rPr>
              <w:t>Equity incentive</w:t>
            </w: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1360" w:type="dxa"/>
            <w:vAlign w:val="bottom"/>
            <w:gridSpan w:val="2"/>
          </w:tcPr>
          <w:p>
            <w:pPr>
              <w:spacing w:after="0"/>
              <w:rPr>
                <w:sz w:val="20"/>
                <w:szCs w:val="20"/>
                <w:color w:val="auto"/>
              </w:rPr>
            </w:pPr>
            <w:r>
              <w:rPr>
                <w:rFonts w:ascii="Arial" w:cs="Arial" w:eastAsia="Arial" w:hAnsi="Arial"/>
                <w:sz w:val="13"/>
                <w:szCs w:val="13"/>
                <w:color w:val="auto"/>
              </w:rPr>
              <w:t>Number of</w:t>
            </w:r>
          </w:p>
        </w:tc>
        <w:tc>
          <w:tcPr>
            <w:tcW w:w="880" w:type="dxa"/>
            <w:vAlign w:val="bottom"/>
          </w:tcPr>
          <w:p>
            <w:pPr>
              <w:spacing w:after="0"/>
              <w:rPr>
                <w:sz w:val="20"/>
                <w:szCs w:val="20"/>
                <w:color w:val="auto"/>
              </w:rPr>
            </w:pPr>
            <w:r>
              <w:rPr>
                <w:rFonts w:ascii="Arial" w:cs="Arial" w:eastAsia="Arial" w:hAnsi="Arial"/>
                <w:sz w:val="13"/>
                <w:szCs w:val="13"/>
                <w:color w:val="auto"/>
              </w:rPr>
              <w:t>Number of</w:t>
            </w:r>
          </w:p>
        </w:tc>
        <w:tc>
          <w:tcPr>
            <w:tcW w:w="48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960" w:type="dxa"/>
            <w:vAlign w:val="bottom"/>
          </w:tcPr>
          <w:p>
            <w:pPr>
              <w:spacing w:after="0"/>
              <w:rPr>
                <w:sz w:val="20"/>
                <w:szCs w:val="20"/>
                <w:color w:val="auto"/>
              </w:rPr>
            </w:pPr>
            <w:r>
              <w:rPr>
                <w:rFonts w:ascii="Arial" w:cs="Arial" w:eastAsia="Arial" w:hAnsi="Arial"/>
                <w:sz w:val="13"/>
                <w:szCs w:val="13"/>
                <w:color w:val="auto"/>
              </w:rPr>
              <w:t>Number of</w:t>
            </w:r>
          </w:p>
        </w:tc>
        <w:tc>
          <w:tcPr>
            <w:tcW w:w="520" w:type="dxa"/>
            <w:vAlign w:val="bottom"/>
          </w:tcPr>
          <w:p>
            <w:pPr>
              <w:spacing w:after="0"/>
              <w:rPr>
                <w:sz w:val="20"/>
                <w:szCs w:val="20"/>
                <w:color w:val="auto"/>
              </w:rPr>
            </w:pPr>
            <w:r>
              <w:rPr>
                <w:rFonts w:ascii="Arial" w:cs="Arial" w:eastAsia="Arial" w:hAnsi="Arial"/>
                <w:sz w:val="13"/>
                <w:szCs w:val="13"/>
                <w:color w:val="auto"/>
              </w:rPr>
              <w:t>value of</w:t>
            </w:r>
          </w:p>
        </w:tc>
        <w:tc>
          <w:tcPr>
            <w:tcW w:w="560" w:type="dxa"/>
            <w:vAlign w:val="bottom"/>
          </w:tcPr>
          <w:p>
            <w:pPr>
              <w:spacing w:after="0"/>
              <w:rPr>
                <w:sz w:val="13"/>
                <w:szCs w:val="13"/>
                <w:color w:val="auto"/>
              </w:rPr>
            </w:pPr>
          </w:p>
        </w:tc>
        <w:tc>
          <w:tcPr>
            <w:tcW w:w="860" w:type="dxa"/>
            <w:vAlign w:val="bottom"/>
            <w:gridSpan w:val="2"/>
          </w:tcPr>
          <w:p>
            <w:pPr>
              <w:spacing w:after="0"/>
              <w:rPr>
                <w:sz w:val="20"/>
                <w:szCs w:val="20"/>
                <w:color w:val="auto"/>
              </w:rPr>
            </w:pPr>
            <w:r>
              <w:rPr>
                <w:rFonts w:ascii="Arial" w:cs="Arial" w:eastAsia="Arial" w:hAnsi="Arial"/>
                <w:sz w:val="13"/>
                <w:szCs w:val="13"/>
                <w:color w:val="auto"/>
              </w:rPr>
              <w:t>Number of</w:t>
            </w:r>
          </w:p>
        </w:tc>
        <w:tc>
          <w:tcPr>
            <w:tcW w:w="920" w:type="dxa"/>
            <w:vAlign w:val="bottom"/>
          </w:tcPr>
          <w:p>
            <w:pPr>
              <w:spacing w:after="0"/>
              <w:rPr>
                <w:sz w:val="20"/>
                <w:szCs w:val="20"/>
                <w:color w:val="auto"/>
              </w:rPr>
            </w:pPr>
            <w:r>
              <w:rPr>
                <w:rFonts w:ascii="Arial" w:cs="Arial" w:eastAsia="Arial" w:hAnsi="Arial"/>
                <w:sz w:val="13"/>
                <w:szCs w:val="13"/>
                <w:color w:val="auto"/>
              </w:rPr>
              <w:t>plan awards:</w:t>
            </w: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00" w:type="dxa"/>
            <w:vAlign w:val="bottom"/>
          </w:tcPr>
          <w:p>
            <w:pPr>
              <w:spacing w:after="0"/>
              <w:rPr>
                <w:sz w:val="13"/>
                <w:szCs w:val="13"/>
                <w:color w:val="auto"/>
              </w:rPr>
            </w:pPr>
          </w:p>
        </w:tc>
        <w:tc>
          <w:tcPr>
            <w:tcW w:w="980" w:type="dxa"/>
            <w:vAlign w:val="bottom"/>
            <w:gridSpan w:val="3"/>
          </w:tcPr>
          <w:p>
            <w:pPr>
              <w:ind w:left="100"/>
              <w:spacing w:after="0"/>
              <w:rPr>
                <w:sz w:val="20"/>
                <w:szCs w:val="20"/>
                <w:color w:val="auto"/>
              </w:rPr>
            </w:pPr>
            <w:r>
              <w:rPr>
                <w:rFonts w:ascii="Arial" w:cs="Arial" w:eastAsia="Arial" w:hAnsi="Arial"/>
                <w:sz w:val="13"/>
                <w:szCs w:val="13"/>
                <w:color w:val="auto"/>
              </w:rPr>
              <w:t>Number of</w:t>
            </w:r>
          </w:p>
        </w:tc>
        <w:tc>
          <w:tcPr>
            <w:tcW w:w="480" w:type="dxa"/>
            <w:vAlign w:val="bottom"/>
          </w:tcPr>
          <w:p>
            <w:pPr>
              <w:spacing w:after="0"/>
              <w:rPr>
                <w:sz w:val="13"/>
                <w:szCs w:val="13"/>
                <w:color w:val="auto"/>
              </w:rPr>
            </w:pPr>
          </w:p>
        </w:tc>
        <w:tc>
          <w:tcPr>
            <w:tcW w:w="1360" w:type="dxa"/>
            <w:vAlign w:val="bottom"/>
            <w:gridSpan w:val="2"/>
          </w:tcPr>
          <w:p>
            <w:pPr>
              <w:spacing w:after="0"/>
              <w:rPr>
                <w:sz w:val="20"/>
                <w:szCs w:val="20"/>
                <w:color w:val="auto"/>
              </w:rPr>
            </w:pPr>
            <w:r>
              <w:rPr>
                <w:rFonts w:ascii="Arial" w:cs="Arial" w:eastAsia="Arial" w:hAnsi="Arial"/>
                <w:sz w:val="13"/>
                <w:szCs w:val="13"/>
                <w:color w:val="auto"/>
              </w:rPr>
              <w:t>securities</w:t>
            </w:r>
          </w:p>
        </w:tc>
        <w:tc>
          <w:tcPr>
            <w:tcW w:w="880" w:type="dxa"/>
            <w:vAlign w:val="bottom"/>
          </w:tcPr>
          <w:p>
            <w:pPr>
              <w:spacing w:after="0"/>
              <w:rPr>
                <w:sz w:val="20"/>
                <w:szCs w:val="20"/>
                <w:color w:val="auto"/>
              </w:rPr>
            </w:pPr>
            <w:r>
              <w:rPr>
                <w:rFonts w:ascii="Arial" w:cs="Arial" w:eastAsia="Arial" w:hAnsi="Arial"/>
                <w:sz w:val="13"/>
                <w:szCs w:val="13"/>
                <w:color w:val="auto"/>
              </w:rPr>
              <w:t>securities</w:t>
            </w:r>
          </w:p>
        </w:tc>
        <w:tc>
          <w:tcPr>
            <w:tcW w:w="48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960" w:type="dxa"/>
            <w:vAlign w:val="bottom"/>
          </w:tcPr>
          <w:p>
            <w:pPr>
              <w:spacing w:after="0"/>
              <w:rPr>
                <w:sz w:val="20"/>
                <w:szCs w:val="20"/>
                <w:color w:val="auto"/>
              </w:rPr>
            </w:pPr>
            <w:r>
              <w:rPr>
                <w:rFonts w:ascii="Arial" w:cs="Arial" w:eastAsia="Arial" w:hAnsi="Arial"/>
                <w:sz w:val="13"/>
                <w:szCs w:val="13"/>
                <w:color w:val="auto"/>
              </w:rPr>
              <w:t>shares or</w:t>
            </w:r>
          </w:p>
        </w:tc>
        <w:tc>
          <w:tcPr>
            <w:tcW w:w="520" w:type="dxa"/>
            <w:vAlign w:val="bottom"/>
          </w:tcPr>
          <w:p>
            <w:pPr>
              <w:spacing w:after="0"/>
              <w:rPr>
                <w:sz w:val="20"/>
                <w:szCs w:val="20"/>
                <w:color w:val="auto"/>
              </w:rPr>
            </w:pPr>
            <w:r>
              <w:rPr>
                <w:rFonts w:ascii="Arial" w:cs="Arial" w:eastAsia="Arial" w:hAnsi="Arial"/>
                <w:sz w:val="13"/>
                <w:szCs w:val="13"/>
                <w:color w:val="auto"/>
                <w:w w:val="92"/>
              </w:rPr>
              <w:t>shares or</w:t>
            </w:r>
          </w:p>
        </w:tc>
        <w:tc>
          <w:tcPr>
            <w:tcW w:w="560" w:type="dxa"/>
            <w:vAlign w:val="bottom"/>
          </w:tcPr>
          <w:p>
            <w:pPr>
              <w:spacing w:after="0"/>
              <w:rPr>
                <w:sz w:val="13"/>
                <w:szCs w:val="13"/>
                <w:color w:val="auto"/>
              </w:rPr>
            </w:pPr>
          </w:p>
        </w:tc>
        <w:tc>
          <w:tcPr>
            <w:tcW w:w="860" w:type="dxa"/>
            <w:vAlign w:val="bottom"/>
            <w:gridSpan w:val="2"/>
          </w:tcPr>
          <w:p>
            <w:pPr>
              <w:spacing w:after="0"/>
              <w:rPr>
                <w:sz w:val="20"/>
                <w:szCs w:val="20"/>
                <w:color w:val="auto"/>
              </w:rPr>
            </w:pPr>
            <w:r>
              <w:rPr>
                <w:rFonts w:ascii="Arial" w:cs="Arial" w:eastAsia="Arial" w:hAnsi="Arial"/>
                <w:sz w:val="13"/>
                <w:szCs w:val="13"/>
                <w:color w:val="auto"/>
              </w:rPr>
              <w:t>unearned</w:t>
            </w:r>
          </w:p>
        </w:tc>
        <w:tc>
          <w:tcPr>
            <w:tcW w:w="920" w:type="dxa"/>
            <w:vAlign w:val="bottom"/>
          </w:tcPr>
          <w:p>
            <w:pPr>
              <w:spacing w:after="0"/>
              <w:rPr>
                <w:sz w:val="20"/>
                <w:szCs w:val="20"/>
                <w:color w:val="auto"/>
              </w:rPr>
            </w:pPr>
            <w:r>
              <w:rPr>
                <w:rFonts w:ascii="Arial" w:cs="Arial" w:eastAsia="Arial" w:hAnsi="Arial"/>
                <w:sz w:val="13"/>
                <w:szCs w:val="13"/>
                <w:color w:val="auto"/>
                <w:w w:val="92"/>
              </w:rPr>
              <w:t>Market or payout</w:t>
            </w: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00" w:type="dxa"/>
            <w:vAlign w:val="bottom"/>
          </w:tcPr>
          <w:p>
            <w:pPr>
              <w:spacing w:after="0"/>
              <w:rPr>
                <w:sz w:val="13"/>
                <w:szCs w:val="13"/>
                <w:color w:val="auto"/>
              </w:rPr>
            </w:pPr>
          </w:p>
        </w:tc>
        <w:tc>
          <w:tcPr>
            <w:tcW w:w="980" w:type="dxa"/>
            <w:vAlign w:val="bottom"/>
            <w:gridSpan w:val="3"/>
          </w:tcPr>
          <w:p>
            <w:pPr>
              <w:ind w:left="100"/>
              <w:spacing w:after="0"/>
              <w:rPr>
                <w:sz w:val="20"/>
                <w:szCs w:val="20"/>
                <w:color w:val="auto"/>
              </w:rPr>
            </w:pPr>
            <w:r>
              <w:rPr>
                <w:rFonts w:ascii="Arial" w:cs="Arial" w:eastAsia="Arial" w:hAnsi="Arial"/>
                <w:sz w:val="13"/>
                <w:szCs w:val="13"/>
                <w:color w:val="auto"/>
              </w:rPr>
              <w:t>securities</w:t>
            </w:r>
          </w:p>
        </w:tc>
        <w:tc>
          <w:tcPr>
            <w:tcW w:w="480" w:type="dxa"/>
            <w:vAlign w:val="bottom"/>
          </w:tcPr>
          <w:p>
            <w:pPr>
              <w:spacing w:after="0"/>
              <w:rPr>
                <w:sz w:val="13"/>
                <w:szCs w:val="13"/>
                <w:color w:val="auto"/>
              </w:rPr>
            </w:pPr>
          </w:p>
        </w:tc>
        <w:tc>
          <w:tcPr>
            <w:tcW w:w="1360" w:type="dxa"/>
            <w:vAlign w:val="bottom"/>
            <w:gridSpan w:val="2"/>
          </w:tcPr>
          <w:p>
            <w:pPr>
              <w:spacing w:after="0"/>
              <w:rPr>
                <w:sz w:val="20"/>
                <w:szCs w:val="20"/>
                <w:color w:val="auto"/>
              </w:rPr>
            </w:pPr>
            <w:r>
              <w:rPr>
                <w:rFonts w:ascii="Arial" w:cs="Arial" w:eastAsia="Arial" w:hAnsi="Arial"/>
                <w:sz w:val="13"/>
                <w:szCs w:val="13"/>
                <w:color w:val="auto"/>
              </w:rPr>
              <w:t>underlying</w:t>
            </w:r>
          </w:p>
        </w:tc>
        <w:tc>
          <w:tcPr>
            <w:tcW w:w="880" w:type="dxa"/>
            <w:vAlign w:val="bottom"/>
          </w:tcPr>
          <w:p>
            <w:pPr>
              <w:spacing w:after="0"/>
              <w:rPr>
                <w:sz w:val="20"/>
                <w:szCs w:val="20"/>
                <w:color w:val="auto"/>
              </w:rPr>
            </w:pPr>
            <w:r>
              <w:rPr>
                <w:rFonts w:ascii="Arial" w:cs="Arial" w:eastAsia="Arial" w:hAnsi="Arial"/>
                <w:sz w:val="13"/>
                <w:szCs w:val="13"/>
                <w:color w:val="auto"/>
              </w:rPr>
              <w:t>underlying</w:t>
            </w:r>
          </w:p>
        </w:tc>
        <w:tc>
          <w:tcPr>
            <w:tcW w:w="48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960" w:type="dxa"/>
            <w:vAlign w:val="bottom"/>
          </w:tcPr>
          <w:p>
            <w:pPr>
              <w:spacing w:after="0"/>
              <w:rPr>
                <w:sz w:val="20"/>
                <w:szCs w:val="20"/>
                <w:color w:val="auto"/>
              </w:rPr>
            </w:pPr>
            <w:r>
              <w:rPr>
                <w:rFonts w:ascii="Arial" w:cs="Arial" w:eastAsia="Arial" w:hAnsi="Arial"/>
                <w:sz w:val="13"/>
                <w:szCs w:val="13"/>
                <w:color w:val="auto"/>
              </w:rPr>
              <w:t>units of</w:t>
            </w:r>
          </w:p>
        </w:tc>
        <w:tc>
          <w:tcPr>
            <w:tcW w:w="520" w:type="dxa"/>
            <w:vAlign w:val="bottom"/>
          </w:tcPr>
          <w:p>
            <w:pPr>
              <w:spacing w:after="0"/>
              <w:rPr>
                <w:sz w:val="20"/>
                <w:szCs w:val="20"/>
                <w:color w:val="auto"/>
              </w:rPr>
            </w:pPr>
            <w:r>
              <w:rPr>
                <w:rFonts w:ascii="Arial" w:cs="Arial" w:eastAsia="Arial" w:hAnsi="Arial"/>
                <w:sz w:val="13"/>
                <w:szCs w:val="13"/>
                <w:color w:val="auto"/>
              </w:rPr>
              <w:t>units of</w:t>
            </w:r>
          </w:p>
        </w:tc>
        <w:tc>
          <w:tcPr>
            <w:tcW w:w="560" w:type="dxa"/>
            <w:vAlign w:val="bottom"/>
          </w:tcPr>
          <w:p>
            <w:pPr>
              <w:spacing w:after="0"/>
              <w:rPr>
                <w:sz w:val="13"/>
                <w:szCs w:val="13"/>
                <w:color w:val="auto"/>
              </w:rPr>
            </w:pPr>
          </w:p>
        </w:tc>
        <w:tc>
          <w:tcPr>
            <w:tcW w:w="860" w:type="dxa"/>
            <w:vAlign w:val="bottom"/>
            <w:gridSpan w:val="2"/>
          </w:tcPr>
          <w:p>
            <w:pPr>
              <w:spacing w:after="0"/>
              <w:rPr>
                <w:sz w:val="20"/>
                <w:szCs w:val="20"/>
                <w:color w:val="auto"/>
              </w:rPr>
            </w:pPr>
            <w:r>
              <w:rPr>
                <w:rFonts w:ascii="Arial" w:cs="Arial" w:eastAsia="Arial" w:hAnsi="Arial"/>
                <w:sz w:val="13"/>
                <w:szCs w:val="13"/>
                <w:color w:val="auto"/>
              </w:rPr>
              <w:t>shares, units</w:t>
            </w:r>
          </w:p>
        </w:tc>
        <w:tc>
          <w:tcPr>
            <w:tcW w:w="960" w:type="dxa"/>
            <w:vAlign w:val="bottom"/>
            <w:gridSpan w:val="2"/>
          </w:tcPr>
          <w:p>
            <w:pPr>
              <w:spacing w:after="0"/>
              <w:rPr>
                <w:sz w:val="20"/>
                <w:szCs w:val="20"/>
                <w:color w:val="auto"/>
              </w:rPr>
            </w:pPr>
            <w:r>
              <w:rPr>
                <w:rFonts w:ascii="Arial" w:cs="Arial" w:eastAsia="Arial" w:hAnsi="Arial"/>
                <w:sz w:val="13"/>
                <w:szCs w:val="13"/>
                <w:color w:val="auto"/>
                <w:w w:val="90"/>
              </w:rPr>
              <w:t>value of unearned</w:t>
            </w:r>
          </w:p>
        </w:tc>
        <w:tc>
          <w:tcPr>
            <w:tcW w:w="0" w:type="dxa"/>
            <w:vAlign w:val="bottom"/>
          </w:tcPr>
          <w:p>
            <w:pPr>
              <w:spacing w:after="0"/>
              <w:rPr>
                <w:sz w:val="1"/>
                <w:szCs w:val="1"/>
                <w:color w:val="auto"/>
              </w:rPr>
            </w:pPr>
          </w:p>
        </w:tc>
      </w:tr>
      <w:tr>
        <w:trPr>
          <w:trHeight w:val="156"/>
        </w:trPr>
        <w:tc>
          <w:tcPr>
            <w:tcW w:w="1800" w:type="dxa"/>
            <w:vAlign w:val="bottom"/>
          </w:tcPr>
          <w:p>
            <w:pPr>
              <w:spacing w:after="0"/>
              <w:rPr>
                <w:sz w:val="13"/>
                <w:szCs w:val="13"/>
                <w:color w:val="auto"/>
              </w:rPr>
            </w:pPr>
          </w:p>
        </w:tc>
        <w:tc>
          <w:tcPr>
            <w:tcW w:w="980" w:type="dxa"/>
            <w:vAlign w:val="bottom"/>
            <w:gridSpan w:val="3"/>
          </w:tcPr>
          <w:p>
            <w:pPr>
              <w:ind w:left="100"/>
              <w:spacing w:after="0"/>
              <w:rPr>
                <w:sz w:val="20"/>
                <w:szCs w:val="20"/>
                <w:color w:val="auto"/>
              </w:rPr>
            </w:pPr>
            <w:r>
              <w:rPr>
                <w:rFonts w:ascii="Arial" w:cs="Arial" w:eastAsia="Arial" w:hAnsi="Arial"/>
                <w:sz w:val="13"/>
                <w:szCs w:val="13"/>
                <w:color w:val="auto"/>
              </w:rPr>
              <w:t>underlying</w:t>
            </w:r>
          </w:p>
        </w:tc>
        <w:tc>
          <w:tcPr>
            <w:tcW w:w="480" w:type="dxa"/>
            <w:vAlign w:val="bottom"/>
          </w:tcPr>
          <w:p>
            <w:pPr>
              <w:spacing w:after="0"/>
              <w:rPr>
                <w:sz w:val="13"/>
                <w:szCs w:val="13"/>
                <w:color w:val="auto"/>
              </w:rPr>
            </w:pPr>
          </w:p>
        </w:tc>
        <w:tc>
          <w:tcPr>
            <w:tcW w:w="1360" w:type="dxa"/>
            <w:vAlign w:val="bottom"/>
            <w:gridSpan w:val="2"/>
          </w:tcPr>
          <w:p>
            <w:pPr>
              <w:spacing w:after="0"/>
              <w:rPr>
                <w:sz w:val="20"/>
                <w:szCs w:val="20"/>
                <w:color w:val="auto"/>
              </w:rPr>
            </w:pPr>
            <w:r>
              <w:rPr>
                <w:rFonts w:ascii="Arial" w:cs="Arial" w:eastAsia="Arial" w:hAnsi="Arial"/>
                <w:sz w:val="13"/>
                <w:szCs w:val="13"/>
                <w:color w:val="auto"/>
              </w:rPr>
              <w:t>unexercised</w:t>
            </w:r>
          </w:p>
        </w:tc>
        <w:tc>
          <w:tcPr>
            <w:tcW w:w="880" w:type="dxa"/>
            <w:vAlign w:val="bottom"/>
          </w:tcPr>
          <w:p>
            <w:pPr>
              <w:spacing w:after="0"/>
              <w:rPr>
                <w:sz w:val="20"/>
                <w:szCs w:val="20"/>
                <w:color w:val="auto"/>
              </w:rPr>
            </w:pPr>
            <w:r>
              <w:rPr>
                <w:rFonts w:ascii="Arial" w:cs="Arial" w:eastAsia="Arial" w:hAnsi="Arial"/>
                <w:sz w:val="13"/>
                <w:szCs w:val="13"/>
                <w:color w:val="auto"/>
              </w:rPr>
              <w:t>unexercised</w:t>
            </w:r>
          </w:p>
        </w:tc>
        <w:tc>
          <w:tcPr>
            <w:tcW w:w="480" w:type="dxa"/>
            <w:vAlign w:val="bottom"/>
          </w:tcPr>
          <w:p>
            <w:pPr>
              <w:spacing w:after="0"/>
              <w:rPr>
                <w:sz w:val="20"/>
                <w:szCs w:val="20"/>
                <w:color w:val="auto"/>
              </w:rPr>
            </w:pPr>
            <w:r>
              <w:rPr>
                <w:rFonts w:ascii="Arial" w:cs="Arial" w:eastAsia="Arial" w:hAnsi="Arial"/>
                <w:sz w:val="13"/>
                <w:szCs w:val="13"/>
                <w:color w:val="auto"/>
              </w:rPr>
              <w:t>Option</w:t>
            </w: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960" w:type="dxa"/>
            <w:vAlign w:val="bottom"/>
          </w:tcPr>
          <w:p>
            <w:pPr>
              <w:spacing w:after="0"/>
              <w:rPr>
                <w:sz w:val="20"/>
                <w:szCs w:val="20"/>
                <w:color w:val="auto"/>
              </w:rPr>
            </w:pPr>
            <w:r>
              <w:rPr>
                <w:rFonts w:ascii="Arial" w:cs="Arial" w:eastAsia="Arial" w:hAnsi="Arial"/>
                <w:sz w:val="13"/>
                <w:szCs w:val="13"/>
                <w:color w:val="auto"/>
              </w:rPr>
              <w:t>stock that</w:t>
            </w:r>
          </w:p>
        </w:tc>
        <w:tc>
          <w:tcPr>
            <w:tcW w:w="520" w:type="dxa"/>
            <w:vAlign w:val="bottom"/>
          </w:tcPr>
          <w:p>
            <w:pPr>
              <w:spacing w:after="0"/>
              <w:rPr>
                <w:sz w:val="20"/>
                <w:szCs w:val="20"/>
                <w:color w:val="auto"/>
              </w:rPr>
            </w:pPr>
            <w:r>
              <w:rPr>
                <w:rFonts w:ascii="Arial" w:cs="Arial" w:eastAsia="Arial" w:hAnsi="Arial"/>
                <w:sz w:val="13"/>
                <w:szCs w:val="13"/>
                <w:color w:val="auto"/>
                <w:w w:val="89"/>
              </w:rPr>
              <w:t>stock that</w:t>
            </w:r>
          </w:p>
        </w:tc>
        <w:tc>
          <w:tcPr>
            <w:tcW w:w="560" w:type="dxa"/>
            <w:vAlign w:val="bottom"/>
          </w:tcPr>
          <w:p>
            <w:pPr>
              <w:spacing w:after="0"/>
              <w:rPr>
                <w:sz w:val="13"/>
                <w:szCs w:val="13"/>
                <w:color w:val="auto"/>
              </w:rPr>
            </w:pPr>
          </w:p>
        </w:tc>
        <w:tc>
          <w:tcPr>
            <w:tcW w:w="860" w:type="dxa"/>
            <w:vAlign w:val="bottom"/>
            <w:gridSpan w:val="2"/>
          </w:tcPr>
          <w:p>
            <w:pPr>
              <w:spacing w:after="0"/>
              <w:rPr>
                <w:sz w:val="20"/>
                <w:szCs w:val="20"/>
                <w:color w:val="auto"/>
              </w:rPr>
            </w:pPr>
            <w:r>
              <w:rPr>
                <w:rFonts w:ascii="Arial" w:cs="Arial" w:eastAsia="Arial" w:hAnsi="Arial"/>
                <w:sz w:val="13"/>
                <w:szCs w:val="13"/>
                <w:color w:val="auto"/>
              </w:rPr>
              <w:t>or other rights</w:t>
            </w:r>
          </w:p>
        </w:tc>
        <w:tc>
          <w:tcPr>
            <w:tcW w:w="920" w:type="dxa"/>
            <w:vAlign w:val="bottom"/>
          </w:tcPr>
          <w:p>
            <w:pPr>
              <w:spacing w:after="0"/>
              <w:rPr>
                <w:sz w:val="20"/>
                <w:szCs w:val="20"/>
                <w:color w:val="auto"/>
              </w:rPr>
            </w:pPr>
            <w:r>
              <w:rPr>
                <w:rFonts w:ascii="Arial" w:cs="Arial" w:eastAsia="Arial" w:hAnsi="Arial"/>
                <w:sz w:val="13"/>
                <w:szCs w:val="13"/>
                <w:color w:val="auto"/>
              </w:rPr>
              <w:t>shares, units or</w:t>
            </w: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00" w:type="dxa"/>
            <w:vAlign w:val="bottom"/>
          </w:tcPr>
          <w:p>
            <w:pPr>
              <w:spacing w:after="0"/>
              <w:rPr>
                <w:sz w:val="13"/>
                <w:szCs w:val="13"/>
                <w:color w:val="auto"/>
              </w:rPr>
            </w:pPr>
          </w:p>
        </w:tc>
        <w:tc>
          <w:tcPr>
            <w:tcW w:w="980" w:type="dxa"/>
            <w:vAlign w:val="bottom"/>
            <w:gridSpan w:val="3"/>
          </w:tcPr>
          <w:p>
            <w:pPr>
              <w:ind w:left="100"/>
              <w:spacing w:after="0"/>
              <w:rPr>
                <w:sz w:val="20"/>
                <w:szCs w:val="20"/>
                <w:color w:val="auto"/>
              </w:rPr>
            </w:pPr>
            <w:r>
              <w:rPr>
                <w:rFonts w:ascii="Arial" w:cs="Arial" w:eastAsia="Arial" w:hAnsi="Arial"/>
                <w:sz w:val="13"/>
                <w:szCs w:val="13"/>
                <w:color w:val="auto"/>
              </w:rPr>
              <w:t>unexercised</w:t>
            </w:r>
          </w:p>
        </w:tc>
        <w:tc>
          <w:tcPr>
            <w:tcW w:w="480" w:type="dxa"/>
            <w:vAlign w:val="bottom"/>
          </w:tcPr>
          <w:p>
            <w:pPr>
              <w:spacing w:after="0"/>
              <w:rPr>
                <w:sz w:val="13"/>
                <w:szCs w:val="13"/>
                <w:color w:val="auto"/>
              </w:rPr>
            </w:pPr>
          </w:p>
        </w:tc>
        <w:tc>
          <w:tcPr>
            <w:tcW w:w="1360" w:type="dxa"/>
            <w:vAlign w:val="bottom"/>
            <w:gridSpan w:val="2"/>
          </w:tcPr>
          <w:p>
            <w:pPr>
              <w:spacing w:after="0"/>
              <w:rPr>
                <w:sz w:val="20"/>
                <w:szCs w:val="20"/>
                <w:color w:val="auto"/>
              </w:rPr>
            </w:pPr>
            <w:r>
              <w:rPr>
                <w:rFonts w:ascii="Arial" w:cs="Arial" w:eastAsia="Arial" w:hAnsi="Arial"/>
                <w:sz w:val="13"/>
                <w:szCs w:val="13"/>
                <w:color w:val="auto"/>
              </w:rPr>
              <w:t>options</w:t>
            </w:r>
          </w:p>
        </w:tc>
        <w:tc>
          <w:tcPr>
            <w:tcW w:w="880" w:type="dxa"/>
            <w:vAlign w:val="bottom"/>
          </w:tcPr>
          <w:p>
            <w:pPr>
              <w:spacing w:after="0"/>
              <w:rPr>
                <w:sz w:val="20"/>
                <w:szCs w:val="20"/>
                <w:color w:val="auto"/>
              </w:rPr>
            </w:pPr>
            <w:r>
              <w:rPr>
                <w:rFonts w:ascii="Arial" w:cs="Arial" w:eastAsia="Arial" w:hAnsi="Arial"/>
                <w:sz w:val="13"/>
                <w:szCs w:val="13"/>
                <w:color w:val="auto"/>
              </w:rPr>
              <w:t>unearned</w:t>
            </w:r>
          </w:p>
        </w:tc>
        <w:tc>
          <w:tcPr>
            <w:tcW w:w="480" w:type="dxa"/>
            <w:vAlign w:val="bottom"/>
          </w:tcPr>
          <w:p>
            <w:pPr>
              <w:spacing w:after="0"/>
              <w:rPr>
                <w:sz w:val="20"/>
                <w:szCs w:val="20"/>
                <w:color w:val="auto"/>
              </w:rPr>
            </w:pPr>
            <w:r>
              <w:rPr>
                <w:rFonts w:ascii="Arial" w:cs="Arial" w:eastAsia="Arial" w:hAnsi="Arial"/>
                <w:sz w:val="13"/>
                <w:szCs w:val="13"/>
                <w:color w:val="auto"/>
                <w:w w:val="94"/>
              </w:rPr>
              <w:t>exercise</w:t>
            </w: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960" w:type="dxa"/>
            <w:vAlign w:val="bottom"/>
          </w:tcPr>
          <w:p>
            <w:pPr>
              <w:spacing w:after="0"/>
              <w:rPr>
                <w:sz w:val="20"/>
                <w:szCs w:val="20"/>
                <w:color w:val="auto"/>
              </w:rPr>
            </w:pPr>
            <w:r>
              <w:rPr>
                <w:rFonts w:ascii="Arial" w:cs="Arial" w:eastAsia="Arial" w:hAnsi="Arial"/>
                <w:sz w:val="13"/>
                <w:szCs w:val="13"/>
                <w:color w:val="auto"/>
              </w:rPr>
              <w:t>have not</w:t>
            </w:r>
          </w:p>
        </w:tc>
        <w:tc>
          <w:tcPr>
            <w:tcW w:w="520" w:type="dxa"/>
            <w:vAlign w:val="bottom"/>
          </w:tcPr>
          <w:p>
            <w:pPr>
              <w:spacing w:after="0"/>
              <w:rPr>
                <w:sz w:val="20"/>
                <w:szCs w:val="20"/>
                <w:color w:val="auto"/>
              </w:rPr>
            </w:pPr>
            <w:r>
              <w:rPr>
                <w:rFonts w:ascii="Arial" w:cs="Arial" w:eastAsia="Arial" w:hAnsi="Arial"/>
                <w:sz w:val="13"/>
                <w:szCs w:val="13"/>
                <w:color w:val="auto"/>
              </w:rPr>
              <w:t>have not</w:t>
            </w:r>
          </w:p>
        </w:tc>
        <w:tc>
          <w:tcPr>
            <w:tcW w:w="560" w:type="dxa"/>
            <w:vAlign w:val="bottom"/>
          </w:tcPr>
          <w:p>
            <w:pPr>
              <w:spacing w:after="0"/>
              <w:rPr>
                <w:sz w:val="13"/>
                <w:szCs w:val="13"/>
                <w:color w:val="auto"/>
              </w:rPr>
            </w:pPr>
          </w:p>
        </w:tc>
        <w:tc>
          <w:tcPr>
            <w:tcW w:w="860" w:type="dxa"/>
            <w:vAlign w:val="bottom"/>
            <w:gridSpan w:val="2"/>
          </w:tcPr>
          <w:p>
            <w:pPr>
              <w:spacing w:after="0"/>
              <w:rPr>
                <w:sz w:val="20"/>
                <w:szCs w:val="20"/>
                <w:color w:val="auto"/>
              </w:rPr>
            </w:pPr>
            <w:r>
              <w:rPr>
                <w:rFonts w:ascii="Arial" w:cs="Arial" w:eastAsia="Arial" w:hAnsi="Arial"/>
                <w:sz w:val="13"/>
                <w:szCs w:val="13"/>
                <w:color w:val="auto"/>
              </w:rPr>
              <w:t>that have not</w:t>
            </w:r>
          </w:p>
        </w:tc>
        <w:tc>
          <w:tcPr>
            <w:tcW w:w="920" w:type="dxa"/>
            <w:vAlign w:val="bottom"/>
          </w:tcPr>
          <w:p>
            <w:pPr>
              <w:spacing w:after="0"/>
              <w:rPr>
                <w:sz w:val="20"/>
                <w:szCs w:val="20"/>
                <w:color w:val="auto"/>
              </w:rPr>
            </w:pPr>
            <w:r>
              <w:rPr>
                <w:rFonts w:ascii="Arial" w:cs="Arial" w:eastAsia="Arial" w:hAnsi="Arial"/>
                <w:sz w:val="13"/>
                <w:szCs w:val="13"/>
                <w:color w:val="auto"/>
                <w:w w:val="99"/>
              </w:rPr>
              <w:t>other rights that</w:t>
            </w: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00" w:type="dxa"/>
            <w:vAlign w:val="bottom"/>
          </w:tcPr>
          <w:p>
            <w:pPr>
              <w:spacing w:after="0"/>
              <w:rPr>
                <w:sz w:val="13"/>
                <w:szCs w:val="13"/>
                <w:color w:val="auto"/>
              </w:rPr>
            </w:pPr>
          </w:p>
        </w:tc>
        <w:tc>
          <w:tcPr>
            <w:tcW w:w="980" w:type="dxa"/>
            <w:vAlign w:val="bottom"/>
            <w:gridSpan w:val="3"/>
          </w:tcPr>
          <w:p>
            <w:pPr>
              <w:ind w:left="100"/>
              <w:spacing w:after="0"/>
              <w:rPr>
                <w:sz w:val="20"/>
                <w:szCs w:val="20"/>
                <w:color w:val="auto"/>
              </w:rPr>
            </w:pPr>
            <w:r>
              <w:rPr>
                <w:rFonts w:ascii="Arial" w:cs="Arial" w:eastAsia="Arial" w:hAnsi="Arial"/>
                <w:sz w:val="13"/>
                <w:szCs w:val="13"/>
                <w:color w:val="auto"/>
              </w:rPr>
              <w:t>options</w:t>
            </w:r>
          </w:p>
        </w:tc>
        <w:tc>
          <w:tcPr>
            <w:tcW w:w="480" w:type="dxa"/>
            <w:vAlign w:val="bottom"/>
          </w:tcPr>
          <w:p>
            <w:pPr>
              <w:spacing w:after="0"/>
              <w:rPr>
                <w:sz w:val="13"/>
                <w:szCs w:val="13"/>
                <w:color w:val="auto"/>
              </w:rPr>
            </w:pPr>
          </w:p>
        </w:tc>
        <w:tc>
          <w:tcPr>
            <w:tcW w:w="880" w:type="dxa"/>
            <w:vAlign w:val="bottom"/>
          </w:tcPr>
          <w:p>
            <w:pPr>
              <w:spacing w:after="0"/>
              <w:rPr>
                <w:sz w:val="20"/>
                <w:szCs w:val="20"/>
                <w:color w:val="auto"/>
              </w:rPr>
            </w:pPr>
            <w:r>
              <w:rPr>
                <w:rFonts w:ascii="Arial" w:cs="Arial" w:eastAsia="Arial" w:hAnsi="Arial"/>
                <w:sz w:val="13"/>
                <w:szCs w:val="13"/>
                <w:color w:val="auto"/>
              </w:rPr>
              <w:t>(#)</w:t>
            </w:r>
          </w:p>
        </w:tc>
        <w:tc>
          <w:tcPr>
            <w:tcW w:w="480" w:type="dxa"/>
            <w:vAlign w:val="bottom"/>
          </w:tcPr>
          <w:p>
            <w:pPr>
              <w:spacing w:after="0"/>
              <w:rPr>
                <w:sz w:val="13"/>
                <w:szCs w:val="13"/>
                <w:color w:val="auto"/>
              </w:rPr>
            </w:pPr>
          </w:p>
        </w:tc>
        <w:tc>
          <w:tcPr>
            <w:tcW w:w="880" w:type="dxa"/>
            <w:vAlign w:val="bottom"/>
          </w:tcPr>
          <w:p>
            <w:pPr>
              <w:spacing w:after="0"/>
              <w:rPr>
                <w:sz w:val="20"/>
                <w:szCs w:val="20"/>
                <w:color w:val="auto"/>
              </w:rPr>
            </w:pPr>
            <w:r>
              <w:rPr>
                <w:rFonts w:ascii="Arial" w:cs="Arial" w:eastAsia="Arial" w:hAnsi="Arial"/>
                <w:sz w:val="13"/>
                <w:szCs w:val="13"/>
                <w:color w:val="auto"/>
              </w:rPr>
              <w:t>options</w:t>
            </w:r>
          </w:p>
        </w:tc>
        <w:tc>
          <w:tcPr>
            <w:tcW w:w="480" w:type="dxa"/>
            <w:vAlign w:val="bottom"/>
          </w:tcPr>
          <w:p>
            <w:pPr>
              <w:spacing w:after="0"/>
              <w:rPr>
                <w:sz w:val="20"/>
                <w:szCs w:val="20"/>
                <w:color w:val="auto"/>
              </w:rPr>
            </w:pPr>
            <w:r>
              <w:rPr>
                <w:rFonts w:ascii="Arial" w:cs="Arial" w:eastAsia="Arial" w:hAnsi="Arial"/>
                <w:sz w:val="13"/>
                <w:szCs w:val="13"/>
                <w:color w:val="auto"/>
              </w:rPr>
              <w:t>price</w:t>
            </w:r>
          </w:p>
        </w:tc>
        <w:tc>
          <w:tcPr>
            <w:tcW w:w="3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960" w:type="dxa"/>
            <w:vAlign w:val="bottom"/>
            <w:gridSpan w:val="2"/>
          </w:tcPr>
          <w:p>
            <w:pPr>
              <w:spacing w:after="0"/>
              <w:rPr>
                <w:sz w:val="20"/>
                <w:szCs w:val="20"/>
                <w:color w:val="auto"/>
              </w:rPr>
            </w:pPr>
            <w:r>
              <w:rPr>
                <w:rFonts w:ascii="Arial" w:cs="Arial" w:eastAsia="Arial" w:hAnsi="Arial"/>
                <w:sz w:val="13"/>
                <w:szCs w:val="13"/>
                <w:color w:val="auto"/>
              </w:rPr>
              <w:t>Option</w:t>
            </w:r>
          </w:p>
        </w:tc>
        <w:tc>
          <w:tcPr>
            <w:tcW w:w="960" w:type="dxa"/>
            <w:vAlign w:val="bottom"/>
          </w:tcPr>
          <w:p>
            <w:pPr>
              <w:spacing w:after="0"/>
              <w:rPr>
                <w:sz w:val="20"/>
                <w:szCs w:val="20"/>
                <w:color w:val="auto"/>
              </w:rPr>
            </w:pPr>
            <w:r>
              <w:rPr>
                <w:rFonts w:ascii="Arial" w:cs="Arial" w:eastAsia="Arial" w:hAnsi="Arial"/>
                <w:sz w:val="13"/>
                <w:szCs w:val="13"/>
                <w:color w:val="auto"/>
              </w:rPr>
              <w:t>vested</w:t>
            </w:r>
          </w:p>
        </w:tc>
        <w:tc>
          <w:tcPr>
            <w:tcW w:w="520" w:type="dxa"/>
            <w:vAlign w:val="bottom"/>
          </w:tcPr>
          <w:p>
            <w:pPr>
              <w:spacing w:after="0"/>
              <w:rPr>
                <w:sz w:val="20"/>
                <w:szCs w:val="20"/>
                <w:color w:val="auto"/>
              </w:rPr>
            </w:pPr>
            <w:r>
              <w:rPr>
                <w:rFonts w:ascii="Arial" w:cs="Arial" w:eastAsia="Arial" w:hAnsi="Arial"/>
                <w:sz w:val="13"/>
                <w:szCs w:val="13"/>
                <w:color w:val="auto"/>
              </w:rPr>
              <w:t>vested</w:t>
            </w:r>
          </w:p>
        </w:tc>
        <w:tc>
          <w:tcPr>
            <w:tcW w:w="560" w:type="dxa"/>
            <w:vAlign w:val="bottom"/>
          </w:tcPr>
          <w:p>
            <w:pPr>
              <w:spacing w:after="0"/>
              <w:rPr>
                <w:sz w:val="13"/>
                <w:szCs w:val="13"/>
                <w:color w:val="auto"/>
              </w:rPr>
            </w:pPr>
          </w:p>
        </w:tc>
        <w:tc>
          <w:tcPr>
            <w:tcW w:w="860" w:type="dxa"/>
            <w:vAlign w:val="bottom"/>
            <w:gridSpan w:val="2"/>
          </w:tcPr>
          <w:p>
            <w:pPr>
              <w:spacing w:after="0"/>
              <w:rPr>
                <w:sz w:val="20"/>
                <w:szCs w:val="20"/>
                <w:color w:val="auto"/>
              </w:rPr>
            </w:pPr>
            <w:r>
              <w:rPr>
                <w:rFonts w:ascii="Arial" w:cs="Arial" w:eastAsia="Arial" w:hAnsi="Arial"/>
                <w:sz w:val="13"/>
                <w:szCs w:val="13"/>
                <w:color w:val="auto"/>
              </w:rPr>
              <w:t>vested</w:t>
            </w:r>
          </w:p>
        </w:tc>
        <w:tc>
          <w:tcPr>
            <w:tcW w:w="920" w:type="dxa"/>
            <w:vAlign w:val="bottom"/>
          </w:tcPr>
          <w:p>
            <w:pPr>
              <w:spacing w:after="0"/>
              <w:rPr>
                <w:sz w:val="20"/>
                <w:szCs w:val="20"/>
                <w:color w:val="auto"/>
              </w:rPr>
            </w:pPr>
            <w:r>
              <w:rPr>
                <w:rFonts w:ascii="Arial" w:cs="Arial" w:eastAsia="Arial" w:hAnsi="Arial"/>
                <w:sz w:val="13"/>
                <w:szCs w:val="13"/>
                <w:color w:val="auto"/>
                <w:w w:val="98"/>
              </w:rPr>
              <w:t>have not vested</w:t>
            </w:r>
          </w:p>
        </w:tc>
        <w:tc>
          <w:tcPr>
            <w:tcW w:w="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5"/>
        </w:trPr>
        <w:tc>
          <w:tcPr>
            <w:tcW w:w="1800" w:type="dxa"/>
            <w:vAlign w:val="bottom"/>
          </w:tcPr>
          <w:p>
            <w:pPr>
              <w:spacing w:after="0"/>
              <w:rPr>
                <w:sz w:val="20"/>
                <w:szCs w:val="20"/>
                <w:color w:val="auto"/>
              </w:rPr>
            </w:pPr>
            <w:r>
              <w:rPr>
                <w:rFonts w:ascii="Arial" w:cs="Arial" w:eastAsia="Arial" w:hAnsi="Arial"/>
                <w:sz w:val="13"/>
                <w:szCs w:val="13"/>
                <w:color w:val="auto"/>
              </w:rPr>
              <w:t>Name</w:t>
            </w:r>
          </w:p>
        </w:tc>
        <w:tc>
          <w:tcPr>
            <w:tcW w:w="980" w:type="dxa"/>
            <w:vAlign w:val="bottom"/>
            <w:gridSpan w:val="3"/>
          </w:tcPr>
          <w:p>
            <w:pPr>
              <w:ind w:left="100"/>
              <w:spacing w:after="0"/>
              <w:rPr>
                <w:sz w:val="20"/>
                <w:szCs w:val="20"/>
                <w:color w:val="auto"/>
              </w:rPr>
            </w:pPr>
            <w:r>
              <w:rPr>
                <w:rFonts w:ascii="Arial" w:cs="Arial" w:eastAsia="Arial" w:hAnsi="Arial"/>
                <w:sz w:val="13"/>
                <w:szCs w:val="13"/>
                <w:color w:val="auto"/>
              </w:rPr>
              <w:t>(#) exercisable</w:t>
            </w:r>
          </w:p>
        </w:tc>
        <w:tc>
          <w:tcPr>
            <w:tcW w:w="480" w:type="dxa"/>
            <w:vAlign w:val="bottom"/>
          </w:tcPr>
          <w:p>
            <w:pPr>
              <w:spacing w:after="0"/>
              <w:rPr>
                <w:sz w:val="14"/>
                <w:szCs w:val="14"/>
                <w:color w:val="auto"/>
              </w:rPr>
            </w:pPr>
          </w:p>
        </w:tc>
        <w:tc>
          <w:tcPr>
            <w:tcW w:w="1360" w:type="dxa"/>
            <w:vAlign w:val="bottom"/>
            <w:gridSpan w:val="2"/>
          </w:tcPr>
          <w:p>
            <w:pPr>
              <w:spacing w:after="0"/>
              <w:rPr>
                <w:sz w:val="20"/>
                <w:szCs w:val="20"/>
                <w:color w:val="auto"/>
              </w:rPr>
            </w:pPr>
            <w:r>
              <w:rPr>
                <w:rFonts w:ascii="Arial" w:cs="Arial" w:eastAsia="Arial" w:hAnsi="Arial"/>
                <w:sz w:val="13"/>
                <w:szCs w:val="13"/>
                <w:color w:val="auto"/>
              </w:rPr>
              <w:t>unexercisable</w:t>
            </w:r>
          </w:p>
        </w:tc>
        <w:tc>
          <w:tcPr>
            <w:tcW w:w="880" w:type="dxa"/>
            <w:vAlign w:val="bottom"/>
          </w:tcPr>
          <w:p>
            <w:pPr>
              <w:spacing w:after="0"/>
              <w:rPr>
                <w:sz w:val="20"/>
                <w:szCs w:val="20"/>
                <w:color w:val="auto"/>
              </w:rPr>
            </w:pPr>
            <w:r>
              <w:rPr>
                <w:rFonts w:ascii="Arial" w:cs="Arial" w:eastAsia="Arial" w:hAnsi="Arial"/>
                <w:sz w:val="13"/>
                <w:szCs w:val="13"/>
                <w:color w:val="auto"/>
              </w:rPr>
              <w:t>(#)</w:t>
            </w:r>
          </w:p>
        </w:tc>
        <w:tc>
          <w:tcPr>
            <w:tcW w:w="480" w:type="dxa"/>
            <w:vAlign w:val="bottom"/>
          </w:tcPr>
          <w:p>
            <w:pPr>
              <w:spacing w:after="0"/>
              <w:rPr>
                <w:sz w:val="20"/>
                <w:szCs w:val="20"/>
                <w:color w:val="auto"/>
              </w:rPr>
            </w:pPr>
            <w:r>
              <w:rPr>
                <w:rFonts w:ascii="Arial" w:cs="Arial" w:eastAsia="Arial" w:hAnsi="Arial"/>
                <w:sz w:val="13"/>
                <w:szCs w:val="13"/>
                <w:color w:val="auto"/>
              </w:rPr>
              <w:t>($)</w:t>
            </w:r>
          </w:p>
        </w:tc>
        <w:tc>
          <w:tcPr>
            <w:tcW w:w="3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960" w:type="dxa"/>
            <w:vAlign w:val="bottom"/>
            <w:gridSpan w:val="2"/>
          </w:tcPr>
          <w:p>
            <w:pPr>
              <w:spacing w:after="0"/>
              <w:rPr>
                <w:sz w:val="20"/>
                <w:szCs w:val="20"/>
                <w:color w:val="auto"/>
              </w:rPr>
            </w:pPr>
            <w:r>
              <w:rPr>
                <w:rFonts w:ascii="Arial" w:cs="Arial" w:eastAsia="Arial" w:hAnsi="Arial"/>
                <w:sz w:val="13"/>
                <w:szCs w:val="13"/>
                <w:color w:val="auto"/>
              </w:rPr>
              <w:t>expiration date</w:t>
            </w:r>
          </w:p>
        </w:tc>
        <w:tc>
          <w:tcPr>
            <w:tcW w:w="960" w:type="dxa"/>
            <w:vAlign w:val="bottom"/>
          </w:tcPr>
          <w:p>
            <w:pPr>
              <w:spacing w:after="0"/>
              <w:rPr>
                <w:sz w:val="20"/>
                <w:szCs w:val="20"/>
                <w:color w:val="auto"/>
              </w:rPr>
            </w:pPr>
            <w:r>
              <w:rPr>
                <w:rFonts w:ascii="Arial" w:cs="Arial" w:eastAsia="Arial" w:hAnsi="Arial"/>
                <w:sz w:val="13"/>
                <w:szCs w:val="13"/>
                <w:color w:val="auto"/>
              </w:rPr>
              <w:t>(#)</w:t>
            </w:r>
          </w:p>
        </w:tc>
        <w:tc>
          <w:tcPr>
            <w:tcW w:w="520" w:type="dxa"/>
            <w:vAlign w:val="bottom"/>
          </w:tcPr>
          <w:p>
            <w:pPr>
              <w:spacing w:after="0"/>
              <w:rPr>
                <w:sz w:val="20"/>
                <w:szCs w:val="20"/>
                <w:color w:val="auto"/>
              </w:rPr>
            </w:pPr>
            <w:r>
              <w:rPr>
                <w:rFonts w:ascii="Arial" w:cs="Arial" w:eastAsia="Arial" w:hAnsi="Arial"/>
                <w:sz w:val="13"/>
                <w:szCs w:val="13"/>
                <w:color w:val="auto"/>
              </w:rPr>
              <w:t>($)</w:t>
            </w:r>
          </w:p>
        </w:tc>
        <w:tc>
          <w:tcPr>
            <w:tcW w:w="560" w:type="dxa"/>
            <w:vAlign w:val="bottom"/>
          </w:tcPr>
          <w:p>
            <w:pPr>
              <w:spacing w:after="0"/>
              <w:rPr>
                <w:sz w:val="14"/>
                <w:szCs w:val="14"/>
                <w:color w:val="auto"/>
              </w:rPr>
            </w:pPr>
          </w:p>
        </w:tc>
        <w:tc>
          <w:tcPr>
            <w:tcW w:w="760" w:type="dxa"/>
            <w:vAlign w:val="bottom"/>
          </w:tcPr>
          <w:p>
            <w:pPr>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920" w:type="dxa"/>
            <w:vAlign w:val="bottom"/>
          </w:tcPr>
          <w:p>
            <w:pPr>
              <w:spacing w:after="0"/>
              <w:rPr>
                <w:sz w:val="20"/>
                <w:szCs w:val="20"/>
                <w:color w:val="auto"/>
              </w:rPr>
            </w:pPr>
            <w:r>
              <w:rPr>
                <w:rFonts w:ascii="Arial" w:cs="Arial" w:eastAsia="Arial" w:hAnsi="Arial"/>
                <w:sz w:val="13"/>
                <w:szCs w:val="13"/>
                <w:color w:val="auto"/>
              </w:rPr>
              <w:t>($)</w:t>
            </w:r>
          </w:p>
        </w:tc>
        <w:tc>
          <w:tcPr>
            <w:tcW w:w="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0"/>
        </w:trPr>
        <w:tc>
          <w:tcPr>
            <w:tcW w:w="1800" w:type="dxa"/>
            <w:vAlign w:val="bottom"/>
            <w:shd w:val="clear" w:color="auto" w:fill="000000"/>
          </w:tcPr>
          <w:p>
            <w:pPr>
              <w:spacing w:after="0" w:line="20" w:lineRule="exact"/>
              <w:rPr>
                <w:sz w:val="1"/>
                <w:szCs w:val="1"/>
                <w:color w:val="auto"/>
              </w:rPr>
            </w:pPr>
          </w:p>
        </w:tc>
        <w:tc>
          <w:tcPr>
            <w:tcW w:w="100" w:type="dxa"/>
            <w:vAlign w:val="bottom"/>
            <w:vMerge w:val="restart"/>
            <w:shd w:val="clear" w:color="auto" w:fill="CCEEFF"/>
          </w:tcPr>
          <w:p>
            <w:pPr>
              <w:spacing w:after="0" w:line="20" w:lineRule="exact"/>
              <w:rPr>
                <w:sz w:val="1"/>
                <w:szCs w:val="1"/>
                <w:color w:val="auto"/>
              </w:rPr>
            </w:pPr>
          </w:p>
        </w:tc>
        <w:tc>
          <w:tcPr>
            <w:tcW w:w="860" w:type="dxa"/>
            <w:vAlign w:val="bottom"/>
            <w:shd w:val="clear" w:color="auto" w:fill="000000"/>
          </w:tcPr>
          <w:p>
            <w:pPr>
              <w:spacing w:after="0" w:line="20" w:lineRule="exact"/>
              <w:rPr>
                <w:sz w:val="1"/>
                <w:szCs w:val="1"/>
                <w:color w:val="auto"/>
              </w:rPr>
            </w:pPr>
          </w:p>
        </w:tc>
        <w:tc>
          <w:tcPr>
            <w:tcW w:w="500" w:type="dxa"/>
            <w:vAlign w:val="bottom"/>
            <w:gridSpan w:val="2"/>
            <w:shd w:val="clear" w:color="auto" w:fill="CCEEFF"/>
          </w:tcPr>
          <w:p>
            <w:pPr>
              <w:spacing w:after="0" w:line="20" w:lineRule="exact"/>
              <w:rPr>
                <w:sz w:val="1"/>
                <w:szCs w:val="1"/>
                <w:color w:val="auto"/>
              </w:rPr>
            </w:pPr>
          </w:p>
        </w:tc>
        <w:tc>
          <w:tcPr>
            <w:tcW w:w="880" w:type="dxa"/>
            <w:vAlign w:val="bottom"/>
            <w:shd w:val="clear" w:color="auto" w:fill="000000"/>
          </w:tcPr>
          <w:p>
            <w:pPr>
              <w:spacing w:after="0" w:line="20" w:lineRule="exact"/>
              <w:rPr>
                <w:sz w:val="1"/>
                <w:szCs w:val="1"/>
                <w:color w:val="auto"/>
              </w:rPr>
            </w:pPr>
          </w:p>
        </w:tc>
        <w:tc>
          <w:tcPr>
            <w:tcW w:w="480" w:type="dxa"/>
            <w:vAlign w:val="bottom"/>
            <w:shd w:val="clear" w:color="auto" w:fill="CCEEFF"/>
          </w:tcPr>
          <w:p>
            <w:pPr>
              <w:spacing w:after="0" w:line="20" w:lineRule="exact"/>
              <w:rPr>
                <w:sz w:val="1"/>
                <w:szCs w:val="1"/>
                <w:color w:val="auto"/>
              </w:rPr>
            </w:pPr>
          </w:p>
        </w:tc>
        <w:tc>
          <w:tcPr>
            <w:tcW w:w="880" w:type="dxa"/>
            <w:vAlign w:val="bottom"/>
            <w:tcBorders>
              <w:right w:val="single" w:sz="8" w:color="CCEEFF"/>
            </w:tcBorders>
            <w:shd w:val="clear" w:color="auto" w:fill="000000"/>
          </w:tcPr>
          <w:p>
            <w:pPr>
              <w:spacing w:after="0" w:line="20" w:lineRule="exact"/>
              <w:rPr>
                <w:sz w:val="1"/>
                <w:szCs w:val="1"/>
                <w:color w:val="auto"/>
              </w:rPr>
            </w:pPr>
          </w:p>
        </w:tc>
        <w:tc>
          <w:tcPr>
            <w:tcW w:w="480" w:type="dxa"/>
            <w:vAlign w:val="bottom"/>
            <w:shd w:val="clear" w:color="auto" w:fill="000000"/>
          </w:tcPr>
          <w:p>
            <w:pPr>
              <w:spacing w:after="0" w:line="20" w:lineRule="exact"/>
              <w:rPr>
                <w:sz w:val="1"/>
                <w:szCs w:val="1"/>
                <w:color w:val="auto"/>
              </w:rPr>
            </w:pPr>
          </w:p>
        </w:tc>
        <w:tc>
          <w:tcPr>
            <w:tcW w:w="360" w:type="dxa"/>
            <w:vAlign w:val="bottom"/>
            <w:shd w:val="clear" w:color="auto" w:fill="000000"/>
          </w:tcPr>
          <w:p>
            <w:pPr>
              <w:spacing w:after="0" w:line="20" w:lineRule="exact"/>
              <w:rPr>
                <w:sz w:val="1"/>
                <w:szCs w:val="1"/>
                <w:color w:val="auto"/>
              </w:rPr>
            </w:pPr>
          </w:p>
        </w:tc>
        <w:tc>
          <w:tcPr>
            <w:tcW w:w="120" w:type="dxa"/>
            <w:vAlign w:val="bottom"/>
            <w:vMerge w:val="restart"/>
            <w:shd w:val="clear" w:color="auto" w:fill="CCEEFF"/>
          </w:tcPr>
          <w:p>
            <w:pPr>
              <w:spacing w:after="0" w:line="20" w:lineRule="exact"/>
              <w:rPr>
                <w:sz w:val="1"/>
                <w:szCs w:val="1"/>
                <w:color w:val="auto"/>
              </w:rPr>
            </w:pPr>
          </w:p>
        </w:tc>
        <w:tc>
          <w:tcPr>
            <w:tcW w:w="860" w:type="dxa"/>
            <w:vAlign w:val="bottom"/>
            <w:shd w:val="clear" w:color="auto" w:fill="000000"/>
          </w:tcPr>
          <w:p>
            <w:pPr>
              <w:spacing w:after="0" w:line="20" w:lineRule="exact"/>
              <w:rPr>
                <w:sz w:val="1"/>
                <w:szCs w:val="1"/>
                <w:color w:val="auto"/>
              </w:rPr>
            </w:pPr>
          </w:p>
        </w:tc>
        <w:tc>
          <w:tcPr>
            <w:tcW w:w="100" w:type="dxa"/>
            <w:vAlign w:val="bottom"/>
            <w:vMerge w:val="restart"/>
            <w:shd w:val="clear" w:color="auto" w:fill="CCEEFF"/>
          </w:tcPr>
          <w:p>
            <w:pPr>
              <w:spacing w:after="0" w:line="20" w:lineRule="exact"/>
              <w:rPr>
                <w:sz w:val="1"/>
                <w:szCs w:val="1"/>
                <w:color w:val="auto"/>
              </w:rPr>
            </w:pPr>
          </w:p>
        </w:tc>
        <w:tc>
          <w:tcPr>
            <w:tcW w:w="960" w:type="dxa"/>
            <w:vAlign w:val="bottom"/>
            <w:tcBorders>
              <w:right w:val="single" w:sz="8" w:color="CCEEFF"/>
            </w:tcBorders>
            <w:shd w:val="clear" w:color="auto" w:fill="000000"/>
          </w:tcPr>
          <w:p>
            <w:pPr>
              <w:spacing w:after="0" w:line="20" w:lineRule="exact"/>
              <w:rPr>
                <w:sz w:val="1"/>
                <w:szCs w:val="1"/>
                <w:color w:val="auto"/>
              </w:rPr>
            </w:pPr>
          </w:p>
        </w:tc>
        <w:tc>
          <w:tcPr>
            <w:tcW w:w="520" w:type="dxa"/>
            <w:vAlign w:val="bottom"/>
            <w:shd w:val="clear" w:color="auto" w:fill="000000"/>
          </w:tcPr>
          <w:p>
            <w:pPr>
              <w:spacing w:after="0" w:line="20" w:lineRule="exact"/>
              <w:rPr>
                <w:sz w:val="1"/>
                <w:szCs w:val="1"/>
                <w:color w:val="auto"/>
              </w:rPr>
            </w:pPr>
          </w:p>
        </w:tc>
        <w:tc>
          <w:tcPr>
            <w:tcW w:w="560" w:type="dxa"/>
            <w:vAlign w:val="bottom"/>
            <w:tcBorders>
              <w:right w:val="single" w:sz="8" w:color="CCEEFF"/>
            </w:tcBorders>
            <w:shd w:val="clear" w:color="auto" w:fill="000000"/>
          </w:tcPr>
          <w:p>
            <w:pPr>
              <w:spacing w:after="0" w:line="20" w:lineRule="exact"/>
              <w:rPr>
                <w:sz w:val="1"/>
                <w:szCs w:val="1"/>
                <w:color w:val="auto"/>
              </w:rPr>
            </w:pPr>
          </w:p>
        </w:tc>
        <w:tc>
          <w:tcPr>
            <w:tcW w:w="76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920" w:type="dxa"/>
            <w:vAlign w:val="bottom"/>
            <w:shd w:val="clear" w:color="auto" w:fill="000000"/>
          </w:tcPr>
          <w:p>
            <w:pPr>
              <w:spacing w:after="0" w:line="20" w:lineRule="exact"/>
              <w:rPr>
                <w:sz w:val="1"/>
                <w:szCs w:val="1"/>
                <w:color w:val="auto"/>
              </w:rPr>
            </w:pPr>
          </w:p>
        </w:tc>
        <w:tc>
          <w:tcPr>
            <w:tcW w:w="40" w:type="dxa"/>
            <w:vAlign w:val="bottom"/>
            <w:shd w:val="clear" w:color="auto" w:fill="00000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47"/>
        </w:trPr>
        <w:tc>
          <w:tcPr>
            <w:tcW w:w="1800" w:type="dxa"/>
            <w:vAlign w:val="bottom"/>
            <w:shd w:val="clear" w:color="auto" w:fill="CCEEFF"/>
          </w:tcPr>
          <w:p>
            <w:pPr>
              <w:spacing w:after="0" w:line="147" w:lineRule="exact"/>
              <w:rPr>
                <w:sz w:val="20"/>
                <w:szCs w:val="20"/>
                <w:color w:val="auto"/>
              </w:rPr>
            </w:pPr>
            <w:r>
              <w:rPr>
                <w:rFonts w:ascii="Arial" w:cs="Arial" w:eastAsia="Arial" w:hAnsi="Arial"/>
                <w:sz w:val="13"/>
                <w:szCs w:val="13"/>
                <w:color w:val="auto"/>
              </w:rPr>
              <w:t>Mercedes Soria</w:t>
            </w:r>
          </w:p>
        </w:tc>
        <w:tc>
          <w:tcPr>
            <w:tcW w:w="100" w:type="dxa"/>
            <w:vAlign w:val="bottom"/>
            <w:vMerge w:val="continue"/>
            <w:shd w:val="clear" w:color="auto" w:fill="CCEEFF"/>
          </w:tcPr>
          <w:p>
            <w:pPr>
              <w:spacing w:after="0"/>
              <w:rPr>
                <w:sz w:val="12"/>
                <w:szCs w:val="12"/>
                <w:color w:val="auto"/>
              </w:rPr>
            </w:pPr>
          </w:p>
        </w:tc>
        <w:tc>
          <w:tcPr>
            <w:tcW w:w="1360" w:type="dxa"/>
            <w:vAlign w:val="bottom"/>
            <w:gridSpan w:val="3"/>
            <w:shd w:val="clear" w:color="auto" w:fill="CCEEFF"/>
          </w:tcPr>
          <w:p>
            <w:pPr>
              <w:jc w:val="right"/>
              <w:ind w:right="135"/>
              <w:spacing w:after="0" w:line="147" w:lineRule="exact"/>
              <w:rPr>
                <w:sz w:val="20"/>
                <w:szCs w:val="20"/>
                <w:color w:val="auto"/>
              </w:rPr>
            </w:pPr>
            <w:r>
              <w:rPr>
                <w:rFonts w:ascii="Arial" w:cs="Arial" w:eastAsia="Arial" w:hAnsi="Arial"/>
                <w:sz w:val="13"/>
                <w:szCs w:val="13"/>
                <w:color w:val="auto"/>
              </w:rPr>
              <w:t>113,000(1)(8)</w:t>
            </w:r>
          </w:p>
        </w:tc>
        <w:tc>
          <w:tcPr>
            <w:tcW w:w="880" w:type="dxa"/>
            <w:vAlign w:val="bottom"/>
            <w:shd w:val="clear" w:color="auto" w:fill="CCEEFF"/>
          </w:tcPr>
          <w:p>
            <w:pPr>
              <w:spacing w:after="0"/>
              <w:rPr>
                <w:sz w:val="12"/>
                <w:szCs w:val="12"/>
                <w:color w:val="auto"/>
              </w:rPr>
            </w:pPr>
          </w:p>
        </w:tc>
        <w:tc>
          <w:tcPr>
            <w:tcW w:w="480" w:type="dxa"/>
            <w:vAlign w:val="bottom"/>
            <w:shd w:val="clear" w:color="auto" w:fill="CCEEFF"/>
          </w:tcPr>
          <w:p>
            <w:pPr>
              <w:spacing w:after="0"/>
              <w:rPr>
                <w:sz w:val="12"/>
                <w:szCs w:val="12"/>
                <w:color w:val="auto"/>
              </w:rPr>
            </w:pPr>
          </w:p>
        </w:tc>
        <w:tc>
          <w:tcPr>
            <w:tcW w:w="880" w:type="dxa"/>
            <w:vAlign w:val="bottom"/>
            <w:tcBorders>
              <w:right w:val="single" w:sz="8" w:color="CCEEFF"/>
            </w:tcBorders>
            <w:shd w:val="clear" w:color="auto" w:fill="CCEEFF"/>
          </w:tcPr>
          <w:p>
            <w:pPr>
              <w:jc w:val="right"/>
              <w:ind w:right="55"/>
              <w:spacing w:after="0" w:line="147" w:lineRule="exact"/>
              <w:rPr>
                <w:sz w:val="20"/>
                <w:szCs w:val="20"/>
                <w:color w:val="auto"/>
              </w:rPr>
            </w:pPr>
            <w:r>
              <w:rPr>
                <w:rFonts w:ascii="Arial" w:cs="Arial" w:eastAsia="Arial" w:hAnsi="Arial"/>
                <w:sz w:val="13"/>
                <w:szCs w:val="13"/>
                <w:color w:val="auto"/>
              </w:rPr>
              <w:t>-</w:t>
            </w:r>
          </w:p>
        </w:tc>
        <w:tc>
          <w:tcPr>
            <w:tcW w:w="480" w:type="dxa"/>
            <w:vAlign w:val="bottom"/>
            <w:shd w:val="clear" w:color="auto" w:fill="CCEEFF"/>
          </w:tcPr>
          <w:p>
            <w:pPr>
              <w:spacing w:after="0"/>
              <w:rPr>
                <w:sz w:val="12"/>
                <w:szCs w:val="12"/>
                <w:color w:val="auto"/>
              </w:rPr>
            </w:pPr>
          </w:p>
        </w:tc>
        <w:tc>
          <w:tcPr>
            <w:tcW w:w="36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$0.16</w:t>
            </w:r>
          </w:p>
        </w:tc>
        <w:tc>
          <w:tcPr>
            <w:tcW w:w="120" w:type="dxa"/>
            <w:vAlign w:val="bottom"/>
            <w:vMerge w:val="continue"/>
            <w:shd w:val="clear" w:color="auto" w:fill="CCEEFF"/>
          </w:tcPr>
          <w:p>
            <w:pPr>
              <w:spacing w:after="0"/>
              <w:rPr>
                <w:sz w:val="12"/>
                <w:szCs w:val="12"/>
                <w:color w:val="auto"/>
              </w:rPr>
            </w:pPr>
          </w:p>
        </w:tc>
        <w:tc>
          <w:tcPr>
            <w:tcW w:w="860" w:type="dxa"/>
            <w:vAlign w:val="bottom"/>
            <w:shd w:val="clear" w:color="auto" w:fill="CCEEFF"/>
          </w:tcPr>
          <w:p>
            <w:pPr>
              <w:jc w:val="right"/>
              <w:ind w:right="75"/>
              <w:spacing w:after="0" w:line="147" w:lineRule="exact"/>
              <w:rPr>
                <w:sz w:val="20"/>
                <w:szCs w:val="20"/>
                <w:color w:val="auto"/>
              </w:rPr>
            </w:pPr>
            <w:r>
              <w:rPr>
                <w:rFonts w:ascii="Arial" w:cs="Arial" w:eastAsia="Arial" w:hAnsi="Arial"/>
                <w:sz w:val="13"/>
                <w:szCs w:val="13"/>
                <w:color w:val="auto"/>
              </w:rPr>
              <w:t>04-20-2024</w:t>
            </w:r>
          </w:p>
        </w:tc>
        <w:tc>
          <w:tcPr>
            <w:tcW w:w="100" w:type="dxa"/>
            <w:vAlign w:val="bottom"/>
            <w:vMerge w:val="continue"/>
            <w:shd w:val="clear" w:color="auto" w:fill="CCEEFF"/>
          </w:tcPr>
          <w:p>
            <w:pPr>
              <w:spacing w:after="0"/>
              <w:rPr>
                <w:sz w:val="12"/>
                <w:szCs w:val="12"/>
                <w:color w:val="auto"/>
              </w:rPr>
            </w:pPr>
          </w:p>
        </w:tc>
        <w:tc>
          <w:tcPr>
            <w:tcW w:w="960" w:type="dxa"/>
            <w:vAlign w:val="bottom"/>
            <w:tcBorders>
              <w:right w:val="single" w:sz="8" w:color="CCEEFF"/>
            </w:tcBorders>
            <w:shd w:val="clear" w:color="auto" w:fill="CCEEFF"/>
          </w:tcPr>
          <w:p>
            <w:pPr>
              <w:spacing w:after="0"/>
              <w:rPr>
                <w:sz w:val="12"/>
                <w:szCs w:val="12"/>
                <w:color w:val="auto"/>
              </w:rPr>
            </w:pPr>
          </w:p>
        </w:tc>
        <w:tc>
          <w:tcPr>
            <w:tcW w:w="520" w:type="dxa"/>
            <w:vAlign w:val="bottom"/>
            <w:shd w:val="clear" w:color="auto" w:fill="CCEEFF"/>
          </w:tcPr>
          <w:p>
            <w:pPr>
              <w:spacing w:after="0"/>
              <w:rPr>
                <w:sz w:val="12"/>
                <w:szCs w:val="12"/>
                <w:color w:val="auto"/>
              </w:rPr>
            </w:pPr>
          </w:p>
        </w:tc>
        <w:tc>
          <w:tcPr>
            <w:tcW w:w="560" w:type="dxa"/>
            <w:vAlign w:val="bottom"/>
            <w:tcBorders>
              <w:right w:val="single" w:sz="8" w:color="CCEEFF"/>
            </w:tcBorders>
            <w:shd w:val="clear" w:color="auto" w:fill="CCEEFF"/>
          </w:tcPr>
          <w:p>
            <w:pPr>
              <w:spacing w:after="0"/>
              <w:rPr>
                <w:sz w:val="12"/>
                <w:szCs w:val="12"/>
                <w:color w:val="auto"/>
              </w:rPr>
            </w:pPr>
          </w:p>
        </w:tc>
        <w:tc>
          <w:tcPr>
            <w:tcW w:w="7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920" w:type="dxa"/>
            <w:vAlign w:val="bottom"/>
            <w:shd w:val="clear" w:color="auto" w:fill="CCEEFF"/>
          </w:tcPr>
          <w:p>
            <w:pPr>
              <w:spacing w:after="0"/>
              <w:rPr>
                <w:sz w:val="12"/>
                <w:szCs w:val="12"/>
                <w:color w:val="auto"/>
              </w:rPr>
            </w:pPr>
          </w:p>
        </w:tc>
        <w:tc>
          <w:tcPr>
            <w:tcW w:w="4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1800" w:type="dxa"/>
            <w:vAlign w:val="bottom"/>
            <w:shd w:val="clear" w:color="auto" w:fill="CCEEFF"/>
          </w:tcPr>
          <w:p>
            <w:pPr>
              <w:spacing w:after="0"/>
              <w:rPr>
                <w:sz w:val="20"/>
                <w:szCs w:val="20"/>
                <w:color w:val="auto"/>
              </w:rPr>
            </w:pPr>
            <w:r>
              <w:rPr>
                <w:rFonts w:ascii="Arial" w:cs="Arial" w:eastAsia="Arial" w:hAnsi="Arial"/>
                <w:sz w:val="13"/>
                <w:szCs w:val="13"/>
                <w:color w:val="auto"/>
              </w:rPr>
              <w:t>Mercedes Soria</w:t>
            </w:r>
          </w:p>
        </w:tc>
        <w:tc>
          <w:tcPr>
            <w:tcW w:w="100" w:type="dxa"/>
            <w:vAlign w:val="bottom"/>
            <w:shd w:val="clear" w:color="auto" w:fill="CCEEFF"/>
          </w:tcPr>
          <w:p>
            <w:pPr>
              <w:spacing w:after="0"/>
              <w:rPr>
                <w:sz w:val="13"/>
                <w:szCs w:val="13"/>
                <w:color w:val="auto"/>
              </w:rPr>
            </w:pPr>
          </w:p>
        </w:tc>
        <w:tc>
          <w:tcPr>
            <w:tcW w:w="1360" w:type="dxa"/>
            <w:vAlign w:val="bottom"/>
            <w:gridSpan w:val="3"/>
            <w:shd w:val="clear" w:color="auto" w:fill="CCEEFF"/>
          </w:tcPr>
          <w:p>
            <w:pPr>
              <w:jc w:val="right"/>
              <w:ind w:right="135"/>
              <w:spacing w:after="0"/>
              <w:rPr>
                <w:sz w:val="20"/>
                <w:szCs w:val="20"/>
                <w:color w:val="auto"/>
              </w:rPr>
            </w:pPr>
            <w:r>
              <w:rPr>
                <w:rFonts w:ascii="Arial" w:cs="Arial" w:eastAsia="Arial" w:hAnsi="Arial"/>
                <w:sz w:val="13"/>
                <w:szCs w:val="13"/>
                <w:color w:val="auto"/>
              </w:rPr>
              <w:t>125,000(1)(8)</w:t>
            </w:r>
          </w:p>
        </w:tc>
        <w:tc>
          <w:tcPr>
            <w:tcW w:w="880" w:type="dxa"/>
            <w:vAlign w:val="bottom"/>
            <w:shd w:val="clear" w:color="auto" w:fill="CCEEFF"/>
          </w:tcPr>
          <w:p>
            <w:pPr>
              <w:spacing w:after="0"/>
              <w:rPr>
                <w:sz w:val="13"/>
                <w:szCs w:val="13"/>
                <w:color w:val="auto"/>
              </w:rPr>
            </w:pPr>
          </w:p>
        </w:tc>
        <w:tc>
          <w:tcPr>
            <w:tcW w:w="480" w:type="dxa"/>
            <w:vAlign w:val="bottom"/>
            <w:shd w:val="clear" w:color="auto" w:fill="CCEEFF"/>
          </w:tcPr>
          <w:p>
            <w:pPr>
              <w:spacing w:after="0"/>
              <w:rPr>
                <w:sz w:val="13"/>
                <w:szCs w:val="13"/>
                <w:color w:val="auto"/>
              </w:rPr>
            </w:pPr>
          </w:p>
        </w:tc>
        <w:tc>
          <w:tcPr>
            <w:tcW w:w="880" w:type="dxa"/>
            <w:vAlign w:val="bottom"/>
            <w:tcBorders>
              <w:right w:val="single" w:sz="8" w:color="CCEEFF"/>
            </w:tcBorders>
            <w:shd w:val="clear" w:color="auto" w:fill="CCEEFF"/>
          </w:tcPr>
          <w:p>
            <w:pPr>
              <w:jc w:val="right"/>
              <w:ind w:right="55"/>
              <w:spacing w:after="0"/>
              <w:rPr>
                <w:sz w:val="20"/>
                <w:szCs w:val="20"/>
                <w:color w:val="auto"/>
              </w:rPr>
            </w:pPr>
            <w:r>
              <w:rPr>
                <w:rFonts w:ascii="Arial" w:cs="Arial" w:eastAsia="Arial" w:hAnsi="Arial"/>
                <w:sz w:val="13"/>
                <w:szCs w:val="13"/>
                <w:color w:val="auto"/>
              </w:rPr>
              <w:t>-</w:t>
            </w:r>
          </w:p>
        </w:tc>
        <w:tc>
          <w:tcPr>
            <w:tcW w:w="480" w:type="dxa"/>
            <w:vAlign w:val="bottom"/>
            <w:shd w:val="clear" w:color="auto" w:fill="CCEEFF"/>
          </w:tcPr>
          <w:p>
            <w:pPr>
              <w:spacing w:after="0"/>
              <w:rPr>
                <w:sz w:val="13"/>
                <w:szCs w:val="13"/>
                <w:color w:val="auto"/>
              </w:rPr>
            </w:pPr>
          </w:p>
        </w:tc>
        <w:tc>
          <w:tcPr>
            <w:tcW w:w="3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$0.60</w:t>
            </w:r>
          </w:p>
        </w:tc>
        <w:tc>
          <w:tcPr>
            <w:tcW w:w="120" w:type="dxa"/>
            <w:vAlign w:val="bottom"/>
            <w:shd w:val="clear" w:color="auto" w:fill="CCEEFF"/>
          </w:tcPr>
          <w:p>
            <w:pPr>
              <w:spacing w:after="0"/>
              <w:rPr>
                <w:sz w:val="13"/>
                <w:szCs w:val="13"/>
                <w:color w:val="auto"/>
              </w:rPr>
            </w:pPr>
          </w:p>
        </w:tc>
        <w:tc>
          <w:tcPr>
            <w:tcW w:w="860" w:type="dxa"/>
            <w:vAlign w:val="bottom"/>
            <w:shd w:val="clear" w:color="auto" w:fill="CCEEFF"/>
          </w:tcPr>
          <w:p>
            <w:pPr>
              <w:jc w:val="right"/>
              <w:ind w:right="75"/>
              <w:spacing w:after="0"/>
              <w:rPr>
                <w:sz w:val="20"/>
                <w:szCs w:val="20"/>
                <w:color w:val="auto"/>
              </w:rPr>
            </w:pPr>
            <w:r>
              <w:rPr>
                <w:rFonts w:ascii="Arial" w:cs="Arial" w:eastAsia="Arial" w:hAnsi="Arial"/>
                <w:sz w:val="13"/>
                <w:szCs w:val="13"/>
                <w:color w:val="auto"/>
              </w:rPr>
              <w:t>11-17-2026</w:t>
            </w:r>
          </w:p>
        </w:tc>
        <w:tc>
          <w:tcPr>
            <w:tcW w:w="100" w:type="dxa"/>
            <w:vAlign w:val="bottom"/>
            <w:shd w:val="clear" w:color="auto" w:fill="CCEEFF"/>
          </w:tcPr>
          <w:p>
            <w:pPr>
              <w:spacing w:after="0"/>
              <w:rPr>
                <w:sz w:val="13"/>
                <w:szCs w:val="13"/>
                <w:color w:val="auto"/>
              </w:rPr>
            </w:pPr>
          </w:p>
        </w:tc>
        <w:tc>
          <w:tcPr>
            <w:tcW w:w="960" w:type="dxa"/>
            <w:vAlign w:val="bottom"/>
            <w:tcBorders>
              <w:right w:val="single" w:sz="8" w:color="CCEEFF"/>
            </w:tcBorders>
            <w:shd w:val="clear" w:color="auto" w:fill="CCEEFF"/>
          </w:tcPr>
          <w:p>
            <w:pPr>
              <w:spacing w:after="0"/>
              <w:rPr>
                <w:sz w:val="13"/>
                <w:szCs w:val="13"/>
                <w:color w:val="auto"/>
              </w:rPr>
            </w:pPr>
          </w:p>
        </w:tc>
        <w:tc>
          <w:tcPr>
            <w:tcW w:w="520" w:type="dxa"/>
            <w:vAlign w:val="bottom"/>
            <w:shd w:val="clear" w:color="auto" w:fill="CCEEFF"/>
          </w:tcPr>
          <w:p>
            <w:pPr>
              <w:spacing w:after="0"/>
              <w:rPr>
                <w:sz w:val="13"/>
                <w:szCs w:val="13"/>
                <w:color w:val="auto"/>
              </w:rPr>
            </w:pPr>
          </w:p>
        </w:tc>
        <w:tc>
          <w:tcPr>
            <w:tcW w:w="560" w:type="dxa"/>
            <w:vAlign w:val="bottom"/>
            <w:tcBorders>
              <w:right w:val="single" w:sz="8" w:color="CCEEFF"/>
            </w:tcBorders>
            <w:shd w:val="clear" w:color="auto" w:fill="CCEEFF"/>
          </w:tcPr>
          <w:p>
            <w:pPr>
              <w:spacing w:after="0"/>
              <w:rPr>
                <w:sz w:val="13"/>
                <w:szCs w:val="13"/>
                <w:color w:val="auto"/>
              </w:rPr>
            </w:pPr>
          </w:p>
        </w:tc>
        <w:tc>
          <w:tcPr>
            <w:tcW w:w="7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920" w:type="dxa"/>
            <w:vAlign w:val="bottom"/>
            <w:shd w:val="clear" w:color="auto" w:fill="CCEEFF"/>
          </w:tcPr>
          <w:p>
            <w:pPr>
              <w:spacing w:after="0"/>
              <w:rPr>
                <w:sz w:val="13"/>
                <w:szCs w:val="13"/>
                <w:color w:val="auto"/>
              </w:rPr>
            </w:pPr>
          </w:p>
        </w:tc>
        <w:tc>
          <w:tcPr>
            <w:tcW w:w="4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00" w:type="dxa"/>
            <w:vAlign w:val="bottom"/>
            <w:shd w:val="clear" w:color="auto" w:fill="CCEEFF"/>
          </w:tcPr>
          <w:p>
            <w:pPr>
              <w:spacing w:after="0"/>
              <w:rPr>
                <w:sz w:val="20"/>
                <w:szCs w:val="20"/>
                <w:color w:val="auto"/>
              </w:rPr>
            </w:pPr>
            <w:r>
              <w:rPr>
                <w:rFonts w:ascii="Arial" w:cs="Arial" w:eastAsia="Arial" w:hAnsi="Arial"/>
                <w:sz w:val="13"/>
                <w:szCs w:val="13"/>
                <w:color w:val="auto"/>
              </w:rPr>
              <w:t>Mercedes Soria</w:t>
            </w:r>
          </w:p>
        </w:tc>
        <w:tc>
          <w:tcPr>
            <w:tcW w:w="100" w:type="dxa"/>
            <w:vAlign w:val="bottom"/>
            <w:shd w:val="clear" w:color="auto" w:fill="CCEEFF"/>
          </w:tcPr>
          <w:p>
            <w:pPr>
              <w:spacing w:after="0"/>
              <w:rPr>
                <w:sz w:val="13"/>
                <w:szCs w:val="13"/>
                <w:color w:val="auto"/>
              </w:rPr>
            </w:pPr>
          </w:p>
        </w:tc>
        <w:tc>
          <w:tcPr>
            <w:tcW w:w="1360" w:type="dxa"/>
            <w:vAlign w:val="bottom"/>
            <w:gridSpan w:val="3"/>
            <w:shd w:val="clear" w:color="auto" w:fill="CCEEFF"/>
          </w:tcPr>
          <w:p>
            <w:pPr>
              <w:jc w:val="right"/>
              <w:ind w:right="135"/>
              <w:spacing w:after="0"/>
              <w:rPr>
                <w:sz w:val="20"/>
                <w:szCs w:val="20"/>
                <w:color w:val="auto"/>
              </w:rPr>
            </w:pPr>
            <w:r>
              <w:rPr>
                <w:rFonts w:ascii="Arial" w:cs="Arial" w:eastAsia="Arial" w:hAnsi="Arial"/>
                <w:sz w:val="13"/>
                <w:szCs w:val="13"/>
                <w:color w:val="auto"/>
              </w:rPr>
              <w:t>62,000(1)(8)</w:t>
            </w:r>
          </w:p>
        </w:tc>
        <w:tc>
          <w:tcPr>
            <w:tcW w:w="880" w:type="dxa"/>
            <w:vAlign w:val="bottom"/>
            <w:shd w:val="clear" w:color="auto" w:fill="CCEEFF"/>
          </w:tcPr>
          <w:p>
            <w:pPr>
              <w:spacing w:after="0"/>
              <w:rPr>
                <w:sz w:val="13"/>
                <w:szCs w:val="13"/>
                <w:color w:val="auto"/>
              </w:rPr>
            </w:pPr>
          </w:p>
        </w:tc>
        <w:tc>
          <w:tcPr>
            <w:tcW w:w="480" w:type="dxa"/>
            <w:vAlign w:val="bottom"/>
            <w:shd w:val="clear" w:color="auto" w:fill="CCEEFF"/>
          </w:tcPr>
          <w:p>
            <w:pPr>
              <w:spacing w:after="0"/>
              <w:rPr>
                <w:sz w:val="13"/>
                <w:szCs w:val="13"/>
                <w:color w:val="auto"/>
              </w:rPr>
            </w:pPr>
          </w:p>
        </w:tc>
        <w:tc>
          <w:tcPr>
            <w:tcW w:w="880" w:type="dxa"/>
            <w:vAlign w:val="bottom"/>
            <w:tcBorders>
              <w:right w:val="single" w:sz="8" w:color="CCEEFF"/>
            </w:tcBorders>
            <w:shd w:val="clear" w:color="auto" w:fill="CCEEFF"/>
          </w:tcPr>
          <w:p>
            <w:pPr>
              <w:jc w:val="right"/>
              <w:ind w:right="55"/>
              <w:spacing w:after="0"/>
              <w:rPr>
                <w:sz w:val="20"/>
                <w:szCs w:val="20"/>
                <w:color w:val="auto"/>
              </w:rPr>
            </w:pPr>
            <w:r>
              <w:rPr>
                <w:rFonts w:ascii="Arial" w:cs="Arial" w:eastAsia="Arial" w:hAnsi="Arial"/>
                <w:sz w:val="13"/>
                <w:szCs w:val="13"/>
                <w:color w:val="auto"/>
              </w:rPr>
              <w:t>-</w:t>
            </w:r>
          </w:p>
        </w:tc>
        <w:tc>
          <w:tcPr>
            <w:tcW w:w="480" w:type="dxa"/>
            <w:vAlign w:val="bottom"/>
            <w:shd w:val="clear" w:color="auto" w:fill="CCEEFF"/>
          </w:tcPr>
          <w:p>
            <w:pPr>
              <w:spacing w:after="0"/>
              <w:rPr>
                <w:sz w:val="13"/>
                <w:szCs w:val="13"/>
                <w:color w:val="auto"/>
              </w:rPr>
            </w:pPr>
          </w:p>
        </w:tc>
        <w:tc>
          <w:tcPr>
            <w:tcW w:w="3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$0.60</w:t>
            </w:r>
          </w:p>
        </w:tc>
        <w:tc>
          <w:tcPr>
            <w:tcW w:w="120" w:type="dxa"/>
            <w:vAlign w:val="bottom"/>
            <w:shd w:val="clear" w:color="auto" w:fill="CCEEFF"/>
          </w:tcPr>
          <w:p>
            <w:pPr>
              <w:spacing w:after="0"/>
              <w:rPr>
                <w:sz w:val="13"/>
                <w:szCs w:val="13"/>
                <w:color w:val="auto"/>
              </w:rPr>
            </w:pPr>
          </w:p>
        </w:tc>
        <w:tc>
          <w:tcPr>
            <w:tcW w:w="860" w:type="dxa"/>
            <w:vAlign w:val="bottom"/>
            <w:shd w:val="clear" w:color="auto" w:fill="CCEEFF"/>
          </w:tcPr>
          <w:p>
            <w:pPr>
              <w:jc w:val="right"/>
              <w:ind w:right="75"/>
              <w:spacing w:after="0"/>
              <w:rPr>
                <w:sz w:val="20"/>
                <w:szCs w:val="20"/>
                <w:color w:val="auto"/>
              </w:rPr>
            </w:pPr>
            <w:r>
              <w:rPr>
                <w:rFonts w:ascii="Arial" w:cs="Arial" w:eastAsia="Arial" w:hAnsi="Arial"/>
                <w:sz w:val="13"/>
                <w:szCs w:val="13"/>
                <w:color w:val="auto"/>
              </w:rPr>
              <w:t>11-17-2026</w:t>
            </w:r>
          </w:p>
        </w:tc>
        <w:tc>
          <w:tcPr>
            <w:tcW w:w="100" w:type="dxa"/>
            <w:vAlign w:val="bottom"/>
            <w:shd w:val="clear" w:color="auto" w:fill="CCEEFF"/>
          </w:tcPr>
          <w:p>
            <w:pPr>
              <w:spacing w:after="0"/>
              <w:rPr>
                <w:sz w:val="13"/>
                <w:szCs w:val="13"/>
                <w:color w:val="auto"/>
              </w:rPr>
            </w:pPr>
          </w:p>
        </w:tc>
        <w:tc>
          <w:tcPr>
            <w:tcW w:w="960" w:type="dxa"/>
            <w:vAlign w:val="bottom"/>
            <w:tcBorders>
              <w:right w:val="single" w:sz="8" w:color="CCEEFF"/>
            </w:tcBorders>
            <w:shd w:val="clear" w:color="auto" w:fill="CCEEFF"/>
          </w:tcPr>
          <w:p>
            <w:pPr>
              <w:spacing w:after="0"/>
              <w:rPr>
                <w:sz w:val="13"/>
                <w:szCs w:val="13"/>
                <w:color w:val="auto"/>
              </w:rPr>
            </w:pPr>
          </w:p>
        </w:tc>
        <w:tc>
          <w:tcPr>
            <w:tcW w:w="520" w:type="dxa"/>
            <w:vAlign w:val="bottom"/>
            <w:shd w:val="clear" w:color="auto" w:fill="CCEEFF"/>
          </w:tcPr>
          <w:p>
            <w:pPr>
              <w:spacing w:after="0"/>
              <w:rPr>
                <w:sz w:val="13"/>
                <w:szCs w:val="13"/>
                <w:color w:val="auto"/>
              </w:rPr>
            </w:pPr>
          </w:p>
        </w:tc>
        <w:tc>
          <w:tcPr>
            <w:tcW w:w="560" w:type="dxa"/>
            <w:vAlign w:val="bottom"/>
            <w:tcBorders>
              <w:right w:val="single" w:sz="8" w:color="CCEEFF"/>
            </w:tcBorders>
            <w:shd w:val="clear" w:color="auto" w:fill="CCEEFF"/>
          </w:tcPr>
          <w:p>
            <w:pPr>
              <w:spacing w:after="0"/>
              <w:rPr>
                <w:sz w:val="13"/>
                <w:szCs w:val="13"/>
                <w:color w:val="auto"/>
              </w:rPr>
            </w:pPr>
          </w:p>
        </w:tc>
        <w:tc>
          <w:tcPr>
            <w:tcW w:w="7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920" w:type="dxa"/>
            <w:vAlign w:val="bottom"/>
            <w:shd w:val="clear" w:color="auto" w:fill="CCEEFF"/>
          </w:tcPr>
          <w:p>
            <w:pPr>
              <w:spacing w:after="0"/>
              <w:rPr>
                <w:sz w:val="13"/>
                <w:szCs w:val="13"/>
                <w:color w:val="auto"/>
              </w:rPr>
            </w:pPr>
          </w:p>
        </w:tc>
        <w:tc>
          <w:tcPr>
            <w:tcW w:w="4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00" w:type="dxa"/>
            <w:vAlign w:val="bottom"/>
            <w:shd w:val="clear" w:color="auto" w:fill="CCEEFF"/>
          </w:tcPr>
          <w:p>
            <w:pPr>
              <w:spacing w:after="0"/>
              <w:rPr>
                <w:sz w:val="20"/>
                <w:szCs w:val="20"/>
                <w:color w:val="auto"/>
              </w:rPr>
            </w:pPr>
            <w:r>
              <w:rPr>
                <w:rFonts w:ascii="Arial" w:cs="Arial" w:eastAsia="Arial" w:hAnsi="Arial"/>
                <w:sz w:val="13"/>
                <w:szCs w:val="13"/>
                <w:color w:val="auto"/>
              </w:rPr>
              <w:t>Mercedes Soria</w:t>
            </w:r>
          </w:p>
        </w:tc>
        <w:tc>
          <w:tcPr>
            <w:tcW w:w="100" w:type="dxa"/>
            <w:vAlign w:val="bottom"/>
            <w:shd w:val="clear" w:color="auto" w:fill="CCEEFF"/>
          </w:tcPr>
          <w:p>
            <w:pPr>
              <w:spacing w:after="0"/>
              <w:rPr>
                <w:sz w:val="13"/>
                <w:szCs w:val="13"/>
                <w:color w:val="auto"/>
              </w:rPr>
            </w:pPr>
          </w:p>
        </w:tc>
        <w:tc>
          <w:tcPr>
            <w:tcW w:w="1360" w:type="dxa"/>
            <w:vAlign w:val="bottom"/>
            <w:gridSpan w:val="3"/>
          </w:tcPr>
          <w:p>
            <w:pPr>
              <w:jc w:val="right"/>
              <w:spacing w:after="0"/>
              <w:rPr>
                <w:sz w:val="20"/>
                <w:szCs w:val="20"/>
                <w:color w:val="auto"/>
              </w:rPr>
            </w:pPr>
            <w:r>
              <w:rPr>
                <w:rFonts w:ascii="Arial" w:cs="Arial" w:eastAsia="Arial" w:hAnsi="Arial"/>
                <w:sz w:val="13"/>
                <w:szCs w:val="13"/>
                <w:color w:val="auto"/>
              </w:rPr>
              <w:t>175,000(1)(2)(8)</w:t>
            </w:r>
          </w:p>
        </w:tc>
        <w:tc>
          <w:tcPr>
            <w:tcW w:w="1360" w:type="dxa"/>
            <w:vAlign w:val="bottom"/>
            <w:gridSpan w:val="2"/>
          </w:tcPr>
          <w:p>
            <w:pPr>
              <w:jc w:val="right"/>
              <w:ind w:right="480"/>
              <w:spacing w:after="0"/>
              <w:rPr>
                <w:sz w:val="20"/>
                <w:szCs w:val="20"/>
                <w:color w:val="auto"/>
              </w:rPr>
            </w:pPr>
            <w:r>
              <w:rPr>
                <w:rFonts w:ascii="Arial" w:cs="Arial" w:eastAsia="Arial" w:hAnsi="Arial"/>
                <w:sz w:val="13"/>
                <w:szCs w:val="13"/>
                <w:color w:val="auto"/>
              </w:rPr>
              <w:t>25,000</w:t>
            </w:r>
          </w:p>
        </w:tc>
        <w:tc>
          <w:tcPr>
            <w:tcW w:w="880" w:type="dxa"/>
            <w:vAlign w:val="bottom"/>
          </w:tcPr>
          <w:p>
            <w:pPr>
              <w:jc w:val="right"/>
              <w:ind w:right="55"/>
              <w:spacing w:after="0"/>
              <w:rPr>
                <w:sz w:val="20"/>
                <w:szCs w:val="20"/>
                <w:color w:val="auto"/>
              </w:rPr>
            </w:pPr>
            <w:r>
              <w:rPr>
                <w:rFonts w:ascii="Arial" w:cs="Arial" w:eastAsia="Arial" w:hAnsi="Arial"/>
                <w:sz w:val="13"/>
                <w:szCs w:val="13"/>
                <w:color w:val="auto"/>
              </w:rPr>
              <w:t>-</w:t>
            </w:r>
          </w:p>
        </w:tc>
        <w:tc>
          <w:tcPr>
            <w:tcW w:w="480" w:type="dxa"/>
            <w:vAlign w:val="bottom"/>
          </w:tcPr>
          <w:p>
            <w:pPr>
              <w:spacing w:after="0"/>
              <w:rPr>
                <w:sz w:val="13"/>
                <w:szCs w:val="13"/>
                <w:color w:val="auto"/>
              </w:rPr>
            </w:pPr>
          </w:p>
        </w:tc>
        <w:tc>
          <w:tcPr>
            <w:tcW w:w="360" w:type="dxa"/>
            <w:vAlign w:val="bottom"/>
          </w:tcPr>
          <w:p>
            <w:pPr>
              <w:jc w:val="right"/>
              <w:spacing w:after="0"/>
              <w:rPr>
                <w:sz w:val="20"/>
                <w:szCs w:val="20"/>
                <w:color w:val="auto"/>
              </w:rPr>
            </w:pPr>
            <w:r>
              <w:rPr>
                <w:rFonts w:ascii="Arial" w:cs="Arial" w:eastAsia="Arial" w:hAnsi="Arial"/>
                <w:sz w:val="13"/>
                <w:szCs w:val="13"/>
                <w:color w:val="auto"/>
              </w:rPr>
              <w:t>$1.26</w:t>
            </w:r>
          </w:p>
        </w:tc>
        <w:tc>
          <w:tcPr>
            <w:tcW w:w="120" w:type="dxa"/>
            <w:vAlign w:val="bottom"/>
          </w:tcPr>
          <w:p>
            <w:pPr>
              <w:spacing w:after="0"/>
              <w:rPr>
                <w:sz w:val="13"/>
                <w:szCs w:val="13"/>
                <w:color w:val="auto"/>
              </w:rPr>
            </w:pPr>
          </w:p>
        </w:tc>
        <w:tc>
          <w:tcPr>
            <w:tcW w:w="860" w:type="dxa"/>
            <w:vAlign w:val="bottom"/>
          </w:tcPr>
          <w:p>
            <w:pPr>
              <w:jc w:val="right"/>
              <w:ind w:right="75"/>
              <w:spacing w:after="0"/>
              <w:rPr>
                <w:sz w:val="20"/>
                <w:szCs w:val="20"/>
                <w:color w:val="auto"/>
              </w:rPr>
            </w:pPr>
            <w:r>
              <w:rPr>
                <w:rFonts w:ascii="Arial" w:cs="Arial" w:eastAsia="Arial" w:hAnsi="Arial"/>
                <w:sz w:val="13"/>
                <w:szCs w:val="13"/>
                <w:color w:val="auto"/>
              </w:rPr>
              <w:t>04-21-2028</w:t>
            </w:r>
          </w:p>
        </w:tc>
        <w:tc>
          <w:tcPr>
            <w:tcW w:w="100" w:type="dxa"/>
            <w:vAlign w:val="bottom"/>
          </w:tcPr>
          <w:p>
            <w:pPr>
              <w:spacing w:after="0"/>
              <w:rPr>
                <w:sz w:val="13"/>
                <w:szCs w:val="13"/>
                <w:color w:val="auto"/>
              </w:rPr>
            </w:pPr>
          </w:p>
        </w:tc>
        <w:tc>
          <w:tcPr>
            <w:tcW w:w="960" w:type="dxa"/>
            <w:vAlign w:val="bottom"/>
          </w:tcPr>
          <w:p>
            <w:pPr>
              <w:jc w:val="right"/>
              <w:ind w:right="35"/>
              <w:spacing w:after="0"/>
              <w:rPr>
                <w:sz w:val="20"/>
                <w:szCs w:val="20"/>
                <w:color w:val="auto"/>
              </w:rPr>
            </w:pPr>
            <w:r>
              <w:rPr>
                <w:rFonts w:ascii="Arial" w:cs="Arial" w:eastAsia="Arial" w:hAnsi="Arial"/>
                <w:sz w:val="13"/>
                <w:szCs w:val="13"/>
                <w:color w:val="auto"/>
              </w:rPr>
              <w:t>25,000</w:t>
            </w:r>
          </w:p>
        </w:tc>
        <w:tc>
          <w:tcPr>
            <w:tcW w:w="520" w:type="dxa"/>
            <w:vAlign w:val="bottom"/>
          </w:tcPr>
          <w:p>
            <w:pPr>
              <w:spacing w:after="0"/>
              <w:rPr>
                <w:sz w:val="20"/>
                <w:szCs w:val="20"/>
                <w:color w:val="auto"/>
              </w:rPr>
            </w:pPr>
            <w:r>
              <w:rPr>
                <w:rFonts w:ascii="Arial" w:cs="Arial" w:eastAsia="Arial" w:hAnsi="Arial"/>
                <w:sz w:val="13"/>
                <w:szCs w:val="13"/>
                <w:color w:val="auto"/>
              </w:rPr>
              <w:t>$</w:t>
            </w:r>
          </w:p>
        </w:tc>
        <w:tc>
          <w:tcPr>
            <w:tcW w:w="560" w:type="dxa"/>
            <w:vAlign w:val="bottom"/>
          </w:tcPr>
          <w:p>
            <w:pPr>
              <w:jc w:val="right"/>
              <w:ind w:right="35"/>
              <w:spacing w:after="0"/>
              <w:rPr>
                <w:sz w:val="20"/>
                <w:szCs w:val="20"/>
                <w:color w:val="auto"/>
              </w:rPr>
            </w:pPr>
            <w:r>
              <w:rPr>
                <w:rFonts w:ascii="Arial" w:cs="Arial" w:eastAsia="Arial" w:hAnsi="Arial"/>
                <w:sz w:val="13"/>
                <w:szCs w:val="13"/>
                <w:color w:val="auto"/>
              </w:rPr>
              <w:t>15,500</w:t>
            </w:r>
          </w:p>
        </w:tc>
        <w:tc>
          <w:tcPr>
            <w:tcW w:w="760" w:type="dxa"/>
            <w:vAlign w:val="bottom"/>
          </w:tcPr>
          <w:p>
            <w:pPr>
              <w:ind w:left="720"/>
              <w:spacing w:after="0"/>
              <w:rPr>
                <w:sz w:val="20"/>
                <w:szCs w:val="20"/>
                <w:color w:val="auto"/>
              </w:rPr>
            </w:pPr>
            <w:r>
              <w:rPr>
                <w:rFonts w:ascii="Arial" w:cs="Arial" w:eastAsia="Arial" w:hAnsi="Arial"/>
                <w:sz w:val="8"/>
                <w:szCs w:val="8"/>
                <w:color w:val="auto"/>
                <w:w w:val="73"/>
              </w:rPr>
              <w:t>-</w:t>
            </w:r>
          </w:p>
        </w:tc>
        <w:tc>
          <w:tcPr>
            <w:tcW w:w="100" w:type="dxa"/>
            <w:vAlign w:val="bottom"/>
          </w:tcPr>
          <w:p>
            <w:pPr>
              <w:spacing w:after="0"/>
              <w:rPr>
                <w:sz w:val="13"/>
                <w:szCs w:val="13"/>
                <w:color w:val="auto"/>
              </w:rPr>
            </w:pPr>
          </w:p>
        </w:tc>
        <w:tc>
          <w:tcPr>
            <w:tcW w:w="920" w:type="dxa"/>
            <w:vAlign w:val="bottom"/>
          </w:tcPr>
          <w:p>
            <w:pPr>
              <w:spacing w:after="0"/>
              <w:rPr>
                <w:sz w:val="20"/>
                <w:szCs w:val="20"/>
                <w:color w:val="auto"/>
              </w:rPr>
            </w:pPr>
            <w:r>
              <w:rPr>
                <w:rFonts w:ascii="Arial" w:cs="Arial" w:eastAsia="Arial" w:hAnsi="Arial"/>
                <w:sz w:val="13"/>
                <w:szCs w:val="13"/>
                <w:color w:val="auto"/>
              </w:rPr>
              <w:t>$</w:t>
            </w:r>
          </w:p>
        </w:tc>
        <w:tc>
          <w:tcPr>
            <w:tcW w:w="40" w:type="dxa"/>
            <w:vAlign w:val="bottom"/>
          </w:tcPr>
          <w:p>
            <w:pPr>
              <w:jc w:val="right"/>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r>
        <w:trPr>
          <w:trHeight w:val="156"/>
        </w:trPr>
        <w:tc>
          <w:tcPr>
            <w:tcW w:w="1800" w:type="dxa"/>
            <w:vAlign w:val="bottom"/>
            <w:shd w:val="clear" w:color="auto" w:fill="CCEEFF"/>
          </w:tcPr>
          <w:p>
            <w:pPr>
              <w:spacing w:after="0"/>
              <w:rPr>
                <w:sz w:val="20"/>
                <w:szCs w:val="20"/>
                <w:color w:val="auto"/>
              </w:rPr>
            </w:pPr>
            <w:r>
              <w:rPr>
                <w:rFonts w:ascii="Arial" w:cs="Arial" w:eastAsia="Arial" w:hAnsi="Arial"/>
                <w:sz w:val="13"/>
                <w:szCs w:val="13"/>
                <w:color w:val="auto"/>
              </w:rPr>
              <w:t>Mercedes Soria</w:t>
            </w:r>
          </w:p>
        </w:tc>
        <w:tc>
          <w:tcPr>
            <w:tcW w:w="100" w:type="dxa"/>
            <w:vAlign w:val="bottom"/>
            <w:shd w:val="clear" w:color="auto" w:fill="CCEEFF"/>
          </w:tcPr>
          <w:p>
            <w:pPr>
              <w:spacing w:after="0"/>
              <w:rPr>
                <w:sz w:val="13"/>
                <w:szCs w:val="13"/>
                <w:color w:val="auto"/>
              </w:rPr>
            </w:pPr>
          </w:p>
        </w:tc>
        <w:tc>
          <w:tcPr>
            <w:tcW w:w="880" w:type="dxa"/>
            <w:vAlign w:val="bottom"/>
            <w:gridSpan w:val="2"/>
          </w:tcPr>
          <w:p>
            <w:pPr>
              <w:jc w:val="right"/>
              <w:ind w:right="20"/>
              <w:spacing w:after="0"/>
              <w:rPr>
                <w:sz w:val="20"/>
                <w:szCs w:val="20"/>
                <w:color w:val="auto"/>
              </w:rPr>
            </w:pPr>
            <w:r>
              <w:rPr>
                <w:rFonts w:ascii="Arial" w:cs="Arial" w:eastAsia="Arial" w:hAnsi="Arial"/>
                <w:sz w:val="13"/>
                <w:szCs w:val="13"/>
                <w:color w:val="auto"/>
              </w:rPr>
              <w:t>260,416</w:t>
            </w:r>
          </w:p>
        </w:tc>
        <w:tc>
          <w:tcPr>
            <w:tcW w:w="480" w:type="dxa"/>
            <w:vAlign w:val="bottom"/>
          </w:tcPr>
          <w:p>
            <w:pPr>
              <w:ind w:left="20"/>
              <w:spacing w:after="0"/>
              <w:rPr>
                <w:sz w:val="20"/>
                <w:szCs w:val="20"/>
                <w:color w:val="auto"/>
              </w:rPr>
            </w:pPr>
            <w:r>
              <w:rPr>
                <w:rFonts w:ascii="Arial" w:cs="Arial" w:eastAsia="Arial" w:hAnsi="Arial"/>
                <w:sz w:val="13"/>
                <w:szCs w:val="13"/>
                <w:color w:val="auto"/>
              </w:rPr>
              <w:t>(3)(7)</w:t>
            </w:r>
          </w:p>
        </w:tc>
        <w:tc>
          <w:tcPr>
            <w:tcW w:w="8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239,584</w:t>
            </w:r>
          </w:p>
        </w:tc>
        <w:tc>
          <w:tcPr>
            <w:tcW w:w="480" w:type="dxa"/>
            <w:vAlign w:val="bottom"/>
            <w:shd w:val="clear" w:color="auto" w:fill="CCEEFF"/>
          </w:tcPr>
          <w:p>
            <w:pPr>
              <w:spacing w:after="0"/>
              <w:rPr>
                <w:sz w:val="13"/>
                <w:szCs w:val="13"/>
                <w:color w:val="auto"/>
              </w:rPr>
            </w:pPr>
          </w:p>
        </w:tc>
        <w:tc>
          <w:tcPr>
            <w:tcW w:w="880" w:type="dxa"/>
            <w:vAlign w:val="bottom"/>
            <w:tcBorders>
              <w:right w:val="single" w:sz="8" w:color="CCEEFF"/>
            </w:tcBorders>
            <w:shd w:val="clear" w:color="auto" w:fill="CCEEFF"/>
          </w:tcPr>
          <w:p>
            <w:pPr>
              <w:jc w:val="right"/>
              <w:ind w:right="55"/>
              <w:spacing w:after="0"/>
              <w:rPr>
                <w:sz w:val="20"/>
                <w:szCs w:val="20"/>
                <w:color w:val="auto"/>
              </w:rPr>
            </w:pPr>
            <w:r>
              <w:rPr>
                <w:rFonts w:ascii="Arial" w:cs="Arial" w:eastAsia="Arial" w:hAnsi="Arial"/>
                <w:sz w:val="13"/>
                <w:szCs w:val="13"/>
                <w:color w:val="auto"/>
              </w:rPr>
              <w:t>-</w:t>
            </w:r>
          </w:p>
        </w:tc>
        <w:tc>
          <w:tcPr>
            <w:tcW w:w="480" w:type="dxa"/>
            <w:vAlign w:val="bottom"/>
            <w:shd w:val="clear" w:color="auto" w:fill="CCEEFF"/>
          </w:tcPr>
          <w:p>
            <w:pPr>
              <w:spacing w:after="0"/>
              <w:rPr>
                <w:sz w:val="13"/>
                <w:szCs w:val="13"/>
                <w:color w:val="auto"/>
              </w:rPr>
            </w:pPr>
          </w:p>
        </w:tc>
        <w:tc>
          <w:tcPr>
            <w:tcW w:w="3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$1.24</w:t>
            </w:r>
          </w:p>
        </w:tc>
        <w:tc>
          <w:tcPr>
            <w:tcW w:w="120" w:type="dxa"/>
            <w:vAlign w:val="bottom"/>
            <w:shd w:val="clear" w:color="auto" w:fill="CCEEFF"/>
          </w:tcPr>
          <w:p>
            <w:pPr>
              <w:spacing w:after="0"/>
              <w:rPr>
                <w:sz w:val="13"/>
                <w:szCs w:val="13"/>
                <w:color w:val="auto"/>
              </w:rPr>
            </w:pPr>
          </w:p>
        </w:tc>
        <w:tc>
          <w:tcPr>
            <w:tcW w:w="860" w:type="dxa"/>
            <w:vAlign w:val="bottom"/>
            <w:shd w:val="clear" w:color="auto" w:fill="CCEEFF"/>
          </w:tcPr>
          <w:p>
            <w:pPr>
              <w:jc w:val="right"/>
              <w:ind w:right="75"/>
              <w:spacing w:after="0"/>
              <w:rPr>
                <w:sz w:val="20"/>
                <w:szCs w:val="20"/>
                <w:color w:val="auto"/>
              </w:rPr>
            </w:pPr>
            <w:r>
              <w:rPr>
                <w:rFonts w:ascii="Arial" w:cs="Arial" w:eastAsia="Arial" w:hAnsi="Arial"/>
                <w:sz w:val="13"/>
                <w:szCs w:val="13"/>
                <w:color w:val="auto"/>
              </w:rPr>
              <w:t>05-09-2029</w:t>
            </w:r>
          </w:p>
        </w:tc>
        <w:tc>
          <w:tcPr>
            <w:tcW w:w="100" w:type="dxa"/>
            <w:vAlign w:val="bottom"/>
            <w:shd w:val="clear" w:color="auto" w:fill="CCEEFF"/>
          </w:tcPr>
          <w:p>
            <w:pPr>
              <w:spacing w:after="0"/>
              <w:rPr>
                <w:sz w:val="13"/>
                <w:szCs w:val="13"/>
                <w:color w:val="auto"/>
              </w:rPr>
            </w:pPr>
          </w:p>
        </w:tc>
        <w:tc>
          <w:tcPr>
            <w:tcW w:w="960" w:type="dxa"/>
            <w:vAlign w:val="bottom"/>
            <w:tcBorders>
              <w:right w:val="single" w:sz="8" w:color="CCEEFF"/>
            </w:tcBorders>
            <w:shd w:val="clear" w:color="auto" w:fill="CCEEFF"/>
          </w:tcPr>
          <w:p>
            <w:pPr>
              <w:jc w:val="right"/>
              <w:ind w:right="35"/>
              <w:spacing w:after="0"/>
              <w:rPr>
                <w:sz w:val="20"/>
                <w:szCs w:val="20"/>
                <w:color w:val="auto"/>
              </w:rPr>
            </w:pPr>
            <w:r>
              <w:rPr>
                <w:rFonts w:ascii="Arial" w:cs="Arial" w:eastAsia="Arial" w:hAnsi="Arial"/>
                <w:sz w:val="13"/>
                <w:szCs w:val="13"/>
                <w:color w:val="auto"/>
              </w:rPr>
              <w:t>239,584</w:t>
            </w:r>
          </w:p>
        </w:tc>
        <w:tc>
          <w:tcPr>
            <w:tcW w:w="520" w:type="dxa"/>
            <w:vAlign w:val="bottom"/>
            <w:shd w:val="clear" w:color="auto" w:fill="CCEEFF"/>
          </w:tcPr>
          <w:p>
            <w:pPr>
              <w:spacing w:after="0"/>
              <w:rPr>
                <w:sz w:val="20"/>
                <w:szCs w:val="20"/>
                <w:color w:val="auto"/>
              </w:rPr>
            </w:pPr>
            <w:r>
              <w:rPr>
                <w:rFonts w:ascii="Arial" w:cs="Arial" w:eastAsia="Arial" w:hAnsi="Arial"/>
                <w:sz w:val="13"/>
                <w:szCs w:val="13"/>
                <w:color w:val="auto"/>
              </w:rPr>
              <w:t>$</w:t>
            </w:r>
          </w:p>
        </w:tc>
        <w:tc>
          <w:tcPr>
            <w:tcW w:w="560" w:type="dxa"/>
            <w:vAlign w:val="bottom"/>
            <w:tcBorders>
              <w:right w:val="single" w:sz="8" w:color="CCEEFF"/>
            </w:tcBorders>
            <w:shd w:val="clear" w:color="auto" w:fill="CCEEFF"/>
          </w:tcPr>
          <w:p>
            <w:pPr>
              <w:jc w:val="right"/>
              <w:ind w:right="35"/>
              <w:spacing w:after="0"/>
              <w:rPr>
                <w:sz w:val="20"/>
                <w:szCs w:val="20"/>
                <w:color w:val="auto"/>
              </w:rPr>
            </w:pPr>
            <w:r>
              <w:rPr>
                <w:rFonts w:ascii="Arial" w:cs="Arial" w:eastAsia="Arial" w:hAnsi="Arial"/>
                <w:sz w:val="13"/>
                <w:szCs w:val="13"/>
                <w:color w:val="auto"/>
                <w:w w:val="93"/>
              </w:rPr>
              <w:t>105,417</w:t>
            </w:r>
          </w:p>
        </w:tc>
        <w:tc>
          <w:tcPr>
            <w:tcW w:w="760" w:type="dxa"/>
            <w:vAlign w:val="bottom"/>
            <w:shd w:val="clear" w:color="auto" w:fill="CCEEFF"/>
          </w:tcPr>
          <w:p>
            <w:pPr>
              <w:ind w:left="720"/>
              <w:spacing w:after="0"/>
              <w:rPr>
                <w:sz w:val="20"/>
                <w:szCs w:val="20"/>
                <w:color w:val="auto"/>
              </w:rPr>
            </w:pPr>
            <w:r>
              <w:rPr>
                <w:rFonts w:ascii="Arial" w:cs="Arial" w:eastAsia="Arial" w:hAnsi="Arial"/>
                <w:sz w:val="8"/>
                <w:szCs w:val="8"/>
                <w:color w:val="auto"/>
                <w:w w:val="73"/>
              </w:rPr>
              <w:t>-</w:t>
            </w:r>
          </w:p>
        </w:tc>
        <w:tc>
          <w:tcPr>
            <w:tcW w:w="100" w:type="dxa"/>
            <w:vAlign w:val="bottom"/>
            <w:shd w:val="clear" w:color="auto" w:fill="CCEEFF"/>
          </w:tcPr>
          <w:p>
            <w:pPr>
              <w:spacing w:after="0"/>
              <w:rPr>
                <w:sz w:val="13"/>
                <w:szCs w:val="13"/>
                <w:color w:val="auto"/>
              </w:rPr>
            </w:pPr>
          </w:p>
        </w:tc>
        <w:tc>
          <w:tcPr>
            <w:tcW w:w="920" w:type="dxa"/>
            <w:vAlign w:val="bottom"/>
            <w:shd w:val="clear" w:color="auto" w:fill="CCEEFF"/>
          </w:tcPr>
          <w:p>
            <w:pPr>
              <w:spacing w:after="0"/>
              <w:rPr>
                <w:sz w:val="20"/>
                <w:szCs w:val="20"/>
                <w:color w:val="auto"/>
              </w:rPr>
            </w:pPr>
            <w:r>
              <w:rPr>
                <w:rFonts w:ascii="Arial" w:cs="Arial" w:eastAsia="Arial" w:hAnsi="Arial"/>
                <w:sz w:val="13"/>
                <w:szCs w:val="13"/>
                <w:color w:val="auto"/>
              </w:rPr>
              <w:t>$</w:t>
            </w:r>
          </w:p>
        </w:tc>
        <w:tc>
          <w:tcPr>
            <w:tcW w:w="40" w:type="dxa"/>
            <w:vAlign w:val="bottom"/>
            <w:shd w:val="clear" w:color="auto" w:fill="CCEEFF"/>
          </w:tcPr>
          <w:p>
            <w:pPr>
              <w:jc w:val="right"/>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r>
        <w:trPr>
          <w:trHeight w:val="156"/>
        </w:trPr>
        <w:tc>
          <w:tcPr>
            <w:tcW w:w="1800" w:type="dxa"/>
            <w:vAlign w:val="bottom"/>
            <w:shd w:val="clear" w:color="auto" w:fill="CCEEFF"/>
          </w:tcPr>
          <w:p>
            <w:pPr>
              <w:spacing w:after="0"/>
              <w:rPr>
                <w:sz w:val="20"/>
                <w:szCs w:val="20"/>
                <w:color w:val="auto"/>
              </w:rPr>
            </w:pPr>
            <w:r>
              <w:rPr>
                <w:rFonts w:ascii="Arial" w:cs="Arial" w:eastAsia="Arial" w:hAnsi="Arial"/>
                <w:sz w:val="13"/>
                <w:szCs w:val="13"/>
                <w:color w:val="auto"/>
              </w:rPr>
              <w:t>Mercedes Soria</w:t>
            </w:r>
          </w:p>
        </w:tc>
        <w:tc>
          <w:tcPr>
            <w:tcW w:w="100" w:type="dxa"/>
            <w:vAlign w:val="bottom"/>
            <w:shd w:val="clear" w:color="auto" w:fill="CCEEFF"/>
          </w:tcPr>
          <w:p>
            <w:pPr>
              <w:spacing w:after="0"/>
              <w:rPr>
                <w:sz w:val="13"/>
                <w:szCs w:val="13"/>
                <w:color w:val="auto"/>
              </w:rPr>
            </w:pPr>
          </w:p>
        </w:tc>
        <w:tc>
          <w:tcPr>
            <w:tcW w:w="880" w:type="dxa"/>
            <w:vAlign w:val="bottom"/>
            <w:gridSpan w:val="2"/>
          </w:tcPr>
          <w:p>
            <w:pPr>
              <w:jc w:val="right"/>
              <w:ind w:right="20"/>
              <w:spacing w:after="0"/>
              <w:rPr>
                <w:sz w:val="20"/>
                <w:szCs w:val="20"/>
                <w:color w:val="auto"/>
              </w:rPr>
            </w:pPr>
            <w:r>
              <w:rPr>
                <w:rFonts w:ascii="Arial" w:cs="Arial" w:eastAsia="Arial" w:hAnsi="Arial"/>
                <w:sz w:val="13"/>
                <w:szCs w:val="13"/>
                <w:color w:val="auto"/>
              </w:rPr>
              <w:t>33,333</w:t>
            </w:r>
          </w:p>
        </w:tc>
        <w:tc>
          <w:tcPr>
            <w:tcW w:w="480" w:type="dxa"/>
            <w:vAlign w:val="bottom"/>
          </w:tcPr>
          <w:p>
            <w:pPr>
              <w:ind w:left="20"/>
              <w:spacing w:after="0"/>
              <w:rPr>
                <w:sz w:val="20"/>
                <w:szCs w:val="20"/>
                <w:color w:val="auto"/>
              </w:rPr>
            </w:pPr>
            <w:r>
              <w:rPr>
                <w:rFonts w:ascii="Arial" w:cs="Arial" w:eastAsia="Arial" w:hAnsi="Arial"/>
                <w:sz w:val="13"/>
                <w:szCs w:val="13"/>
                <w:color w:val="auto"/>
                <w:w w:val="92"/>
              </w:rPr>
              <w:t>(1)(4)(7)</w:t>
            </w:r>
          </w:p>
        </w:tc>
        <w:tc>
          <w:tcPr>
            <w:tcW w:w="8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66,667</w:t>
            </w:r>
          </w:p>
        </w:tc>
        <w:tc>
          <w:tcPr>
            <w:tcW w:w="480" w:type="dxa"/>
            <w:vAlign w:val="bottom"/>
            <w:shd w:val="clear" w:color="auto" w:fill="CCEEFF"/>
          </w:tcPr>
          <w:p>
            <w:pPr>
              <w:spacing w:after="0"/>
              <w:rPr>
                <w:sz w:val="13"/>
                <w:szCs w:val="13"/>
                <w:color w:val="auto"/>
              </w:rPr>
            </w:pPr>
          </w:p>
        </w:tc>
        <w:tc>
          <w:tcPr>
            <w:tcW w:w="880" w:type="dxa"/>
            <w:vAlign w:val="bottom"/>
            <w:tcBorders>
              <w:right w:val="single" w:sz="8" w:color="CCEEFF"/>
            </w:tcBorders>
            <w:shd w:val="clear" w:color="auto" w:fill="CCEEFF"/>
          </w:tcPr>
          <w:p>
            <w:pPr>
              <w:jc w:val="right"/>
              <w:ind w:right="55"/>
              <w:spacing w:after="0"/>
              <w:rPr>
                <w:sz w:val="20"/>
                <w:szCs w:val="20"/>
                <w:color w:val="auto"/>
              </w:rPr>
            </w:pPr>
            <w:r>
              <w:rPr>
                <w:rFonts w:ascii="Arial" w:cs="Arial" w:eastAsia="Arial" w:hAnsi="Arial"/>
                <w:sz w:val="13"/>
                <w:szCs w:val="13"/>
                <w:color w:val="auto"/>
              </w:rPr>
              <w:t>-</w:t>
            </w:r>
          </w:p>
        </w:tc>
        <w:tc>
          <w:tcPr>
            <w:tcW w:w="480" w:type="dxa"/>
            <w:vAlign w:val="bottom"/>
            <w:shd w:val="clear" w:color="auto" w:fill="CCEEFF"/>
          </w:tcPr>
          <w:p>
            <w:pPr>
              <w:spacing w:after="0"/>
              <w:rPr>
                <w:sz w:val="13"/>
                <w:szCs w:val="13"/>
                <w:color w:val="auto"/>
              </w:rPr>
            </w:pPr>
          </w:p>
        </w:tc>
        <w:tc>
          <w:tcPr>
            <w:tcW w:w="3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$0.91</w:t>
            </w:r>
          </w:p>
        </w:tc>
        <w:tc>
          <w:tcPr>
            <w:tcW w:w="120" w:type="dxa"/>
            <w:vAlign w:val="bottom"/>
            <w:shd w:val="clear" w:color="auto" w:fill="CCEEFF"/>
          </w:tcPr>
          <w:p>
            <w:pPr>
              <w:spacing w:after="0"/>
              <w:rPr>
                <w:sz w:val="13"/>
                <w:szCs w:val="13"/>
                <w:color w:val="auto"/>
              </w:rPr>
            </w:pPr>
          </w:p>
        </w:tc>
        <w:tc>
          <w:tcPr>
            <w:tcW w:w="860" w:type="dxa"/>
            <w:vAlign w:val="bottom"/>
            <w:shd w:val="clear" w:color="auto" w:fill="CCEEFF"/>
          </w:tcPr>
          <w:p>
            <w:pPr>
              <w:jc w:val="right"/>
              <w:ind w:right="75"/>
              <w:spacing w:after="0"/>
              <w:rPr>
                <w:sz w:val="20"/>
                <w:szCs w:val="20"/>
                <w:color w:val="auto"/>
              </w:rPr>
            </w:pPr>
            <w:r>
              <w:rPr>
                <w:rFonts w:ascii="Arial" w:cs="Arial" w:eastAsia="Arial" w:hAnsi="Arial"/>
                <w:sz w:val="13"/>
                <w:szCs w:val="13"/>
                <w:color w:val="auto"/>
              </w:rPr>
              <w:t>02-26-2030</w:t>
            </w:r>
          </w:p>
        </w:tc>
        <w:tc>
          <w:tcPr>
            <w:tcW w:w="100" w:type="dxa"/>
            <w:vAlign w:val="bottom"/>
            <w:shd w:val="clear" w:color="auto" w:fill="CCEEFF"/>
          </w:tcPr>
          <w:p>
            <w:pPr>
              <w:spacing w:after="0"/>
              <w:rPr>
                <w:sz w:val="13"/>
                <w:szCs w:val="13"/>
                <w:color w:val="auto"/>
              </w:rPr>
            </w:pPr>
          </w:p>
        </w:tc>
        <w:tc>
          <w:tcPr>
            <w:tcW w:w="960" w:type="dxa"/>
            <w:vAlign w:val="bottom"/>
            <w:tcBorders>
              <w:right w:val="single" w:sz="8" w:color="CCEEFF"/>
            </w:tcBorders>
            <w:shd w:val="clear" w:color="auto" w:fill="CCEEFF"/>
          </w:tcPr>
          <w:p>
            <w:pPr>
              <w:jc w:val="right"/>
              <w:ind w:right="35"/>
              <w:spacing w:after="0"/>
              <w:rPr>
                <w:sz w:val="20"/>
                <w:szCs w:val="20"/>
                <w:color w:val="auto"/>
              </w:rPr>
            </w:pPr>
            <w:r>
              <w:rPr>
                <w:rFonts w:ascii="Arial" w:cs="Arial" w:eastAsia="Arial" w:hAnsi="Arial"/>
                <w:sz w:val="13"/>
                <w:szCs w:val="13"/>
                <w:color w:val="auto"/>
              </w:rPr>
              <w:t>66,667</w:t>
            </w:r>
          </w:p>
        </w:tc>
        <w:tc>
          <w:tcPr>
            <w:tcW w:w="520" w:type="dxa"/>
            <w:vAlign w:val="bottom"/>
            <w:shd w:val="clear" w:color="auto" w:fill="CCEEFF"/>
          </w:tcPr>
          <w:p>
            <w:pPr>
              <w:spacing w:after="0"/>
              <w:rPr>
                <w:sz w:val="20"/>
                <w:szCs w:val="20"/>
                <w:color w:val="auto"/>
              </w:rPr>
            </w:pPr>
            <w:r>
              <w:rPr>
                <w:rFonts w:ascii="Arial" w:cs="Arial" w:eastAsia="Arial" w:hAnsi="Arial"/>
                <w:sz w:val="13"/>
                <w:szCs w:val="13"/>
                <w:color w:val="auto"/>
              </w:rPr>
              <w:t>$</w:t>
            </w:r>
          </w:p>
        </w:tc>
        <w:tc>
          <w:tcPr>
            <w:tcW w:w="560" w:type="dxa"/>
            <w:vAlign w:val="bottom"/>
            <w:tcBorders>
              <w:right w:val="single" w:sz="8" w:color="CCEEFF"/>
            </w:tcBorders>
            <w:shd w:val="clear" w:color="auto" w:fill="CCEEFF"/>
          </w:tcPr>
          <w:p>
            <w:pPr>
              <w:jc w:val="right"/>
              <w:ind w:right="35"/>
              <w:spacing w:after="0"/>
              <w:rPr>
                <w:sz w:val="20"/>
                <w:szCs w:val="20"/>
                <w:color w:val="auto"/>
              </w:rPr>
            </w:pPr>
            <w:r>
              <w:rPr>
                <w:rFonts w:ascii="Arial" w:cs="Arial" w:eastAsia="Arial" w:hAnsi="Arial"/>
                <w:sz w:val="13"/>
                <w:szCs w:val="13"/>
                <w:color w:val="auto"/>
              </w:rPr>
              <w:t>15,333</w:t>
            </w:r>
          </w:p>
        </w:tc>
        <w:tc>
          <w:tcPr>
            <w:tcW w:w="760" w:type="dxa"/>
            <w:vAlign w:val="bottom"/>
            <w:shd w:val="clear" w:color="auto" w:fill="CCEEFF"/>
          </w:tcPr>
          <w:p>
            <w:pPr>
              <w:ind w:left="720"/>
              <w:spacing w:after="0"/>
              <w:rPr>
                <w:sz w:val="20"/>
                <w:szCs w:val="20"/>
                <w:color w:val="auto"/>
              </w:rPr>
            </w:pPr>
            <w:r>
              <w:rPr>
                <w:rFonts w:ascii="Arial" w:cs="Arial" w:eastAsia="Arial" w:hAnsi="Arial"/>
                <w:sz w:val="8"/>
                <w:szCs w:val="8"/>
                <w:color w:val="auto"/>
                <w:w w:val="73"/>
              </w:rPr>
              <w:t>-</w:t>
            </w:r>
          </w:p>
        </w:tc>
        <w:tc>
          <w:tcPr>
            <w:tcW w:w="100" w:type="dxa"/>
            <w:vAlign w:val="bottom"/>
            <w:shd w:val="clear" w:color="auto" w:fill="CCEEFF"/>
          </w:tcPr>
          <w:p>
            <w:pPr>
              <w:spacing w:after="0"/>
              <w:rPr>
                <w:sz w:val="13"/>
                <w:szCs w:val="13"/>
                <w:color w:val="auto"/>
              </w:rPr>
            </w:pPr>
          </w:p>
        </w:tc>
        <w:tc>
          <w:tcPr>
            <w:tcW w:w="920" w:type="dxa"/>
            <w:vAlign w:val="bottom"/>
            <w:shd w:val="clear" w:color="auto" w:fill="CCEEFF"/>
          </w:tcPr>
          <w:p>
            <w:pPr>
              <w:spacing w:after="0"/>
              <w:rPr>
                <w:sz w:val="20"/>
                <w:szCs w:val="20"/>
                <w:color w:val="auto"/>
              </w:rPr>
            </w:pPr>
            <w:r>
              <w:rPr>
                <w:rFonts w:ascii="Arial" w:cs="Arial" w:eastAsia="Arial" w:hAnsi="Arial"/>
                <w:sz w:val="13"/>
                <w:szCs w:val="13"/>
                <w:color w:val="auto"/>
              </w:rPr>
              <w:t>$</w:t>
            </w:r>
          </w:p>
        </w:tc>
        <w:tc>
          <w:tcPr>
            <w:tcW w:w="40" w:type="dxa"/>
            <w:vAlign w:val="bottom"/>
            <w:shd w:val="clear" w:color="auto" w:fill="CCEEFF"/>
          </w:tcPr>
          <w:p>
            <w:pPr>
              <w:jc w:val="right"/>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r>
        <w:trPr>
          <w:trHeight w:val="156"/>
        </w:trPr>
        <w:tc>
          <w:tcPr>
            <w:tcW w:w="1800" w:type="dxa"/>
            <w:vAlign w:val="bottom"/>
            <w:shd w:val="clear" w:color="auto" w:fill="CCEEFF"/>
          </w:tcPr>
          <w:p>
            <w:pPr>
              <w:spacing w:after="0"/>
              <w:rPr>
                <w:sz w:val="20"/>
                <w:szCs w:val="20"/>
                <w:color w:val="auto"/>
              </w:rPr>
            </w:pPr>
            <w:r>
              <w:rPr>
                <w:rFonts w:ascii="Arial" w:cs="Arial" w:eastAsia="Arial" w:hAnsi="Arial"/>
                <w:sz w:val="13"/>
                <w:szCs w:val="13"/>
                <w:color w:val="auto"/>
              </w:rPr>
              <w:t>Mercedes Soria</w:t>
            </w:r>
          </w:p>
        </w:tc>
        <w:tc>
          <w:tcPr>
            <w:tcW w:w="100" w:type="dxa"/>
            <w:vAlign w:val="bottom"/>
            <w:shd w:val="clear" w:color="auto" w:fill="CCEEFF"/>
          </w:tcPr>
          <w:p>
            <w:pPr>
              <w:spacing w:after="0"/>
              <w:rPr>
                <w:sz w:val="13"/>
                <w:szCs w:val="13"/>
                <w:color w:val="auto"/>
              </w:rPr>
            </w:pPr>
          </w:p>
        </w:tc>
        <w:tc>
          <w:tcPr>
            <w:tcW w:w="880" w:type="dxa"/>
            <w:vAlign w:val="bottom"/>
            <w:gridSpan w:val="2"/>
          </w:tcPr>
          <w:p>
            <w:pPr>
              <w:jc w:val="right"/>
              <w:ind w:right="20"/>
              <w:spacing w:after="0"/>
              <w:rPr>
                <w:sz w:val="20"/>
                <w:szCs w:val="20"/>
                <w:color w:val="auto"/>
              </w:rPr>
            </w:pPr>
            <w:r>
              <w:rPr>
                <w:rFonts w:ascii="Arial" w:cs="Arial" w:eastAsia="Arial" w:hAnsi="Arial"/>
                <w:sz w:val="13"/>
                <w:szCs w:val="13"/>
                <w:color w:val="auto"/>
              </w:rPr>
              <w:t>8,750</w:t>
            </w:r>
          </w:p>
        </w:tc>
        <w:tc>
          <w:tcPr>
            <w:tcW w:w="480" w:type="dxa"/>
            <w:vAlign w:val="bottom"/>
          </w:tcPr>
          <w:p>
            <w:pPr>
              <w:ind w:left="20"/>
              <w:spacing w:after="0"/>
              <w:rPr>
                <w:sz w:val="20"/>
                <w:szCs w:val="20"/>
                <w:color w:val="auto"/>
              </w:rPr>
            </w:pPr>
            <w:r>
              <w:rPr>
                <w:rFonts w:ascii="Arial" w:cs="Arial" w:eastAsia="Arial" w:hAnsi="Arial"/>
                <w:sz w:val="13"/>
                <w:szCs w:val="13"/>
                <w:color w:val="auto"/>
                <w:w w:val="92"/>
              </w:rPr>
              <w:t>(1)(5)(7)</w:t>
            </w:r>
          </w:p>
        </w:tc>
        <w:tc>
          <w:tcPr>
            <w:tcW w:w="8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26,250</w:t>
            </w:r>
          </w:p>
        </w:tc>
        <w:tc>
          <w:tcPr>
            <w:tcW w:w="480" w:type="dxa"/>
            <w:vAlign w:val="bottom"/>
            <w:shd w:val="clear" w:color="auto" w:fill="CCEEFF"/>
          </w:tcPr>
          <w:p>
            <w:pPr>
              <w:spacing w:after="0"/>
              <w:rPr>
                <w:sz w:val="13"/>
                <w:szCs w:val="13"/>
                <w:color w:val="auto"/>
              </w:rPr>
            </w:pPr>
          </w:p>
        </w:tc>
        <w:tc>
          <w:tcPr>
            <w:tcW w:w="880" w:type="dxa"/>
            <w:vAlign w:val="bottom"/>
            <w:tcBorders>
              <w:right w:val="single" w:sz="8" w:color="CCEEFF"/>
            </w:tcBorders>
            <w:shd w:val="clear" w:color="auto" w:fill="CCEEFF"/>
          </w:tcPr>
          <w:p>
            <w:pPr>
              <w:jc w:val="right"/>
              <w:ind w:right="55"/>
              <w:spacing w:after="0"/>
              <w:rPr>
                <w:sz w:val="20"/>
                <w:szCs w:val="20"/>
                <w:color w:val="auto"/>
              </w:rPr>
            </w:pPr>
            <w:r>
              <w:rPr>
                <w:rFonts w:ascii="Arial" w:cs="Arial" w:eastAsia="Arial" w:hAnsi="Arial"/>
                <w:sz w:val="13"/>
                <w:szCs w:val="13"/>
                <w:color w:val="auto"/>
              </w:rPr>
              <w:t>-</w:t>
            </w:r>
          </w:p>
        </w:tc>
        <w:tc>
          <w:tcPr>
            <w:tcW w:w="480" w:type="dxa"/>
            <w:vAlign w:val="bottom"/>
            <w:shd w:val="clear" w:color="auto" w:fill="CCEEFF"/>
          </w:tcPr>
          <w:p>
            <w:pPr>
              <w:spacing w:after="0"/>
              <w:rPr>
                <w:sz w:val="13"/>
                <w:szCs w:val="13"/>
                <w:color w:val="auto"/>
              </w:rPr>
            </w:pPr>
          </w:p>
        </w:tc>
        <w:tc>
          <w:tcPr>
            <w:tcW w:w="3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$0.91</w:t>
            </w:r>
          </w:p>
        </w:tc>
        <w:tc>
          <w:tcPr>
            <w:tcW w:w="120" w:type="dxa"/>
            <w:vAlign w:val="bottom"/>
            <w:shd w:val="clear" w:color="auto" w:fill="CCEEFF"/>
          </w:tcPr>
          <w:p>
            <w:pPr>
              <w:spacing w:after="0"/>
              <w:rPr>
                <w:sz w:val="13"/>
                <w:szCs w:val="13"/>
                <w:color w:val="auto"/>
              </w:rPr>
            </w:pPr>
          </w:p>
        </w:tc>
        <w:tc>
          <w:tcPr>
            <w:tcW w:w="860" w:type="dxa"/>
            <w:vAlign w:val="bottom"/>
            <w:shd w:val="clear" w:color="auto" w:fill="CCEEFF"/>
          </w:tcPr>
          <w:p>
            <w:pPr>
              <w:jc w:val="right"/>
              <w:ind w:right="75"/>
              <w:spacing w:after="0"/>
              <w:rPr>
                <w:sz w:val="20"/>
                <w:szCs w:val="20"/>
                <w:color w:val="auto"/>
              </w:rPr>
            </w:pPr>
            <w:r>
              <w:rPr>
                <w:rFonts w:ascii="Arial" w:cs="Arial" w:eastAsia="Arial" w:hAnsi="Arial"/>
                <w:sz w:val="13"/>
                <w:szCs w:val="13"/>
                <w:color w:val="auto"/>
              </w:rPr>
              <w:t>06-23-2030</w:t>
            </w:r>
          </w:p>
        </w:tc>
        <w:tc>
          <w:tcPr>
            <w:tcW w:w="100" w:type="dxa"/>
            <w:vAlign w:val="bottom"/>
            <w:shd w:val="clear" w:color="auto" w:fill="CCEEFF"/>
          </w:tcPr>
          <w:p>
            <w:pPr>
              <w:spacing w:after="0"/>
              <w:rPr>
                <w:sz w:val="13"/>
                <w:szCs w:val="13"/>
                <w:color w:val="auto"/>
              </w:rPr>
            </w:pPr>
          </w:p>
        </w:tc>
        <w:tc>
          <w:tcPr>
            <w:tcW w:w="960" w:type="dxa"/>
            <w:vAlign w:val="bottom"/>
            <w:tcBorders>
              <w:right w:val="single" w:sz="8" w:color="CCEEFF"/>
            </w:tcBorders>
            <w:shd w:val="clear" w:color="auto" w:fill="CCEEFF"/>
          </w:tcPr>
          <w:p>
            <w:pPr>
              <w:jc w:val="right"/>
              <w:ind w:right="35"/>
              <w:spacing w:after="0"/>
              <w:rPr>
                <w:sz w:val="20"/>
                <w:szCs w:val="20"/>
                <w:color w:val="auto"/>
              </w:rPr>
            </w:pPr>
            <w:r>
              <w:rPr>
                <w:rFonts w:ascii="Arial" w:cs="Arial" w:eastAsia="Arial" w:hAnsi="Arial"/>
                <w:sz w:val="13"/>
                <w:szCs w:val="13"/>
                <w:color w:val="auto"/>
              </w:rPr>
              <w:t>26,250</w:t>
            </w:r>
          </w:p>
        </w:tc>
        <w:tc>
          <w:tcPr>
            <w:tcW w:w="520" w:type="dxa"/>
            <w:vAlign w:val="bottom"/>
            <w:shd w:val="clear" w:color="auto" w:fill="CCEEFF"/>
          </w:tcPr>
          <w:p>
            <w:pPr>
              <w:spacing w:after="0"/>
              <w:rPr>
                <w:sz w:val="20"/>
                <w:szCs w:val="20"/>
                <w:color w:val="auto"/>
              </w:rPr>
            </w:pPr>
            <w:r>
              <w:rPr>
                <w:rFonts w:ascii="Arial" w:cs="Arial" w:eastAsia="Arial" w:hAnsi="Arial"/>
                <w:sz w:val="13"/>
                <w:szCs w:val="13"/>
                <w:color w:val="auto"/>
              </w:rPr>
              <w:t>$</w:t>
            </w:r>
          </w:p>
        </w:tc>
        <w:tc>
          <w:tcPr>
            <w:tcW w:w="560" w:type="dxa"/>
            <w:vAlign w:val="bottom"/>
            <w:tcBorders>
              <w:right w:val="single" w:sz="8" w:color="CCEEFF"/>
            </w:tcBorders>
            <w:shd w:val="clear" w:color="auto" w:fill="CCEEFF"/>
          </w:tcPr>
          <w:p>
            <w:pPr>
              <w:jc w:val="right"/>
              <w:ind w:right="35"/>
              <w:spacing w:after="0"/>
              <w:rPr>
                <w:sz w:val="20"/>
                <w:szCs w:val="20"/>
                <w:color w:val="auto"/>
              </w:rPr>
            </w:pPr>
            <w:r>
              <w:rPr>
                <w:rFonts w:ascii="Arial" w:cs="Arial" w:eastAsia="Arial" w:hAnsi="Arial"/>
                <w:sz w:val="13"/>
                <w:szCs w:val="13"/>
                <w:color w:val="auto"/>
              </w:rPr>
              <w:t>6,300</w:t>
            </w:r>
          </w:p>
        </w:tc>
        <w:tc>
          <w:tcPr>
            <w:tcW w:w="760" w:type="dxa"/>
            <w:vAlign w:val="bottom"/>
            <w:shd w:val="clear" w:color="auto" w:fill="CCEEFF"/>
          </w:tcPr>
          <w:p>
            <w:pPr>
              <w:ind w:left="720"/>
              <w:spacing w:after="0"/>
              <w:rPr>
                <w:sz w:val="20"/>
                <w:szCs w:val="20"/>
                <w:color w:val="auto"/>
              </w:rPr>
            </w:pPr>
            <w:r>
              <w:rPr>
                <w:rFonts w:ascii="Arial" w:cs="Arial" w:eastAsia="Arial" w:hAnsi="Arial"/>
                <w:sz w:val="8"/>
                <w:szCs w:val="8"/>
                <w:color w:val="auto"/>
                <w:w w:val="73"/>
              </w:rPr>
              <w:t>-</w:t>
            </w:r>
          </w:p>
        </w:tc>
        <w:tc>
          <w:tcPr>
            <w:tcW w:w="100" w:type="dxa"/>
            <w:vAlign w:val="bottom"/>
            <w:shd w:val="clear" w:color="auto" w:fill="CCEEFF"/>
          </w:tcPr>
          <w:p>
            <w:pPr>
              <w:spacing w:after="0"/>
              <w:rPr>
                <w:sz w:val="13"/>
                <w:szCs w:val="13"/>
                <w:color w:val="auto"/>
              </w:rPr>
            </w:pPr>
          </w:p>
        </w:tc>
        <w:tc>
          <w:tcPr>
            <w:tcW w:w="920" w:type="dxa"/>
            <w:vAlign w:val="bottom"/>
            <w:shd w:val="clear" w:color="auto" w:fill="CCEEFF"/>
          </w:tcPr>
          <w:p>
            <w:pPr>
              <w:spacing w:after="0"/>
              <w:rPr>
                <w:sz w:val="20"/>
                <w:szCs w:val="20"/>
                <w:color w:val="auto"/>
              </w:rPr>
            </w:pPr>
            <w:r>
              <w:rPr>
                <w:rFonts w:ascii="Arial" w:cs="Arial" w:eastAsia="Arial" w:hAnsi="Arial"/>
                <w:sz w:val="13"/>
                <w:szCs w:val="13"/>
                <w:color w:val="auto"/>
              </w:rPr>
              <w:t>$</w:t>
            </w:r>
          </w:p>
        </w:tc>
        <w:tc>
          <w:tcPr>
            <w:tcW w:w="40" w:type="dxa"/>
            <w:vAlign w:val="bottom"/>
            <w:shd w:val="clear" w:color="auto" w:fill="CCEEFF"/>
          </w:tcPr>
          <w:p>
            <w:pPr>
              <w:jc w:val="right"/>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r>
        <w:trPr>
          <w:trHeight w:val="156"/>
        </w:trPr>
        <w:tc>
          <w:tcPr>
            <w:tcW w:w="1800" w:type="dxa"/>
            <w:vAlign w:val="bottom"/>
          </w:tcPr>
          <w:p>
            <w:pPr>
              <w:spacing w:after="0"/>
              <w:rPr>
                <w:sz w:val="20"/>
                <w:szCs w:val="20"/>
                <w:color w:val="auto"/>
              </w:rPr>
            </w:pPr>
            <w:r>
              <w:rPr>
                <w:rFonts w:ascii="Arial" w:cs="Arial" w:eastAsia="Arial" w:hAnsi="Arial"/>
                <w:sz w:val="13"/>
                <w:szCs w:val="13"/>
                <w:color w:val="auto"/>
              </w:rPr>
              <w:t>Mallorie Burak</w:t>
            </w:r>
          </w:p>
        </w:tc>
        <w:tc>
          <w:tcPr>
            <w:tcW w:w="100" w:type="dxa"/>
            <w:vAlign w:val="bottom"/>
          </w:tcPr>
          <w:p>
            <w:pPr>
              <w:spacing w:after="0"/>
              <w:rPr>
                <w:sz w:val="13"/>
                <w:szCs w:val="13"/>
                <w:color w:val="auto"/>
              </w:rPr>
            </w:pPr>
          </w:p>
        </w:tc>
        <w:tc>
          <w:tcPr>
            <w:tcW w:w="880" w:type="dxa"/>
            <w:vAlign w:val="bottom"/>
            <w:gridSpan w:val="2"/>
          </w:tcPr>
          <w:p>
            <w:pPr>
              <w:jc w:val="right"/>
              <w:ind w:right="20"/>
              <w:spacing w:after="0"/>
              <w:rPr>
                <w:sz w:val="20"/>
                <w:szCs w:val="20"/>
                <w:color w:val="auto"/>
              </w:rPr>
            </w:pPr>
            <w:r>
              <w:rPr>
                <w:rFonts w:ascii="Arial" w:cs="Arial" w:eastAsia="Arial" w:hAnsi="Arial"/>
                <w:sz w:val="13"/>
                <w:szCs w:val="13"/>
                <w:color w:val="auto"/>
              </w:rPr>
              <w:t>-</w:t>
            </w:r>
          </w:p>
        </w:tc>
        <w:tc>
          <w:tcPr>
            <w:tcW w:w="480" w:type="dxa"/>
            <w:vAlign w:val="bottom"/>
          </w:tcPr>
          <w:p>
            <w:pPr>
              <w:spacing w:after="0"/>
              <w:rPr>
                <w:sz w:val="13"/>
                <w:szCs w:val="13"/>
                <w:color w:val="auto"/>
              </w:rPr>
            </w:pPr>
          </w:p>
        </w:tc>
        <w:tc>
          <w:tcPr>
            <w:tcW w:w="1360" w:type="dxa"/>
            <w:vAlign w:val="bottom"/>
            <w:gridSpan w:val="2"/>
          </w:tcPr>
          <w:p>
            <w:pPr>
              <w:ind w:left="460"/>
              <w:spacing w:after="0"/>
              <w:rPr>
                <w:sz w:val="20"/>
                <w:szCs w:val="20"/>
                <w:color w:val="auto"/>
              </w:rPr>
            </w:pPr>
            <w:r>
              <w:rPr>
                <w:rFonts w:ascii="Arial" w:cs="Arial" w:eastAsia="Arial" w:hAnsi="Arial"/>
                <w:sz w:val="13"/>
                <w:szCs w:val="13"/>
                <w:color w:val="auto"/>
                <w:w w:val="92"/>
              </w:rPr>
              <w:t>500,000(1)(6)(7)</w:t>
            </w:r>
          </w:p>
        </w:tc>
        <w:tc>
          <w:tcPr>
            <w:tcW w:w="880" w:type="dxa"/>
            <w:vAlign w:val="bottom"/>
          </w:tcPr>
          <w:p>
            <w:pPr>
              <w:jc w:val="right"/>
              <w:ind w:right="55"/>
              <w:spacing w:after="0"/>
              <w:rPr>
                <w:sz w:val="20"/>
                <w:szCs w:val="20"/>
                <w:color w:val="auto"/>
              </w:rPr>
            </w:pPr>
            <w:r>
              <w:rPr>
                <w:rFonts w:ascii="Arial" w:cs="Arial" w:eastAsia="Arial" w:hAnsi="Arial"/>
                <w:sz w:val="13"/>
                <w:szCs w:val="13"/>
                <w:color w:val="auto"/>
              </w:rPr>
              <w:t>-</w:t>
            </w:r>
          </w:p>
        </w:tc>
        <w:tc>
          <w:tcPr>
            <w:tcW w:w="480" w:type="dxa"/>
            <w:vAlign w:val="bottom"/>
          </w:tcPr>
          <w:p>
            <w:pPr>
              <w:spacing w:after="0"/>
              <w:rPr>
                <w:sz w:val="13"/>
                <w:szCs w:val="13"/>
                <w:color w:val="auto"/>
              </w:rPr>
            </w:pPr>
          </w:p>
        </w:tc>
        <w:tc>
          <w:tcPr>
            <w:tcW w:w="360" w:type="dxa"/>
            <w:vAlign w:val="bottom"/>
          </w:tcPr>
          <w:p>
            <w:pPr>
              <w:jc w:val="right"/>
              <w:spacing w:after="0"/>
              <w:rPr>
                <w:sz w:val="20"/>
                <w:szCs w:val="20"/>
                <w:color w:val="auto"/>
              </w:rPr>
            </w:pPr>
            <w:r>
              <w:rPr>
                <w:rFonts w:ascii="Arial" w:cs="Arial" w:eastAsia="Arial" w:hAnsi="Arial"/>
                <w:sz w:val="13"/>
                <w:szCs w:val="13"/>
                <w:color w:val="auto"/>
              </w:rPr>
              <w:t>$2.34</w:t>
            </w:r>
          </w:p>
        </w:tc>
        <w:tc>
          <w:tcPr>
            <w:tcW w:w="120" w:type="dxa"/>
            <w:vAlign w:val="bottom"/>
          </w:tcPr>
          <w:p>
            <w:pPr>
              <w:spacing w:after="0"/>
              <w:rPr>
                <w:sz w:val="13"/>
                <w:szCs w:val="13"/>
                <w:color w:val="auto"/>
              </w:rPr>
            </w:pPr>
          </w:p>
        </w:tc>
        <w:tc>
          <w:tcPr>
            <w:tcW w:w="860" w:type="dxa"/>
            <w:vAlign w:val="bottom"/>
          </w:tcPr>
          <w:p>
            <w:pPr>
              <w:jc w:val="right"/>
              <w:ind w:right="75"/>
              <w:spacing w:after="0"/>
              <w:rPr>
                <w:sz w:val="20"/>
                <w:szCs w:val="20"/>
                <w:color w:val="auto"/>
              </w:rPr>
            </w:pPr>
            <w:r>
              <w:rPr>
                <w:rFonts w:ascii="Arial" w:cs="Arial" w:eastAsia="Arial" w:hAnsi="Arial"/>
                <w:sz w:val="13"/>
                <w:szCs w:val="13"/>
                <w:color w:val="auto"/>
              </w:rPr>
              <w:t>10-07-2030</w:t>
            </w:r>
          </w:p>
        </w:tc>
        <w:tc>
          <w:tcPr>
            <w:tcW w:w="100" w:type="dxa"/>
            <w:vAlign w:val="bottom"/>
          </w:tcPr>
          <w:p>
            <w:pPr>
              <w:spacing w:after="0"/>
              <w:rPr>
                <w:sz w:val="13"/>
                <w:szCs w:val="13"/>
                <w:color w:val="auto"/>
              </w:rPr>
            </w:pPr>
          </w:p>
        </w:tc>
        <w:tc>
          <w:tcPr>
            <w:tcW w:w="960" w:type="dxa"/>
            <w:vAlign w:val="bottom"/>
          </w:tcPr>
          <w:p>
            <w:pPr>
              <w:jc w:val="right"/>
              <w:ind w:right="35"/>
              <w:spacing w:after="0"/>
              <w:rPr>
                <w:sz w:val="20"/>
                <w:szCs w:val="20"/>
                <w:color w:val="auto"/>
              </w:rPr>
            </w:pPr>
            <w:r>
              <w:rPr>
                <w:rFonts w:ascii="Arial" w:cs="Arial" w:eastAsia="Arial" w:hAnsi="Arial"/>
                <w:sz w:val="13"/>
                <w:szCs w:val="13"/>
                <w:color w:val="auto"/>
              </w:rPr>
              <w:t>500,000</w:t>
            </w:r>
          </w:p>
        </w:tc>
        <w:tc>
          <w:tcPr>
            <w:tcW w:w="520" w:type="dxa"/>
            <w:vAlign w:val="bottom"/>
          </w:tcPr>
          <w:p>
            <w:pPr>
              <w:spacing w:after="0"/>
              <w:rPr>
                <w:sz w:val="20"/>
                <w:szCs w:val="20"/>
                <w:color w:val="auto"/>
              </w:rPr>
            </w:pPr>
            <w:r>
              <w:rPr>
                <w:rFonts w:ascii="Arial" w:cs="Arial" w:eastAsia="Arial" w:hAnsi="Arial"/>
                <w:sz w:val="13"/>
                <w:szCs w:val="13"/>
                <w:color w:val="auto"/>
              </w:rPr>
              <w:t>$</w:t>
            </w:r>
          </w:p>
        </w:tc>
        <w:tc>
          <w:tcPr>
            <w:tcW w:w="560" w:type="dxa"/>
            <w:vAlign w:val="bottom"/>
          </w:tcPr>
          <w:p>
            <w:pPr>
              <w:jc w:val="right"/>
              <w:ind w:right="35"/>
              <w:spacing w:after="0"/>
              <w:rPr>
                <w:sz w:val="20"/>
                <w:szCs w:val="20"/>
                <w:color w:val="auto"/>
              </w:rPr>
            </w:pPr>
            <w:r>
              <w:rPr>
                <w:rFonts w:ascii="Arial" w:cs="Arial" w:eastAsia="Arial" w:hAnsi="Arial"/>
                <w:sz w:val="13"/>
                <w:szCs w:val="13"/>
                <w:color w:val="auto"/>
                <w:w w:val="93"/>
              </w:rPr>
              <w:t>570,000</w:t>
            </w:r>
          </w:p>
        </w:tc>
        <w:tc>
          <w:tcPr>
            <w:tcW w:w="760" w:type="dxa"/>
            <w:vAlign w:val="bottom"/>
          </w:tcPr>
          <w:p>
            <w:pPr>
              <w:ind w:left="720"/>
              <w:spacing w:after="0"/>
              <w:rPr>
                <w:sz w:val="20"/>
                <w:szCs w:val="20"/>
                <w:color w:val="auto"/>
              </w:rPr>
            </w:pPr>
            <w:r>
              <w:rPr>
                <w:rFonts w:ascii="Arial" w:cs="Arial" w:eastAsia="Arial" w:hAnsi="Arial"/>
                <w:sz w:val="8"/>
                <w:szCs w:val="8"/>
                <w:color w:val="auto"/>
                <w:w w:val="73"/>
              </w:rPr>
              <w:t>-</w:t>
            </w:r>
          </w:p>
        </w:tc>
        <w:tc>
          <w:tcPr>
            <w:tcW w:w="100" w:type="dxa"/>
            <w:vAlign w:val="bottom"/>
          </w:tcPr>
          <w:p>
            <w:pPr>
              <w:spacing w:after="0"/>
              <w:rPr>
                <w:sz w:val="13"/>
                <w:szCs w:val="13"/>
                <w:color w:val="auto"/>
              </w:rPr>
            </w:pPr>
          </w:p>
        </w:tc>
        <w:tc>
          <w:tcPr>
            <w:tcW w:w="920" w:type="dxa"/>
            <w:vAlign w:val="bottom"/>
          </w:tcPr>
          <w:p>
            <w:pPr>
              <w:spacing w:after="0"/>
              <w:rPr>
                <w:sz w:val="20"/>
                <w:szCs w:val="20"/>
                <w:color w:val="auto"/>
              </w:rPr>
            </w:pPr>
            <w:r>
              <w:rPr>
                <w:rFonts w:ascii="Arial" w:cs="Arial" w:eastAsia="Arial" w:hAnsi="Arial"/>
                <w:sz w:val="13"/>
                <w:szCs w:val="13"/>
                <w:color w:val="auto"/>
              </w:rPr>
              <w:t>$</w:t>
            </w:r>
          </w:p>
        </w:tc>
        <w:tc>
          <w:tcPr>
            <w:tcW w:w="40" w:type="dxa"/>
            <w:vAlign w:val="bottom"/>
          </w:tcPr>
          <w:p>
            <w:pPr>
              <w:jc w:val="right"/>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r>
        <w:trPr>
          <w:trHeight w:val="156"/>
        </w:trPr>
        <w:tc>
          <w:tcPr>
            <w:tcW w:w="1800" w:type="dxa"/>
            <w:vAlign w:val="bottom"/>
            <w:shd w:val="clear" w:color="auto" w:fill="CCEEFF"/>
          </w:tcPr>
          <w:p>
            <w:pPr>
              <w:spacing w:after="0"/>
              <w:rPr>
                <w:sz w:val="20"/>
                <w:szCs w:val="20"/>
                <w:color w:val="auto"/>
              </w:rPr>
            </w:pPr>
            <w:r>
              <w:rPr>
                <w:rFonts w:ascii="Arial" w:cs="Arial" w:eastAsia="Arial" w:hAnsi="Arial"/>
                <w:sz w:val="13"/>
                <w:szCs w:val="13"/>
                <w:color w:val="auto"/>
              </w:rPr>
              <w:t>Aaron J. Lehnhardt</w:t>
            </w:r>
          </w:p>
        </w:tc>
        <w:tc>
          <w:tcPr>
            <w:tcW w:w="980" w:type="dxa"/>
            <w:vAlign w:val="bottom"/>
            <w:gridSpan w:val="3"/>
            <w:shd w:val="clear" w:color="auto" w:fill="CCEEFF"/>
          </w:tcPr>
          <w:p>
            <w:pPr>
              <w:jc w:val="right"/>
              <w:ind w:right="20"/>
              <w:spacing w:after="0"/>
              <w:rPr>
                <w:sz w:val="20"/>
                <w:szCs w:val="20"/>
                <w:color w:val="auto"/>
              </w:rPr>
            </w:pPr>
            <w:r>
              <w:rPr>
                <w:rFonts w:ascii="Arial" w:cs="Arial" w:eastAsia="Arial" w:hAnsi="Arial"/>
                <w:sz w:val="13"/>
                <w:szCs w:val="13"/>
                <w:color w:val="auto"/>
              </w:rPr>
              <w:t>238,000</w:t>
            </w:r>
          </w:p>
        </w:tc>
        <w:tc>
          <w:tcPr>
            <w:tcW w:w="480" w:type="dxa"/>
            <w:vAlign w:val="bottom"/>
            <w:shd w:val="clear" w:color="auto" w:fill="CCEEFF"/>
          </w:tcPr>
          <w:p>
            <w:pPr>
              <w:ind w:left="20"/>
              <w:spacing w:after="0"/>
              <w:rPr>
                <w:sz w:val="20"/>
                <w:szCs w:val="20"/>
                <w:color w:val="auto"/>
              </w:rPr>
            </w:pPr>
            <w:r>
              <w:rPr>
                <w:rFonts w:ascii="Arial" w:cs="Arial" w:eastAsia="Arial" w:hAnsi="Arial"/>
                <w:sz w:val="13"/>
                <w:szCs w:val="13"/>
                <w:color w:val="auto"/>
              </w:rPr>
              <w:t>(1)(8)</w:t>
            </w:r>
          </w:p>
        </w:tc>
        <w:tc>
          <w:tcPr>
            <w:tcW w:w="880" w:type="dxa"/>
            <w:vAlign w:val="bottom"/>
            <w:shd w:val="clear" w:color="auto" w:fill="CCEEFF"/>
          </w:tcPr>
          <w:p>
            <w:pPr>
              <w:spacing w:after="0"/>
              <w:rPr>
                <w:sz w:val="13"/>
                <w:szCs w:val="13"/>
                <w:color w:val="auto"/>
              </w:rPr>
            </w:pPr>
          </w:p>
        </w:tc>
        <w:tc>
          <w:tcPr>
            <w:tcW w:w="480" w:type="dxa"/>
            <w:vAlign w:val="bottom"/>
            <w:shd w:val="clear" w:color="auto" w:fill="CCEEFF"/>
          </w:tcPr>
          <w:p>
            <w:pPr>
              <w:spacing w:after="0"/>
              <w:rPr>
                <w:sz w:val="13"/>
                <w:szCs w:val="13"/>
                <w:color w:val="auto"/>
              </w:rPr>
            </w:pPr>
          </w:p>
        </w:tc>
        <w:tc>
          <w:tcPr>
            <w:tcW w:w="880" w:type="dxa"/>
            <w:vAlign w:val="bottom"/>
            <w:tcBorders>
              <w:right w:val="single" w:sz="8" w:color="CCEEFF"/>
            </w:tcBorders>
            <w:shd w:val="clear" w:color="auto" w:fill="CCEEFF"/>
          </w:tcPr>
          <w:p>
            <w:pPr>
              <w:jc w:val="right"/>
              <w:ind w:right="55"/>
              <w:spacing w:after="0"/>
              <w:rPr>
                <w:sz w:val="20"/>
                <w:szCs w:val="20"/>
                <w:color w:val="auto"/>
              </w:rPr>
            </w:pPr>
            <w:r>
              <w:rPr>
                <w:rFonts w:ascii="Arial" w:cs="Arial" w:eastAsia="Arial" w:hAnsi="Arial"/>
                <w:sz w:val="13"/>
                <w:szCs w:val="13"/>
                <w:color w:val="auto"/>
              </w:rPr>
              <w:t>-</w:t>
            </w:r>
          </w:p>
        </w:tc>
        <w:tc>
          <w:tcPr>
            <w:tcW w:w="480" w:type="dxa"/>
            <w:vAlign w:val="bottom"/>
            <w:shd w:val="clear" w:color="auto" w:fill="CCEEFF"/>
          </w:tcPr>
          <w:p>
            <w:pPr>
              <w:spacing w:after="0"/>
              <w:rPr>
                <w:sz w:val="13"/>
                <w:szCs w:val="13"/>
                <w:color w:val="auto"/>
              </w:rPr>
            </w:pPr>
          </w:p>
        </w:tc>
        <w:tc>
          <w:tcPr>
            <w:tcW w:w="3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$0.16</w:t>
            </w:r>
          </w:p>
        </w:tc>
        <w:tc>
          <w:tcPr>
            <w:tcW w:w="120" w:type="dxa"/>
            <w:vAlign w:val="bottom"/>
            <w:shd w:val="clear" w:color="auto" w:fill="CCEEFF"/>
          </w:tcPr>
          <w:p>
            <w:pPr>
              <w:spacing w:after="0"/>
              <w:rPr>
                <w:sz w:val="13"/>
                <w:szCs w:val="13"/>
                <w:color w:val="auto"/>
              </w:rPr>
            </w:pPr>
          </w:p>
        </w:tc>
        <w:tc>
          <w:tcPr>
            <w:tcW w:w="860" w:type="dxa"/>
            <w:vAlign w:val="bottom"/>
            <w:shd w:val="clear" w:color="auto" w:fill="CCEEFF"/>
          </w:tcPr>
          <w:p>
            <w:pPr>
              <w:jc w:val="right"/>
              <w:ind w:right="75"/>
              <w:spacing w:after="0"/>
              <w:rPr>
                <w:sz w:val="20"/>
                <w:szCs w:val="20"/>
                <w:color w:val="auto"/>
              </w:rPr>
            </w:pPr>
            <w:r>
              <w:rPr>
                <w:rFonts w:ascii="Arial" w:cs="Arial" w:eastAsia="Arial" w:hAnsi="Arial"/>
                <w:sz w:val="13"/>
                <w:szCs w:val="13"/>
                <w:color w:val="auto"/>
              </w:rPr>
              <w:t>04-20-2024</w:t>
            </w:r>
          </w:p>
        </w:tc>
        <w:tc>
          <w:tcPr>
            <w:tcW w:w="100" w:type="dxa"/>
            <w:vAlign w:val="bottom"/>
            <w:shd w:val="clear" w:color="auto" w:fill="CCEEFF"/>
          </w:tcPr>
          <w:p>
            <w:pPr>
              <w:spacing w:after="0"/>
              <w:rPr>
                <w:sz w:val="13"/>
                <w:szCs w:val="13"/>
                <w:color w:val="auto"/>
              </w:rPr>
            </w:pPr>
          </w:p>
        </w:tc>
        <w:tc>
          <w:tcPr>
            <w:tcW w:w="960" w:type="dxa"/>
            <w:vAlign w:val="bottom"/>
            <w:tcBorders>
              <w:right w:val="single" w:sz="8" w:color="CCEEFF"/>
            </w:tcBorders>
            <w:shd w:val="clear" w:color="auto" w:fill="CCEEFF"/>
          </w:tcPr>
          <w:p>
            <w:pPr>
              <w:spacing w:after="0"/>
              <w:rPr>
                <w:sz w:val="13"/>
                <w:szCs w:val="13"/>
                <w:color w:val="auto"/>
              </w:rPr>
            </w:pPr>
          </w:p>
        </w:tc>
        <w:tc>
          <w:tcPr>
            <w:tcW w:w="520" w:type="dxa"/>
            <w:vAlign w:val="bottom"/>
            <w:shd w:val="clear" w:color="auto" w:fill="CCEEFF"/>
          </w:tcPr>
          <w:p>
            <w:pPr>
              <w:spacing w:after="0"/>
              <w:rPr>
                <w:sz w:val="13"/>
                <w:szCs w:val="13"/>
                <w:color w:val="auto"/>
              </w:rPr>
            </w:pPr>
          </w:p>
        </w:tc>
        <w:tc>
          <w:tcPr>
            <w:tcW w:w="560" w:type="dxa"/>
            <w:vAlign w:val="bottom"/>
            <w:tcBorders>
              <w:right w:val="single" w:sz="8" w:color="CCEEFF"/>
            </w:tcBorders>
            <w:shd w:val="clear" w:color="auto" w:fill="CCEEFF"/>
          </w:tcPr>
          <w:p>
            <w:pPr>
              <w:spacing w:after="0"/>
              <w:rPr>
                <w:sz w:val="13"/>
                <w:szCs w:val="13"/>
                <w:color w:val="auto"/>
              </w:rPr>
            </w:pPr>
          </w:p>
        </w:tc>
        <w:tc>
          <w:tcPr>
            <w:tcW w:w="7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920" w:type="dxa"/>
            <w:vAlign w:val="bottom"/>
            <w:shd w:val="clear" w:color="auto" w:fill="CCEEFF"/>
          </w:tcPr>
          <w:p>
            <w:pPr>
              <w:spacing w:after="0"/>
              <w:rPr>
                <w:sz w:val="13"/>
                <w:szCs w:val="13"/>
                <w:color w:val="auto"/>
              </w:rPr>
            </w:pPr>
          </w:p>
        </w:tc>
        <w:tc>
          <w:tcPr>
            <w:tcW w:w="4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00" w:type="dxa"/>
            <w:vAlign w:val="bottom"/>
            <w:shd w:val="clear" w:color="auto" w:fill="CCEEFF"/>
          </w:tcPr>
          <w:p>
            <w:pPr>
              <w:spacing w:after="0"/>
              <w:rPr>
                <w:sz w:val="20"/>
                <w:szCs w:val="20"/>
                <w:color w:val="auto"/>
              </w:rPr>
            </w:pPr>
            <w:r>
              <w:rPr>
                <w:rFonts w:ascii="Arial" w:cs="Arial" w:eastAsia="Arial" w:hAnsi="Arial"/>
                <w:sz w:val="13"/>
                <w:szCs w:val="13"/>
                <w:color w:val="auto"/>
              </w:rPr>
              <w:t>Aaron J. Lehnhardt</w:t>
            </w:r>
          </w:p>
        </w:tc>
        <w:tc>
          <w:tcPr>
            <w:tcW w:w="100" w:type="dxa"/>
            <w:vAlign w:val="bottom"/>
            <w:shd w:val="clear" w:color="auto" w:fill="CCEEFF"/>
          </w:tcPr>
          <w:p>
            <w:pPr>
              <w:spacing w:after="0"/>
              <w:rPr>
                <w:sz w:val="13"/>
                <w:szCs w:val="13"/>
                <w:color w:val="auto"/>
              </w:rPr>
            </w:pPr>
          </w:p>
        </w:tc>
        <w:tc>
          <w:tcPr>
            <w:tcW w:w="880" w:type="dxa"/>
            <w:vAlign w:val="bottom"/>
            <w:gridSpan w:val="2"/>
            <w:shd w:val="clear" w:color="auto" w:fill="CCEEFF"/>
          </w:tcPr>
          <w:p>
            <w:pPr>
              <w:jc w:val="right"/>
              <w:ind w:right="20"/>
              <w:spacing w:after="0"/>
              <w:rPr>
                <w:sz w:val="20"/>
                <w:szCs w:val="20"/>
                <w:color w:val="auto"/>
              </w:rPr>
            </w:pPr>
            <w:r>
              <w:rPr>
                <w:rFonts w:ascii="Arial" w:cs="Arial" w:eastAsia="Arial" w:hAnsi="Arial"/>
                <w:sz w:val="13"/>
                <w:szCs w:val="13"/>
                <w:color w:val="auto"/>
              </w:rPr>
              <w:t>62,000</w:t>
            </w:r>
          </w:p>
        </w:tc>
        <w:tc>
          <w:tcPr>
            <w:tcW w:w="480" w:type="dxa"/>
            <w:vAlign w:val="bottom"/>
            <w:shd w:val="clear" w:color="auto" w:fill="CCEEFF"/>
          </w:tcPr>
          <w:p>
            <w:pPr>
              <w:ind w:left="20"/>
              <w:spacing w:after="0"/>
              <w:rPr>
                <w:sz w:val="20"/>
                <w:szCs w:val="20"/>
                <w:color w:val="auto"/>
              </w:rPr>
            </w:pPr>
            <w:r>
              <w:rPr>
                <w:rFonts w:ascii="Arial" w:cs="Arial" w:eastAsia="Arial" w:hAnsi="Arial"/>
                <w:sz w:val="13"/>
                <w:szCs w:val="13"/>
                <w:color w:val="auto"/>
              </w:rPr>
              <w:t>(1)(8)</w:t>
            </w:r>
          </w:p>
        </w:tc>
        <w:tc>
          <w:tcPr>
            <w:tcW w:w="880" w:type="dxa"/>
            <w:vAlign w:val="bottom"/>
            <w:shd w:val="clear" w:color="auto" w:fill="CCEEFF"/>
          </w:tcPr>
          <w:p>
            <w:pPr>
              <w:spacing w:after="0"/>
              <w:rPr>
                <w:sz w:val="13"/>
                <w:szCs w:val="13"/>
                <w:color w:val="auto"/>
              </w:rPr>
            </w:pPr>
          </w:p>
        </w:tc>
        <w:tc>
          <w:tcPr>
            <w:tcW w:w="480" w:type="dxa"/>
            <w:vAlign w:val="bottom"/>
            <w:shd w:val="clear" w:color="auto" w:fill="CCEEFF"/>
          </w:tcPr>
          <w:p>
            <w:pPr>
              <w:spacing w:after="0"/>
              <w:rPr>
                <w:sz w:val="13"/>
                <w:szCs w:val="13"/>
                <w:color w:val="auto"/>
              </w:rPr>
            </w:pPr>
          </w:p>
        </w:tc>
        <w:tc>
          <w:tcPr>
            <w:tcW w:w="880" w:type="dxa"/>
            <w:vAlign w:val="bottom"/>
            <w:tcBorders>
              <w:right w:val="single" w:sz="8" w:color="CCEEFF"/>
            </w:tcBorders>
            <w:shd w:val="clear" w:color="auto" w:fill="CCEEFF"/>
          </w:tcPr>
          <w:p>
            <w:pPr>
              <w:jc w:val="right"/>
              <w:ind w:right="55"/>
              <w:spacing w:after="0"/>
              <w:rPr>
                <w:sz w:val="20"/>
                <w:szCs w:val="20"/>
                <w:color w:val="auto"/>
              </w:rPr>
            </w:pPr>
            <w:r>
              <w:rPr>
                <w:rFonts w:ascii="Arial" w:cs="Arial" w:eastAsia="Arial" w:hAnsi="Arial"/>
                <w:sz w:val="13"/>
                <w:szCs w:val="13"/>
                <w:color w:val="auto"/>
              </w:rPr>
              <w:t>-</w:t>
            </w:r>
          </w:p>
        </w:tc>
        <w:tc>
          <w:tcPr>
            <w:tcW w:w="480" w:type="dxa"/>
            <w:vAlign w:val="bottom"/>
            <w:shd w:val="clear" w:color="auto" w:fill="CCEEFF"/>
          </w:tcPr>
          <w:p>
            <w:pPr>
              <w:spacing w:after="0"/>
              <w:rPr>
                <w:sz w:val="13"/>
                <w:szCs w:val="13"/>
                <w:color w:val="auto"/>
              </w:rPr>
            </w:pPr>
          </w:p>
        </w:tc>
        <w:tc>
          <w:tcPr>
            <w:tcW w:w="3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$0.60</w:t>
            </w:r>
          </w:p>
        </w:tc>
        <w:tc>
          <w:tcPr>
            <w:tcW w:w="120" w:type="dxa"/>
            <w:vAlign w:val="bottom"/>
            <w:shd w:val="clear" w:color="auto" w:fill="CCEEFF"/>
          </w:tcPr>
          <w:p>
            <w:pPr>
              <w:spacing w:after="0"/>
              <w:rPr>
                <w:sz w:val="13"/>
                <w:szCs w:val="13"/>
                <w:color w:val="auto"/>
              </w:rPr>
            </w:pPr>
          </w:p>
        </w:tc>
        <w:tc>
          <w:tcPr>
            <w:tcW w:w="860" w:type="dxa"/>
            <w:vAlign w:val="bottom"/>
            <w:shd w:val="clear" w:color="auto" w:fill="CCEEFF"/>
          </w:tcPr>
          <w:p>
            <w:pPr>
              <w:jc w:val="right"/>
              <w:ind w:right="75"/>
              <w:spacing w:after="0"/>
              <w:rPr>
                <w:sz w:val="20"/>
                <w:szCs w:val="20"/>
                <w:color w:val="auto"/>
              </w:rPr>
            </w:pPr>
            <w:r>
              <w:rPr>
                <w:rFonts w:ascii="Arial" w:cs="Arial" w:eastAsia="Arial" w:hAnsi="Arial"/>
                <w:sz w:val="13"/>
                <w:szCs w:val="13"/>
                <w:color w:val="auto"/>
              </w:rPr>
              <w:t>11-17-2026</w:t>
            </w:r>
          </w:p>
        </w:tc>
        <w:tc>
          <w:tcPr>
            <w:tcW w:w="100" w:type="dxa"/>
            <w:vAlign w:val="bottom"/>
            <w:shd w:val="clear" w:color="auto" w:fill="CCEEFF"/>
          </w:tcPr>
          <w:p>
            <w:pPr>
              <w:spacing w:after="0"/>
              <w:rPr>
                <w:sz w:val="13"/>
                <w:szCs w:val="13"/>
                <w:color w:val="auto"/>
              </w:rPr>
            </w:pPr>
          </w:p>
        </w:tc>
        <w:tc>
          <w:tcPr>
            <w:tcW w:w="960" w:type="dxa"/>
            <w:vAlign w:val="bottom"/>
            <w:tcBorders>
              <w:right w:val="single" w:sz="8" w:color="CCEEFF"/>
            </w:tcBorders>
            <w:shd w:val="clear" w:color="auto" w:fill="CCEEFF"/>
          </w:tcPr>
          <w:p>
            <w:pPr>
              <w:spacing w:after="0"/>
              <w:rPr>
                <w:sz w:val="13"/>
                <w:szCs w:val="13"/>
                <w:color w:val="auto"/>
              </w:rPr>
            </w:pPr>
          </w:p>
        </w:tc>
        <w:tc>
          <w:tcPr>
            <w:tcW w:w="520" w:type="dxa"/>
            <w:vAlign w:val="bottom"/>
            <w:shd w:val="clear" w:color="auto" w:fill="CCEEFF"/>
          </w:tcPr>
          <w:p>
            <w:pPr>
              <w:spacing w:after="0"/>
              <w:rPr>
                <w:sz w:val="13"/>
                <w:szCs w:val="13"/>
                <w:color w:val="auto"/>
              </w:rPr>
            </w:pPr>
          </w:p>
        </w:tc>
        <w:tc>
          <w:tcPr>
            <w:tcW w:w="560" w:type="dxa"/>
            <w:vAlign w:val="bottom"/>
            <w:tcBorders>
              <w:right w:val="single" w:sz="8" w:color="CCEEFF"/>
            </w:tcBorders>
            <w:shd w:val="clear" w:color="auto" w:fill="CCEEFF"/>
          </w:tcPr>
          <w:p>
            <w:pPr>
              <w:spacing w:after="0"/>
              <w:rPr>
                <w:sz w:val="13"/>
                <w:szCs w:val="13"/>
                <w:color w:val="auto"/>
              </w:rPr>
            </w:pPr>
          </w:p>
        </w:tc>
        <w:tc>
          <w:tcPr>
            <w:tcW w:w="7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920" w:type="dxa"/>
            <w:vAlign w:val="bottom"/>
            <w:shd w:val="clear" w:color="auto" w:fill="CCEEFF"/>
          </w:tcPr>
          <w:p>
            <w:pPr>
              <w:spacing w:after="0"/>
              <w:rPr>
                <w:sz w:val="13"/>
                <w:szCs w:val="13"/>
                <w:color w:val="auto"/>
              </w:rPr>
            </w:pPr>
          </w:p>
        </w:tc>
        <w:tc>
          <w:tcPr>
            <w:tcW w:w="4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1800" w:type="dxa"/>
            <w:vAlign w:val="bottom"/>
            <w:shd w:val="clear" w:color="auto" w:fill="CCEEFF"/>
          </w:tcPr>
          <w:p>
            <w:pPr>
              <w:spacing w:after="0"/>
              <w:rPr>
                <w:sz w:val="20"/>
                <w:szCs w:val="20"/>
                <w:color w:val="auto"/>
              </w:rPr>
            </w:pPr>
            <w:r>
              <w:rPr>
                <w:rFonts w:ascii="Arial" w:cs="Arial" w:eastAsia="Arial" w:hAnsi="Arial"/>
                <w:sz w:val="13"/>
                <w:szCs w:val="13"/>
                <w:color w:val="auto"/>
              </w:rPr>
              <w:t>Aaron J. Lehnhardt</w:t>
            </w:r>
          </w:p>
        </w:tc>
        <w:tc>
          <w:tcPr>
            <w:tcW w:w="10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175,000</w:t>
            </w:r>
          </w:p>
        </w:tc>
        <w:tc>
          <w:tcPr>
            <w:tcW w:w="20" w:type="dxa"/>
            <w:vAlign w:val="bottom"/>
            <w:shd w:val="clear" w:color="auto" w:fill="CCEEFF"/>
          </w:tcPr>
          <w:p>
            <w:pPr>
              <w:spacing w:after="0"/>
              <w:rPr>
                <w:sz w:val="13"/>
                <w:szCs w:val="13"/>
                <w:color w:val="auto"/>
              </w:rPr>
            </w:pPr>
          </w:p>
        </w:tc>
        <w:tc>
          <w:tcPr>
            <w:tcW w:w="480" w:type="dxa"/>
            <w:vAlign w:val="bottom"/>
            <w:shd w:val="clear" w:color="auto" w:fill="CCEEFF"/>
          </w:tcPr>
          <w:p>
            <w:pPr>
              <w:ind w:left="20"/>
              <w:spacing w:after="0"/>
              <w:rPr>
                <w:sz w:val="20"/>
                <w:szCs w:val="20"/>
                <w:color w:val="auto"/>
              </w:rPr>
            </w:pPr>
            <w:r>
              <w:rPr>
                <w:rFonts w:ascii="Arial" w:cs="Arial" w:eastAsia="Arial" w:hAnsi="Arial"/>
                <w:sz w:val="13"/>
                <w:szCs w:val="13"/>
                <w:color w:val="auto"/>
                <w:w w:val="92"/>
              </w:rPr>
              <w:t>(1)(2)(8)</w:t>
            </w:r>
          </w:p>
        </w:tc>
        <w:tc>
          <w:tcPr>
            <w:tcW w:w="1360" w:type="dxa"/>
            <w:vAlign w:val="bottom"/>
            <w:gridSpan w:val="2"/>
            <w:shd w:val="clear" w:color="auto" w:fill="CCEEFF"/>
          </w:tcPr>
          <w:p>
            <w:pPr>
              <w:jc w:val="right"/>
              <w:ind w:right="480"/>
              <w:spacing w:after="0"/>
              <w:rPr>
                <w:sz w:val="20"/>
                <w:szCs w:val="20"/>
                <w:color w:val="auto"/>
              </w:rPr>
            </w:pPr>
            <w:r>
              <w:rPr>
                <w:rFonts w:ascii="Arial" w:cs="Arial" w:eastAsia="Arial" w:hAnsi="Arial"/>
                <w:sz w:val="13"/>
                <w:szCs w:val="13"/>
                <w:color w:val="auto"/>
              </w:rPr>
              <w:t>25,000</w:t>
            </w:r>
          </w:p>
        </w:tc>
        <w:tc>
          <w:tcPr>
            <w:tcW w:w="880" w:type="dxa"/>
            <w:vAlign w:val="bottom"/>
            <w:tcBorders>
              <w:right w:val="single" w:sz="8" w:color="CCEEFF"/>
            </w:tcBorders>
            <w:shd w:val="clear" w:color="auto" w:fill="CCEEFF"/>
          </w:tcPr>
          <w:p>
            <w:pPr>
              <w:jc w:val="right"/>
              <w:ind w:right="55"/>
              <w:spacing w:after="0"/>
              <w:rPr>
                <w:sz w:val="20"/>
                <w:szCs w:val="20"/>
                <w:color w:val="auto"/>
              </w:rPr>
            </w:pPr>
            <w:r>
              <w:rPr>
                <w:rFonts w:ascii="Arial" w:cs="Arial" w:eastAsia="Arial" w:hAnsi="Arial"/>
                <w:sz w:val="13"/>
                <w:szCs w:val="13"/>
                <w:color w:val="auto"/>
              </w:rPr>
              <w:t>-</w:t>
            </w:r>
          </w:p>
        </w:tc>
        <w:tc>
          <w:tcPr>
            <w:tcW w:w="480" w:type="dxa"/>
            <w:vAlign w:val="bottom"/>
            <w:shd w:val="clear" w:color="auto" w:fill="CCEEFF"/>
          </w:tcPr>
          <w:p>
            <w:pPr>
              <w:spacing w:after="0"/>
              <w:rPr>
                <w:sz w:val="13"/>
                <w:szCs w:val="13"/>
                <w:color w:val="auto"/>
              </w:rPr>
            </w:pPr>
          </w:p>
        </w:tc>
        <w:tc>
          <w:tcPr>
            <w:tcW w:w="3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$1.26</w:t>
            </w:r>
          </w:p>
        </w:tc>
        <w:tc>
          <w:tcPr>
            <w:tcW w:w="120" w:type="dxa"/>
            <w:vAlign w:val="bottom"/>
            <w:shd w:val="clear" w:color="auto" w:fill="CCEEFF"/>
          </w:tcPr>
          <w:p>
            <w:pPr>
              <w:spacing w:after="0"/>
              <w:rPr>
                <w:sz w:val="13"/>
                <w:szCs w:val="13"/>
                <w:color w:val="auto"/>
              </w:rPr>
            </w:pPr>
          </w:p>
        </w:tc>
        <w:tc>
          <w:tcPr>
            <w:tcW w:w="860" w:type="dxa"/>
            <w:vAlign w:val="bottom"/>
            <w:shd w:val="clear" w:color="auto" w:fill="CCEEFF"/>
          </w:tcPr>
          <w:p>
            <w:pPr>
              <w:jc w:val="right"/>
              <w:ind w:right="75"/>
              <w:spacing w:after="0"/>
              <w:rPr>
                <w:sz w:val="20"/>
                <w:szCs w:val="20"/>
                <w:color w:val="auto"/>
              </w:rPr>
            </w:pPr>
            <w:r>
              <w:rPr>
                <w:rFonts w:ascii="Arial" w:cs="Arial" w:eastAsia="Arial" w:hAnsi="Arial"/>
                <w:sz w:val="13"/>
                <w:szCs w:val="13"/>
                <w:color w:val="auto"/>
              </w:rPr>
              <w:t>04-21-2028</w:t>
            </w:r>
          </w:p>
        </w:tc>
        <w:tc>
          <w:tcPr>
            <w:tcW w:w="100" w:type="dxa"/>
            <w:vAlign w:val="bottom"/>
            <w:shd w:val="clear" w:color="auto" w:fill="CCEEFF"/>
          </w:tcPr>
          <w:p>
            <w:pPr>
              <w:spacing w:after="0"/>
              <w:rPr>
                <w:sz w:val="13"/>
                <w:szCs w:val="13"/>
                <w:color w:val="auto"/>
              </w:rPr>
            </w:pPr>
          </w:p>
        </w:tc>
        <w:tc>
          <w:tcPr>
            <w:tcW w:w="960" w:type="dxa"/>
            <w:vAlign w:val="bottom"/>
            <w:tcBorders>
              <w:right w:val="single" w:sz="8" w:color="CCEEFF"/>
            </w:tcBorders>
            <w:shd w:val="clear" w:color="auto" w:fill="CCEEFF"/>
          </w:tcPr>
          <w:p>
            <w:pPr>
              <w:jc w:val="right"/>
              <w:ind w:right="35"/>
              <w:spacing w:after="0"/>
              <w:rPr>
                <w:sz w:val="20"/>
                <w:szCs w:val="20"/>
                <w:color w:val="auto"/>
              </w:rPr>
            </w:pPr>
            <w:r>
              <w:rPr>
                <w:rFonts w:ascii="Arial" w:cs="Arial" w:eastAsia="Arial" w:hAnsi="Arial"/>
                <w:sz w:val="13"/>
                <w:szCs w:val="13"/>
                <w:color w:val="auto"/>
              </w:rPr>
              <w:t>25,000</w:t>
            </w:r>
          </w:p>
        </w:tc>
        <w:tc>
          <w:tcPr>
            <w:tcW w:w="520" w:type="dxa"/>
            <w:vAlign w:val="bottom"/>
            <w:shd w:val="clear" w:color="auto" w:fill="CCEEFF"/>
          </w:tcPr>
          <w:p>
            <w:pPr>
              <w:spacing w:after="0"/>
              <w:rPr>
                <w:sz w:val="20"/>
                <w:szCs w:val="20"/>
                <w:color w:val="auto"/>
              </w:rPr>
            </w:pPr>
            <w:r>
              <w:rPr>
                <w:rFonts w:ascii="Arial" w:cs="Arial" w:eastAsia="Arial" w:hAnsi="Arial"/>
                <w:sz w:val="13"/>
                <w:szCs w:val="13"/>
                <w:color w:val="auto"/>
              </w:rPr>
              <w:t>$</w:t>
            </w:r>
          </w:p>
        </w:tc>
        <w:tc>
          <w:tcPr>
            <w:tcW w:w="560" w:type="dxa"/>
            <w:vAlign w:val="bottom"/>
            <w:tcBorders>
              <w:right w:val="single" w:sz="8" w:color="CCEEFF"/>
            </w:tcBorders>
            <w:shd w:val="clear" w:color="auto" w:fill="CCEEFF"/>
          </w:tcPr>
          <w:p>
            <w:pPr>
              <w:jc w:val="right"/>
              <w:ind w:right="35"/>
              <w:spacing w:after="0"/>
              <w:rPr>
                <w:sz w:val="20"/>
                <w:szCs w:val="20"/>
                <w:color w:val="auto"/>
              </w:rPr>
            </w:pPr>
            <w:r>
              <w:rPr>
                <w:rFonts w:ascii="Arial" w:cs="Arial" w:eastAsia="Arial" w:hAnsi="Arial"/>
                <w:sz w:val="13"/>
                <w:szCs w:val="13"/>
                <w:color w:val="auto"/>
              </w:rPr>
              <w:t>15,500</w:t>
            </w:r>
          </w:p>
        </w:tc>
        <w:tc>
          <w:tcPr>
            <w:tcW w:w="760" w:type="dxa"/>
            <w:vAlign w:val="bottom"/>
            <w:shd w:val="clear" w:color="auto" w:fill="CCEEFF"/>
          </w:tcPr>
          <w:p>
            <w:pPr>
              <w:ind w:left="720"/>
              <w:spacing w:after="0"/>
              <w:rPr>
                <w:sz w:val="20"/>
                <w:szCs w:val="20"/>
                <w:color w:val="auto"/>
              </w:rPr>
            </w:pPr>
            <w:r>
              <w:rPr>
                <w:rFonts w:ascii="Arial" w:cs="Arial" w:eastAsia="Arial" w:hAnsi="Arial"/>
                <w:sz w:val="8"/>
                <w:szCs w:val="8"/>
                <w:color w:val="auto"/>
                <w:w w:val="73"/>
              </w:rPr>
              <w:t>-</w:t>
            </w:r>
          </w:p>
        </w:tc>
        <w:tc>
          <w:tcPr>
            <w:tcW w:w="100" w:type="dxa"/>
            <w:vAlign w:val="bottom"/>
            <w:shd w:val="clear" w:color="auto" w:fill="CCEEFF"/>
          </w:tcPr>
          <w:p>
            <w:pPr>
              <w:spacing w:after="0"/>
              <w:rPr>
                <w:sz w:val="13"/>
                <w:szCs w:val="13"/>
                <w:color w:val="auto"/>
              </w:rPr>
            </w:pPr>
          </w:p>
        </w:tc>
        <w:tc>
          <w:tcPr>
            <w:tcW w:w="920" w:type="dxa"/>
            <w:vAlign w:val="bottom"/>
            <w:shd w:val="clear" w:color="auto" w:fill="CCEEFF"/>
          </w:tcPr>
          <w:p>
            <w:pPr>
              <w:spacing w:after="0"/>
              <w:rPr>
                <w:sz w:val="20"/>
                <w:szCs w:val="20"/>
                <w:color w:val="auto"/>
              </w:rPr>
            </w:pPr>
            <w:r>
              <w:rPr>
                <w:rFonts w:ascii="Arial" w:cs="Arial" w:eastAsia="Arial" w:hAnsi="Arial"/>
                <w:sz w:val="13"/>
                <w:szCs w:val="13"/>
                <w:color w:val="auto"/>
              </w:rPr>
              <w:t>$</w:t>
            </w:r>
          </w:p>
        </w:tc>
        <w:tc>
          <w:tcPr>
            <w:tcW w:w="40" w:type="dxa"/>
            <w:vAlign w:val="bottom"/>
            <w:shd w:val="clear" w:color="auto" w:fill="CCEEFF"/>
          </w:tcPr>
          <w:p>
            <w:pPr>
              <w:jc w:val="right"/>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r>
        <w:trPr>
          <w:trHeight w:val="156"/>
        </w:trPr>
        <w:tc>
          <w:tcPr>
            <w:tcW w:w="1800" w:type="dxa"/>
            <w:vAlign w:val="bottom"/>
            <w:shd w:val="clear" w:color="auto" w:fill="CCEEFF"/>
          </w:tcPr>
          <w:p>
            <w:pPr>
              <w:spacing w:after="0"/>
              <w:rPr>
                <w:sz w:val="20"/>
                <w:szCs w:val="20"/>
                <w:color w:val="auto"/>
              </w:rPr>
            </w:pPr>
            <w:r>
              <w:rPr>
                <w:rFonts w:ascii="Arial" w:cs="Arial" w:eastAsia="Arial" w:hAnsi="Arial"/>
                <w:sz w:val="13"/>
                <w:szCs w:val="13"/>
                <w:color w:val="auto"/>
              </w:rPr>
              <w:t>Aaron J. Lehnhardt</w:t>
            </w:r>
          </w:p>
        </w:tc>
        <w:tc>
          <w:tcPr>
            <w:tcW w:w="10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260,416</w:t>
            </w:r>
          </w:p>
        </w:tc>
        <w:tc>
          <w:tcPr>
            <w:tcW w:w="20" w:type="dxa"/>
            <w:vAlign w:val="bottom"/>
            <w:shd w:val="clear" w:color="auto" w:fill="CCEEFF"/>
          </w:tcPr>
          <w:p>
            <w:pPr>
              <w:spacing w:after="0"/>
              <w:rPr>
                <w:sz w:val="13"/>
                <w:szCs w:val="13"/>
                <w:color w:val="auto"/>
              </w:rPr>
            </w:pPr>
          </w:p>
        </w:tc>
        <w:tc>
          <w:tcPr>
            <w:tcW w:w="480" w:type="dxa"/>
            <w:vAlign w:val="bottom"/>
            <w:shd w:val="clear" w:color="auto" w:fill="CCEEFF"/>
          </w:tcPr>
          <w:p>
            <w:pPr>
              <w:ind w:left="20"/>
              <w:spacing w:after="0"/>
              <w:rPr>
                <w:sz w:val="20"/>
                <w:szCs w:val="20"/>
                <w:color w:val="auto"/>
              </w:rPr>
            </w:pPr>
            <w:r>
              <w:rPr>
                <w:rFonts w:ascii="Arial" w:cs="Arial" w:eastAsia="Arial" w:hAnsi="Arial"/>
                <w:sz w:val="13"/>
                <w:szCs w:val="13"/>
                <w:color w:val="auto"/>
              </w:rPr>
              <w:t>(3)(7)</w:t>
            </w:r>
          </w:p>
        </w:tc>
        <w:tc>
          <w:tcPr>
            <w:tcW w:w="1360" w:type="dxa"/>
            <w:vAlign w:val="bottom"/>
            <w:gridSpan w:val="2"/>
            <w:shd w:val="clear" w:color="auto" w:fill="CCEEFF"/>
          </w:tcPr>
          <w:p>
            <w:pPr>
              <w:jc w:val="right"/>
              <w:ind w:right="480"/>
              <w:spacing w:after="0"/>
              <w:rPr>
                <w:sz w:val="20"/>
                <w:szCs w:val="20"/>
                <w:color w:val="auto"/>
              </w:rPr>
            </w:pPr>
            <w:r>
              <w:rPr>
                <w:rFonts w:ascii="Arial" w:cs="Arial" w:eastAsia="Arial" w:hAnsi="Arial"/>
                <w:sz w:val="13"/>
                <w:szCs w:val="13"/>
                <w:color w:val="auto"/>
              </w:rPr>
              <w:t>239,584</w:t>
            </w:r>
          </w:p>
        </w:tc>
        <w:tc>
          <w:tcPr>
            <w:tcW w:w="880" w:type="dxa"/>
            <w:vAlign w:val="bottom"/>
            <w:tcBorders>
              <w:right w:val="single" w:sz="8" w:color="CCEEFF"/>
            </w:tcBorders>
            <w:shd w:val="clear" w:color="auto" w:fill="CCEEFF"/>
          </w:tcPr>
          <w:p>
            <w:pPr>
              <w:jc w:val="right"/>
              <w:ind w:right="55"/>
              <w:spacing w:after="0"/>
              <w:rPr>
                <w:sz w:val="20"/>
                <w:szCs w:val="20"/>
                <w:color w:val="auto"/>
              </w:rPr>
            </w:pPr>
            <w:r>
              <w:rPr>
                <w:rFonts w:ascii="Arial" w:cs="Arial" w:eastAsia="Arial" w:hAnsi="Arial"/>
                <w:sz w:val="13"/>
                <w:szCs w:val="13"/>
                <w:color w:val="auto"/>
              </w:rPr>
              <w:t>-</w:t>
            </w:r>
          </w:p>
        </w:tc>
        <w:tc>
          <w:tcPr>
            <w:tcW w:w="480" w:type="dxa"/>
            <w:vAlign w:val="bottom"/>
            <w:shd w:val="clear" w:color="auto" w:fill="CCEEFF"/>
          </w:tcPr>
          <w:p>
            <w:pPr>
              <w:spacing w:after="0"/>
              <w:rPr>
                <w:sz w:val="13"/>
                <w:szCs w:val="13"/>
                <w:color w:val="auto"/>
              </w:rPr>
            </w:pPr>
          </w:p>
        </w:tc>
        <w:tc>
          <w:tcPr>
            <w:tcW w:w="3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$1.24</w:t>
            </w:r>
          </w:p>
        </w:tc>
        <w:tc>
          <w:tcPr>
            <w:tcW w:w="120" w:type="dxa"/>
            <w:vAlign w:val="bottom"/>
            <w:shd w:val="clear" w:color="auto" w:fill="CCEEFF"/>
          </w:tcPr>
          <w:p>
            <w:pPr>
              <w:spacing w:after="0"/>
              <w:rPr>
                <w:sz w:val="13"/>
                <w:szCs w:val="13"/>
                <w:color w:val="auto"/>
              </w:rPr>
            </w:pPr>
          </w:p>
        </w:tc>
        <w:tc>
          <w:tcPr>
            <w:tcW w:w="860" w:type="dxa"/>
            <w:vAlign w:val="bottom"/>
            <w:shd w:val="clear" w:color="auto" w:fill="CCEEFF"/>
          </w:tcPr>
          <w:p>
            <w:pPr>
              <w:jc w:val="right"/>
              <w:ind w:right="75"/>
              <w:spacing w:after="0"/>
              <w:rPr>
                <w:sz w:val="20"/>
                <w:szCs w:val="20"/>
                <w:color w:val="auto"/>
              </w:rPr>
            </w:pPr>
            <w:r>
              <w:rPr>
                <w:rFonts w:ascii="Arial" w:cs="Arial" w:eastAsia="Arial" w:hAnsi="Arial"/>
                <w:sz w:val="13"/>
                <w:szCs w:val="13"/>
                <w:color w:val="auto"/>
              </w:rPr>
              <w:t>05-09-2029</w:t>
            </w:r>
          </w:p>
        </w:tc>
        <w:tc>
          <w:tcPr>
            <w:tcW w:w="100" w:type="dxa"/>
            <w:vAlign w:val="bottom"/>
            <w:shd w:val="clear" w:color="auto" w:fill="CCEEFF"/>
          </w:tcPr>
          <w:p>
            <w:pPr>
              <w:spacing w:after="0"/>
              <w:rPr>
                <w:sz w:val="13"/>
                <w:szCs w:val="13"/>
                <w:color w:val="auto"/>
              </w:rPr>
            </w:pPr>
          </w:p>
        </w:tc>
        <w:tc>
          <w:tcPr>
            <w:tcW w:w="960" w:type="dxa"/>
            <w:vAlign w:val="bottom"/>
            <w:tcBorders>
              <w:right w:val="single" w:sz="8" w:color="CCEEFF"/>
            </w:tcBorders>
            <w:shd w:val="clear" w:color="auto" w:fill="CCEEFF"/>
          </w:tcPr>
          <w:p>
            <w:pPr>
              <w:jc w:val="right"/>
              <w:ind w:right="35"/>
              <w:spacing w:after="0"/>
              <w:rPr>
                <w:sz w:val="20"/>
                <w:szCs w:val="20"/>
                <w:color w:val="auto"/>
              </w:rPr>
            </w:pPr>
            <w:r>
              <w:rPr>
                <w:rFonts w:ascii="Arial" w:cs="Arial" w:eastAsia="Arial" w:hAnsi="Arial"/>
                <w:sz w:val="13"/>
                <w:szCs w:val="13"/>
                <w:color w:val="auto"/>
              </w:rPr>
              <w:t>239,584</w:t>
            </w:r>
          </w:p>
        </w:tc>
        <w:tc>
          <w:tcPr>
            <w:tcW w:w="520" w:type="dxa"/>
            <w:vAlign w:val="bottom"/>
            <w:shd w:val="clear" w:color="auto" w:fill="CCEEFF"/>
          </w:tcPr>
          <w:p>
            <w:pPr>
              <w:spacing w:after="0"/>
              <w:rPr>
                <w:sz w:val="20"/>
                <w:szCs w:val="20"/>
                <w:color w:val="auto"/>
              </w:rPr>
            </w:pPr>
            <w:r>
              <w:rPr>
                <w:rFonts w:ascii="Arial" w:cs="Arial" w:eastAsia="Arial" w:hAnsi="Arial"/>
                <w:sz w:val="13"/>
                <w:szCs w:val="13"/>
                <w:color w:val="auto"/>
              </w:rPr>
              <w:t>$</w:t>
            </w:r>
          </w:p>
        </w:tc>
        <w:tc>
          <w:tcPr>
            <w:tcW w:w="560" w:type="dxa"/>
            <w:vAlign w:val="bottom"/>
            <w:tcBorders>
              <w:right w:val="single" w:sz="8" w:color="CCEEFF"/>
            </w:tcBorders>
            <w:shd w:val="clear" w:color="auto" w:fill="CCEEFF"/>
          </w:tcPr>
          <w:p>
            <w:pPr>
              <w:jc w:val="right"/>
              <w:ind w:right="35"/>
              <w:spacing w:after="0"/>
              <w:rPr>
                <w:sz w:val="20"/>
                <w:szCs w:val="20"/>
                <w:color w:val="auto"/>
              </w:rPr>
            </w:pPr>
            <w:r>
              <w:rPr>
                <w:rFonts w:ascii="Arial" w:cs="Arial" w:eastAsia="Arial" w:hAnsi="Arial"/>
                <w:sz w:val="13"/>
                <w:szCs w:val="13"/>
                <w:color w:val="auto"/>
                <w:w w:val="93"/>
              </w:rPr>
              <w:t>105,417</w:t>
            </w:r>
          </w:p>
        </w:tc>
        <w:tc>
          <w:tcPr>
            <w:tcW w:w="760" w:type="dxa"/>
            <w:vAlign w:val="bottom"/>
            <w:shd w:val="clear" w:color="auto" w:fill="CCEEFF"/>
          </w:tcPr>
          <w:p>
            <w:pPr>
              <w:ind w:left="720"/>
              <w:spacing w:after="0"/>
              <w:rPr>
                <w:sz w:val="20"/>
                <w:szCs w:val="20"/>
                <w:color w:val="auto"/>
              </w:rPr>
            </w:pPr>
            <w:r>
              <w:rPr>
                <w:rFonts w:ascii="Arial" w:cs="Arial" w:eastAsia="Arial" w:hAnsi="Arial"/>
                <w:sz w:val="8"/>
                <w:szCs w:val="8"/>
                <w:color w:val="auto"/>
                <w:w w:val="73"/>
              </w:rPr>
              <w:t>-</w:t>
            </w:r>
          </w:p>
        </w:tc>
        <w:tc>
          <w:tcPr>
            <w:tcW w:w="100" w:type="dxa"/>
            <w:vAlign w:val="bottom"/>
            <w:shd w:val="clear" w:color="auto" w:fill="CCEEFF"/>
          </w:tcPr>
          <w:p>
            <w:pPr>
              <w:spacing w:after="0"/>
              <w:rPr>
                <w:sz w:val="13"/>
                <w:szCs w:val="13"/>
                <w:color w:val="auto"/>
              </w:rPr>
            </w:pPr>
          </w:p>
        </w:tc>
        <w:tc>
          <w:tcPr>
            <w:tcW w:w="920" w:type="dxa"/>
            <w:vAlign w:val="bottom"/>
            <w:shd w:val="clear" w:color="auto" w:fill="CCEEFF"/>
          </w:tcPr>
          <w:p>
            <w:pPr>
              <w:spacing w:after="0"/>
              <w:rPr>
                <w:sz w:val="20"/>
                <w:szCs w:val="20"/>
                <w:color w:val="auto"/>
              </w:rPr>
            </w:pPr>
            <w:r>
              <w:rPr>
                <w:rFonts w:ascii="Arial" w:cs="Arial" w:eastAsia="Arial" w:hAnsi="Arial"/>
                <w:sz w:val="13"/>
                <w:szCs w:val="13"/>
                <w:color w:val="auto"/>
              </w:rPr>
              <w:t>$</w:t>
            </w:r>
          </w:p>
        </w:tc>
        <w:tc>
          <w:tcPr>
            <w:tcW w:w="40" w:type="dxa"/>
            <w:vAlign w:val="bottom"/>
            <w:shd w:val="clear" w:color="auto" w:fill="CCEEFF"/>
          </w:tcPr>
          <w:p>
            <w:pPr>
              <w:jc w:val="right"/>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r>
        <w:trPr>
          <w:trHeight w:val="156"/>
        </w:trPr>
        <w:tc>
          <w:tcPr>
            <w:tcW w:w="1800" w:type="dxa"/>
            <w:vAlign w:val="bottom"/>
            <w:shd w:val="clear" w:color="auto" w:fill="CCEEFF"/>
          </w:tcPr>
          <w:p>
            <w:pPr>
              <w:spacing w:after="0"/>
              <w:rPr>
                <w:sz w:val="20"/>
                <w:szCs w:val="20"/>
                <w:color w:val="auto"/>
              </w:rPr>
            </w:pPr>
            <w:r>
              <w:rPr>
                <w:rFonts w:ascii="Arial" w:cs="Arial" w:eastAsia="Arial" w:hAnsi="Arial"/>
                <w:sz w:val="13"/>
                <w:szCs w:val="13"/>
                <w:color w:val="auto"/>
              </w:rPr>
              <w:t>Aaron J. Lehnhardt</w:t>
            </w:r>
          </w:p>
        </w:tc>
        <w:tc>
          <w:tcPr>
            <w:tcW w:w="10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33,333</w:t>
            </w:r>
          </w:p>
        </w:tc>
        <w:tc>
          <w:tcPr>
            <w:tcW w:w="20" w:type="dxa"/>
            <w:vAlign w:val="bottom"/>
            <w:shd w:val="clear" w:color="auto" w:fill="CCEEFF"/>
          </w:tcPr>
          <w:p>
            <w:pPr>
              <w:spacing w:after="0"/>
              <w:rPr>
                <w:sz w:val="13"/>
                <w:szCs w:val="13"/>
                <w:color w:val="auto"/>
              </w:rPr>
            </w:pPr>
          </w:p>
        </w:tc>
        <w:tc>
          <w:tcPr>
            <w:tcW w:w="480" w:type="dxa"/>
            <w:vAlign w:val="bottom"/>
            <w:shd w:val="clear" w:color="auto" w:fill="CCEEFF"/>
          </w:tcPr>
          <w:p>
            <w:pPr>
              <w:ind w:left="20"/>
              <w:spacing w:after="0"/>
              <w:rPr>
                <w:sz w:val="20"/>
                <w:szCs w:val="20"/>
                <w:color w:val="auto"/>
              </w:rPr>
            </w:pPr>
            <w:r>
              <w:rPr>
                <w:rFonts w:ascii="Arial" w:cs="Arial" w:eastAsia="Arial" w:hAnsi="Arial"/>
                <w:sz w:val="13"/>
                <w:szCs w:val="13"/>
                <w:color w:val="auto"/>
                <w:w w:val="92"/>
              </w:rPr>
              <w:t>(1)(4)(7)</w:t>
            </w:r>
          </w:p>
        </w:tc>
        <w:tc>
          <w:tcPr>
            <w:tcW w:w="8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66,667</w:t>
            </w:r>
          </w:p>
        </w:tc>
        <w:tc>
          <w:tcPr>
            <w:tcW w:w="480" w:type="dxa"/>
            <w:vAlign w:val="bottom"/>
            <w:shd w:val="clear" w:color="auto" w:fill="CCEEFF"/>
          </w:tcPr>
          <w:p>
            <w:pPr>
              <w:spacing w:after="0"/>
              <w:rPr>
                <w:sz w:val="13"/>
                <w:szCs w:val="13"/>
                <w:color w:val="auto"/>
              </w:rPr>
            </w:pPr>
          </w:p>
        </w:tc>
        <w:tc>
          <w:tcPr>
            <w:tcW w:w="880" w:type="dxa"/>
            <w:vAlign w:val="bottom"/>
            <w:tcBorders>
              <w:right w:val="single" w:sz="8" w:color="CCEEFF"/>
            </w:tcBorders>
            <w:shd w:val="clear" w:color="auto" w:fill="CCEEFF"/>
          </w:tcPr>
          <w:p>
            <w:pPr>
              <w:jc w:val="right"/>
              <w:ind w:right="55"/>
              <w:spacing w:after="0"/>
              <w:rPr>
                <w:sz w:val="20"/>
                <w:szCs w:val="20"/>
                <w:color w:val="auto"/>
              </w:rPr>
            </w:pPr>
            <w:r>
              <w:rPr>
                <w:rFonts w:ascii="Arial" w:cs="Arial" w:eastAsia="Arial" w:hAnsi="Arial"/>
                <w:sz w:val="13"/>
                <w:szCs w:val="13"/>
                <w:color w:val="auto"/>
              </w:rPr>
              <w:t>-</w:t>
            </w:r>
          </w:p>
        </w:tc>
        <w:tc>
          <w:tcPr>
            <w:tcW w:w="480" w:type="dxa"/>
            <w:vAlign w:val="bottom"/>
            <w:shd w:val="clear" w:color="auto" w:fill="CCEEFF"/>
          </w:tcPr>
          <w:p>
            <w:pPr>
              <w:spacing w:after="0"/>
              <w:rPr>
                <w:sz w:val="13"/>
                <w:szCs w:val="13"/>
                <w:color w:val="auto"/>
              </w:rPr>
            </w:pPr>
          </w:p>
        </w:tc>
        <w:tc>
          <w:tcPr>
            <w:tcW w:w="3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$0.91</w:t>
            </w:r>
          </w:p>
        </w:tc>
        <w:tc>
          <w:tcPr>
            <w:tcW w:w="120" w:type="dxa"/>
            <w:vAlign w:val="bottom"/>
            <w:shd w:val="clear" w:color="auto" w:fill="CCEEFF"/>
          </w:tcPr>
          <w:p>
            <w:pPr>
              <w:spacing w:after="0"/>
              <w:rPr>
                <w:sz w:val="13"/>
                <w:szCs w:val="13"/>
                <w:color w:val="auto"/>
              </w:rPr>
            </w:pPr>
          </w:p>
        </w:tc>
        <w:tc>
          <w:tcPr>
            <w:tcW w:w="860" w:type="dxa"/>
            <w:vAlign w:val="bottom"/>
            <w:shd w:val="clear" w:color="auto" w:fill="CCEEFF"/>
          </w:tcPr>
          <w:p>
            <w:pPr>
              <w:jc w:val="right"/>
              <w:ind w:right="75"/>
              <w:spacing w:after="0"/>
              <w:rPr>
                <w:sz w:val="20"/>
                <w:szCs w:val="20"/>
                <w:color w:val="auto"/>
              </w:rPr>
            </w:pPr>
            <w:r>
              <w:rPr>
                <w:rFonts w:ascii="Arial" w:cs="Arial" w:eastAsia="Arial" w:hAnsi="Arial"/>
                <w:sz w:val="13"/>
                <w:szCs w:val="13"/>
                <w:color w:val="auto"/>
              </w:rPr>
              <w:t>02-26-2030</w:t>
            </w:r>
          </w:p>
        </w:tc>
        <w:tc>
          <w:tcPr>
            <w:tcW w:w="100" w:type="dxa"/>
            <w:vAlign w:val="bottom"/>
            <w:shd w:val="clear" w:color="auto" w:fill="CCEEFF"/>
          </w:tcPr>
          <w:p>
            <w:pPr>
              <w:spacing w:after="0"/>
              <w:rPr>
                <w:sz w:val="13"/>
                <w:szCs w:val="13"/>
                <w:color w:val="auto"/>
              </w:rPr>
            </w:pPr>
          </w:p>
        </w:tc>
        <w:tc>
          <w:tcPr>
            <w:tcW w:w="960" w:type="dxa"/>
            <w:vAlign w:val="bottom"/>
            <w:tcBorders>
              <w:right w:val="single" w:sz="8" w:color="CCEEFF"/>
            </w:tcBorders>
            <w:shd w:val="clear" w:color="auto" w:fill="CCEEFF"/>
          </w:tcPr>
          <w:p>
            <w:pPr>
              <w:jc w:val="right"/>
              <w:ind w:right="35"/>
              <w:spacing w:after="0"/>
              <w:rPr>
                <w:sz w:val="20"/>
                <w:szCs w:val="20"/>
                <w:color w:val="auto"/>
              </w:rPr>
            </w:pPr>
            <w:r>
              <w:rPr>
                <w:rFonts w:ascii="Arial" w:cs="Arial" w:eastAsia="Arial" w:hAnsi="Arial"/>
                <w:sz w:val="13"/>
                <w:szCs w:val="13"/>
                <w:color w:val="auto"/>
              </w:rPr>
              <w:t>66,667</w:t>
            </w:r>
          </w:p>
        </w:tc>
        <w:tc>
          <w:tcPr>
            <w:tcW w:w="520" w:type="dxa"/>
            <w:vAlign w:val="bottom"/>
            <w:shd w:val="clear" w:color="auto" w:fill="CCEEFF"/>
          </w:tcPr>
          <w:p>
            <w:pPr>
              <w:spacing w:after="0"/>
              <w:rPr>
                <w:sz w:val="20"/>
                <w:szCs w:val="20"/>
                <w:color w:val="auto"/>
              </w:rPr>
            </w:pPr>
            <w:r>
              <w:rPr>
                <w:rFonts w:ascii="Arial" w:cs="Arial" w:eastAsia="Arial" w:hAnsi="Arial"/>
                <w:sz w:val="13"/>
                <w:szCs w:val="13"/>
                <w:color w:val="auto"/>
              </w:rPr>
              <w:t>$</w:t>
            </w:r>
          </w:p>
        </w:tc>
        <w:tc>
          <w:tcPr>
            <w:tcW w:w="560" w:type="dxa"/>
            <w:vAlign w:val="bottom"/>
            <w:tcBorders>
              <w:right w:val="single" w:sz="8" w:color="CCEEFF"/>
            </w:tcBorders>
            <w:shd w:val="clear" w:color="auto" w:fill="CCEEFF"/>
          </w:tcPr>
          <w:p>
            <w:pPr>
              <w:jc w:val="right"/>
              <w:ind w:right="35"/>
              <w:spacing w:after="0"/>
              <w:rPr>
                <w:sz w:val="20"/>
                <w:szCs w:val="20"/>
                <w:color w:val="auto"/>
              </w:rPr>
            </w:pPr>
            <w:r>
              <w:rPr>
                <w:rFonts w:ascii="Arial" w:cs="Arial" w:eastAsia="Arial" w:hAnsi="Arial"/>
                <w:sz w:val="13"/>
                <w:szCs w:val="13"/>
                <w:color w:val="auto"/>
              </w:rPr>
              <w:t>15,333</w:t>
            </w:r>
          </w:p>
        </w:tc>
        <w:tc>
          <w:tcPr>
            <w:tcW w:w="760" w:type="dxa"/>
            <w:vAlign w:val="bottom"/>
            <w:shd w:val="clear" w:color="auto" w:fill="CCEEFF"/>
          </w:tcPr>
          <w:p>
            <w:pPr>
              <w:ind w:left="720"/>
              <w:spacing w:after="0"/>
              <w:rPr>
                <w:sz w:val="20"/>
                <w:szCs w:val="20"/>
                <w:color w:val="auto"/>
              </w:rPr>
            </w:pPr>
            <w:r>
              <w:rPr>
                <w:rFonts w:ascii="Arial" w:cs="Arial" w:eastAsia="Arial" w:hAnsi="Arial"/>
                <w:sz w:val="8"/>
                <w:szCs w:val="8"/>
                <w:color w:val="auto"/>
                <w:w w:val="73"/>
              </w:rPr>
              <w:t>-</w:t>
            </w:r>
          </w:p>
        </w:tc>
        <w:tc>
          <w:tcPr>
            <w:tcW w:w="100" w:type="dxa"/>
            <w:vAlign w:val="bottom"/>
            <w:shd w:val="clear" w:color="auto" w:fill="CCEEFF"/>
          </w:tcPr>
          <w:p>
            <w:pPr>
              <w:spacing w:after="0"/>
              <w:rPr>
                <w:sz w:val="13"/>
                <w:szCs w:val="13"/>
                <w:color w:val="auto"/>
              </w:rPr>
            </w:pPr>
          </w:p>
        </w:tc>
        <w:tc>
          <w:tcPr>
            <w:tcW w:w="920" w:type="dxa"/>
            <w:vAlign w:val="bottom"/>
            <w:shd w:val="clear" w:color="auto" w:fill="CCEEFF"/>
          </w:tcPr>
          <w:p>
            <w:pPr>
              <w:spacing w:after="0"/>
              <w:rPr>
                <w:sz w:val="20"/>
                <w:szCs w:val="20"/>
                <w:color w:val="auto"/>
              </w:rPr>
            </w:pPr>
            <w:r>
              <w:rPr>
                <w:rFonts w:ascii="Arial" w:cs="Arial" w:eastAsia="Arial" w:hAnsi="Arial"/>
                <w:sz w:val="13"/>
                <w:szCs w:val="13"/>
                <w:color w:val="auto"/>
              </w:rPr>
              <w:t>$</w:t>
            </w:r>
          </w:p>
        </w:tc>
        <w:tc>
          <w:tcPr>
            <w:tcW w:w="40" w:type="dxa"/>
            <w:vAlign w:val="bottom"/>
            <w:shd w:val="clear" w:color="auto" w:fill="CCEEFF"/>
          </w:tcPr>
          <w:p>
            <w:pPr>
              <w:jc w:val="right"/>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r>
        <w:trPr>
          <w:trHeight w:val="156"/>
        </w:trPr>
        <w:tc>
          <w:tcPr>
            <w:tcW w:w="1800" w:type="dxa"/>
            <w:vAlign w:val="bottom"/>
            <w:shd w:val="clear" w:color="auto" w:fill="CCEEFF"/>
          </w:tcPr>
          <w:p>
            <w:pPr>
              <w:spacing w:after="0"/>
              <w:rPr>
                <w:sz w:val="20"/>
                <w:szCs w:val="20"/>
                <w:color w:val="auto"/>
              </w:rPr>
            </w:pPr>
            <w:r>
              <w:rPr>
                <w:rFonts w:ascii="Arial" w:cs="Arial" w:eastAsia="Arial" w:hAnsi="Arial"/>
                <w:sz w:val="13"/>
                <w:szCs w:val="13"/>
                <w:color w:val="auto"/>
              </w:rPr>
              <w:t>Aaron J. Lehnhardt</w:t>
            </w:r>
          </w:p>
        </w:tc>
        <w:tc>
          <w:tcPr>
            <w:tcW w:w="10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8,750</w:t>
            </w:r>
          </w:p>
        </w:tc>
        <w:tc>
          <w:tcPr>
            <w:tcW w:w="20" w:type="dxa"/>
            <w:vAlign w:val="bottom"/>
            <w:shd w:val="clear" w:color="auto" w:fill="CCEEFF"/>
          </w:tcPr>
          <w:p>
            <w:pPr>
              <w:spacing w:after="0"/>
              <w:rPr>
                <w:sz w:val="13"/>
                <w:szCs w:val="13"/>
                <w:color w:val="auto"/>
              </w:rPr>
            </w:pPr>
          </w:p>
        </w:tc>
        <w:tc>
          <w:tcPr>
            <w:tcW w:w="480" w:type="dxa"/>
            <w:vAlign w:val="bottom"/>
            <w:shd w:val="clear" w:color="auto" w:fill="CCEEFF"/>
          </w:tcPr>
          <w:p>
            <w:pPr>
              <w:ind w:left="20"/>
              <w:spacing w:after="0"/>
              <w:rPr>
                <w:sz w:val="20"/>
                <w:szCs w:val="20"/>
                <w:color w:val="auto"/>
              </w:rPr>
            </w:pPr>
            <w:r>
              <w:rPr>
                <w:rFonts w:ascii="Arial" w:cs="Arial" w:eastAsia="Arial" w:hAnsi="Arial"/>
                <w:sz w:val="13"/>
                <w:szCs w:val="13"/>
                <w:color w:val="auto"/>
                <w:w w:val="92"/>
              </w:rPr>
              <w:t>(1)(5)(7)</w:t>
            </w:r>
          </w:p>
        </w:tc>
        <w:tc>
          <w:tcPr>
            <w:tcW w:w="8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26,250</w:t>
            </w:r>
          </w:p>
        </w:tc>
        <w:tc>
          <w:tcPr>
            <w:tcW w:w="480" w:type="dxa"/>
            <w:vAlign w:val="bottom"/>
            <w:shd w:val="clear" w:color="auto" w:fill="CCEEFF"/>
          </w:tcPr>
          <w:p>
            <w:pPr>
              <w:spacing w:after="0"/>
              <w:rPr>
                <w:sz w:val="13"/>
                <w:szCs w:val="13"/>
                <w:color w:val="auto"/>
              </w:rPr>
            </w:pPr>
          </w:p>
        </w:tc>
        <w:tc>
          <w:tcPr>
            <w:tcW w:w="880" w:type="dxa"/>
            <w:vAlign w:val="bottom"/>
            <w:tcBorders>
              <w:right w:val="single" w:sz="8" w:color="CCEEFF"/>
            </w:tcBorders>
            <w:shd w:val="clear" w:color="auto" w:fill="CCEEFF"/>
          </w:tcPr>
          <w:p>
            <w:pPr>
              <w:jc w:val="right"/>
              <w:ind w:right="55"/>
              <w:spacing w:after="0"/>
              <w:rPr>
                <w:sz w:val="20"/>
                <w:szCs w:val="20"/>
                <w:color w:val="auto"/>
              </w:rPr>
            </w:pPr>
            <w:r>
              <w:rPr>
                <w:rFonts w:ascii="Arial" w:cs="Arial" w:eastAsia="Arial" w:hAnsi="Arial"/>
                <w:sz w:val="13"/>
                <w:szCs w:val="13"/>
                <w:color w:val="auto"/>
              </w:rPr>
              <w:t>-</w:t>
            </w:r>
          </w:p>
        </w:tc>
        <w:tc>
          <w:tcPr>
            <w:tcW w:w="480" w:type="dxa"/>
            <w:vAlign w:val="bottom"/>
            <w:shd w:val="clear" w:color="auto" w:fill="CCEEFF"/>
          </w:tcPr>
          <w:p>
            <w:pPr>
              <w:spacing w:after="0"/>
              <w:rPr>
                <w:sz w:val="13"/>
                <w:szCs w:val="13"/>
                <w:color w:val="auto"/>
              </w:rPr>
            </w:pPr>
          </w:p>
        </w:tc>
        <w:tc>
          <w:tcPr>
            <w:tcW w:w="3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$0.91</w:t>
            </w:r>
          </w:p>
        </w:tc>
        <w:tc>
          <w:tcPr>
            <w:tcW w:w="120" w:type="dxa"/>
            <w:vAlign w:val="bottom"/>
            <w:shd w:val="clear" w:color="auto" w:fill="CCEEFF"/>
          </w:tcPr>
          <w:p>
            <w:pPr>
              <w:spacing w:after="0"/>
              <w:rPr>
                <w:sz w:val="13"/>
                <w:szCs w:val="13"/>
                <w:color w:val="auto"/>
              </w:rPr>
            </w:pPr>
          </w:p>
        </w:tc>
        <w:tc>
          <w:tcPr>
            <w:tcW w:w="860" w:type="dxa"/>
            <w:vAlign w:val="bottom"/>
            <w:shd w:val="clear" w:color="auto" w:fill="CCEEFF"/>
          </w:tcPr>
          <w:p>
            <w:pPr>
              <w:jc w:val="right"/>
              <w:ind w:right="75"/>
              <w:spacing w:after="0"/>
              <w:rPr>
                <w:sz w:val="20"/>
                <w:szCs w:val="20"/>
                <w:color w:val="auto"/>
              </w:rPr>
            </w:pPr>
            <w:r>
              <w:rPr>
                <w:rFonts w:ascii="Arial" w:cs="Arial" w:eastAsia="Arial" w:hAnsi="Arial"/>
                <w:sz w:val="13"/>
                <w:szCs w:val="13"/>
                <w:color w:val="auto"/>
              </w:rPr>
              <w:t>06-23-2030</w:t>
            </w:r>
          </w:p>
        </w:tc>
        <w:tc>
          <w:tcPr>
            <w:tcW w:w="100" w:type="dxa"/>
            <w:vAlign w:val="bottom"/>
            <w:shd w:val="clear" w:color="auto" w:fill="CCEEFF"/>
          </w:tcPr>
          <w:p>
            <w:pPr>
              <w:spacing w:after="0"/>
              <w:rPr>
                <w:sz w:val="13"/>
                <w:szCs w:val="13"/>
                <w:color w:val="auto"/>
              </w:rPr>
            </w:pPr>
          </w:p>
        </w:tc>
        <w:tc>
          <w:tcPr>
            <w:tcW w:w="960" w:type="dxa"/>
            <w:vAlign w:val="bottom"/>
            <w:tcBorders>
              <w:right w:val="single" w:sz="8" w:color="CCEEFF"/>
            </w:tcBorders>
            <w:shd w:val="clear" w:color="auto" w:fill="CCEEFF"/>
          </w:tcPr>
          <w:p>
            <w:pPr>
              <w:jc w:val="right"/>
              <w:ind w:right="35"/>
              <w:spacing w:after="0"/>
              <w:rPr>
                <w:sz w:val="20"/>
                <w:szCs w:val="20"/>
                <w:color w:val="auto"/>
              </w:rPr>
            </w:pPr>
            <w:r>
              <w:rPr>
                <w:rFonts w:ascii="Arial" w:cs="Arial" w:eastAsia="Arial" w:hAnsi="Arial"/>
                <w:sz w:val="13"/>
                <w:szCs w:val="13"/>
                <w:color w:val="auto"/>
              </w:rPr>
              <w:t>26,250</w:t>
            </w:r>
          </w:p>
        </w:tc>
        <w:tc>
          <w:tcPr>
            <w:tcW w:w="520" w:type="dxa"/>
            <w:vAlign w:val="bottom"/>
            <w:shd w:val="clear" w:color="auto" w:fill="CCEEFF"/>
          </w:tcPr>
          <w:p>
            <w:pPr>
              <w:spacing w:after="0"/>
              <w:rPr>
                <w:sz w:val="20"/>
                <w:szCs w:val="20"/>
                <w:color w:val="auto"/>
              </w:rPr>
            </w:pPr>
            <w:r>
              <w:rPr>
                <w:rFonts w:ascii="Arial" w:cs="Arial" w:eastAsia="Arial" w:hAnsi="Arial"/>
                <w:sz w:val="13"/>
                <w:szCs w:val="13"/>
                <w:color w:val="auto"/>
              </w:rPr>
              <w:t>$</w:t>
            </w:r>
          </w:p>
        </w:tc>
        <w:tc>
          <w:tcPr>
            <w:tcW w:w="560" w:type="dxa"/>
            <w:vAlign w:val="bottom"/>
            <w:tcBorders>
              <w:right w:val="single" w:sz="8" w:color="CCEEFF"/>
            </w:tcBorders>
            <w:shd w:val="clear" w:color="auto" w:fill="CCEEFF"/>
          </w:tcPr>
          <w:p>
            <w:pPr>
              <w:jc w:val="right"/>
              <w:ind w:right="35"/>
              <w:spacing w:after="0"/>
              <w:rPr>
                <w:sz w:val="20"/>
                <w:szCs w:val="20"/>
                <w:color w:val="auto"/>
              </w:rPr>
            </w:pPr>
            <w:r>
              <w:rPr>
                <w:rFonts w:ascii="Arial" w:cs="Arial" w:eastAsia="Arial" w:hAnsi="Arial"/>
                <w:sz w:val="13"/>
                <w:szCs w:val="13"/>
                <w:color w:val="auto"/>
              </w:rPr>
              <w:t>6,300</w:t>
            </w:r>
          </w:p>
        </w:tc>
        <w:tc>
          <w:tcPr>
            <w:tcW w:w="760" w:type="dxa"/>
            <w:vAlign w:val="bottom"/>
            <w:shd w:val="clear" w:color="auto" w:fill="CCEEFF"/>
          </w:tcPr>
          <w:p>
            <w:pPr>
              <w:ind w:left="720"/>
              <w:spacing w:after="0"/>
              <w:rPr>
                <w:sz w:val="20"/>
                <w:szCs w:val="20"/>
                <w:color w:val="auto"/>
              </w:rPr>
            </w:pPr>
            <w:r>
              <w:rPr>
                <w:rFonts w:ascii="Arial" w:cs="Arial" w:eastAsia="Arial" w:hAnsi="Arial"/>
                <w:sz w:val="8"/>
                <w:szCs w:val="8"/>
                <w:color w:val="auto"/>
                <w:w w:val="73"/>
              </w:rPr>
              <w:t>-</w:t>
            </w:r>
          </w:p>
        </w:tc>
        <w:tc>
          <w:tcPr>
            <w:tcW w:w="100" w:type="dxa"/>
            <w:vAlign w:val="bottom"/>
            <w:shd w:val="clear" w:color="auto" w:fill="CCEEFF"/>
          </w:tcPr>
          <w:p>
            <w:pPr>
              <w:spacing w:after="0"/>
              <w:rPr>
                <w:sz w:val="13"/>
                <w:szCs w:val="13"/>
                <w:color w:val="auto"/>
              </w:rPr>
            </w:pPr>
          </w:p>
        </w:tc>
        <w:tc>
          <w:tcPr>
            <w:tcW w:w="920" w:type="dxa"/>
            <w:vAlign w:val="bottom"/>
            <w:shd w:val="clear" w:color="auto" w:fill="CCEEFF"/>
          </w:tcPr>
          <w:p>
            <w:pPr>
              <w:spacing w:after="0"/>
              <w:rPr>
                <w:sz w:val="20"/>
                <w:szCs w:val="20"/>
                <w:color w:val="auto"/>
              </w:rPr>
            </w:pPr>
            <w:r>
              <w:rPr>
                <w:rFonts w:ascii="Arial" w:cs="Arial" w:eastAsia="Arial" w:hAnsi="Arial"/>
                <w:sz w:val="13"/>
                <w:szCs w:val="13"/>
                <w:color w:val="auto"/>
              </w:rPr>
              <w:t>$</w:t>
            </w:r>
          </w:p>
        </w:tc>
        <w:tc>
          <w:tcPr>
            <w:tcW w:w="40" w:type="dxa"/>
            <w:vAlign w:val="bottom"/>
            <w:shd w:val="clear" w:color="auto" w:fill="CCEEFF"/>
          </w:tcPr>
          <w:p>
            <w:pPr>
              <w:jc w:val="right"/>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1203325</wp:posOffset>
            </wp:positionH>
            <wp:positionV relativeFrom="paragraph">
              <wp:posOffset>-1191260</wp:posOffset>
            </wp:positionV>
            <wp:extent cx="5965825" cy="49657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extLst>
                    </a:blip>
                    <a:srcRect/>
                    <a:stretch>
                      <a:fillRect/>
                    </a:stretch>
                  </pic:blipFill>
                  <pic:spPr bwMode="auto">
                    <a:xfrm>
                      <a:off x="0" y="0"/>
                      <a:ext cx="5965825" cy="496570"/>
                    </a:xfrm>
                    <a:prstGeom prst="rect">
                      <a:avLst/>
                    </a:prstGeom>
                    <a:noFill/>
                  </pic:spPr>
                </pic:pic>
              </a:graphicData>
            </a:graphic>
          </wp:anchor>
        </w:drawing>
      </w:r>
    </w:p>
    <w:p>
      <w:pPr>
        <w:spacing w:after="0" w:line="128" w:lineRule="exact"/>
        <w:rPr>
          <w:sz w:val="20"/>
          <w:szCs w:val="20"/>
          <w:color w:val="auto"/>
        </w:rPr>
      </w:pPr>
    </w:p>
    <w:p>
      <w:pPr>
        <w:ind w:left="460" w:right="200" w:hanging="227"/>
        <w:spacing w:after="0" w:line="278" w:lineRule="auto"/>
        <w:tabs>
          <w:tab w:leader="none" w:pos="460" w:val="left"/>
        </w:tabs>
        <w:numPr>
          <w:ilvl w:val="0"/>
          <w:numId w:val="24"/>
        </w:numPr>
        <w:rPr>
          <w:rFonts w:ascii="Arial" w:cs="Arial" w:eastAsia="Arial" w:hAnsi="Arial"/>
          <w:sz w:val="12"/>
          <w:szCs w:val="12"/>
          <w:color w:val="auto"/>
        </w:rPr>
      </w:pPr>
      <w:r>
        <w:rPr>
          <w:rFonts w:ascii="Arial" w:cs="Arial" w:eastAsia="Arial" w:hAnsi="Arial"/>
          <w:sz w:val="12"/>
          <w:szCs w:val="12"/>
          <w:color w:val="auto"/>
        </w:rPr>
        <w:t>This option vests and, as applicable, becomes exercisable with respect to 25% of the total number of shares underlying the option upon completion of twelve months of continuous service after the vesting commencement date and as to 1/48th of the total number of shares underlying the option for each month of continuous service after the vesting commencement date.</w:t>
      </w:r>
    </w:p>
    <w:p>
      <w:pPr>
        <w:ind w:left="460" w:hanging="227"/>
        <w:spacing w:after="0"/>
        <w:tabs>
          <w:tab w:leader="none" w:pos="460" w:val="left"/>
        </w:tabs>
        <w:numPr>
          <w:ilvl w:val="0"/>
          <w:numId w:val="24"/>
        </w:numPr>
        <w:rPr>
          <w:rFonts w:ascii="Arial" w:cs="Arial" w:eastAsia="Arial" w:hAnsi="Arial"/>
          <w:sz w:val="13"/>
          <w:szCs w:val="13"/>
          <w:color w:val="auto"/>
        </w:rPr>
      </w:pPr>
      <w:r>
        <w:rPr>
          <w:rFonts w:ascii="Arial" w:cs="Arial" w:eastAsia="Arial" w:hAnsi="Arial"/>
          <w:sz w:val="13"/>
          <w:szCs w:val="13"/>
          <w:color w:val="auto"/>
        </w:rPr>
        <w:t>Vesting commenced on December 25, 2017.</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24"/>
        </w:numPr>
        <w:rPr>
          <w:rFonts w:ascii="Arial" w:cs="Arial" w:eastAsia="Arial" w:hAnsi="Arial"/>
          <w:sz w:val="12"/>
          <w:szCs w:val="12"/>
          <w:color w:val="auto"/>
        </w:rPr>
      </w:pPr>
      <w:r>
        <w:rPr>
          <w:rFonts w:ascii="Arial" w:cs="Arial" w:eastAsia="Arial" w:hAnsi="Arial"/>
          <w:sz w:val="12"/>
          <w:szCs w:val="12"/>
          <w:color w:val="auto"/>
        </w:rPr>
        <w:t>This option vests as to 1/48th of the total number of shares underlying the option for each month of continuous service after the vesting commencement date. Vesting commenced on May 6, 2019.</w:t>
      </w:r>
    </w:p>
    <w:p>
      <w:pPr>
        <w:spacing w:after="0" w:line="18" w:lineRule="exact"/>
        <w:rPr>
          <w:rFonts w:ascii="Arial" w:cs="Arial" w:eastAsia="Arial" w:hAnsi="Arial"/>
          <w:sz w:val="12"/>
          <w:szCs w:val="12"/>
          <w:color w:val="auto"/>
        </w:rPr>
      </w:pPr>
    </w:p>
    <w:p>
      <w:pPr>
        <w:ind w:left="460" w:hanging="227"/>
        <w:spacing w:after="0"/>
        <w:tabs>
          <w:tab w:leader="none" w:pos="460" w:val="left"/>
        </w:tabs>
        <w:numPr>
          <w:ilvl w:val="0"/>
          <w:numId w:val="24"/>
        </w:numPr>
        <w:rPr>
          <w:rFonts w:ascii="Arial" w:cs="Arial" w:eastAsia="Arial" w:hAnsi="Arial"/>
          <w:sz w:val="13"/>
          <w:szCs w:val="13"/>
          <w:color w:val="auto"/>
        </w:rPr>
      </w:pPr>
      <w:r>
        <w:rPr>
          <w:rFonts w:ascii="Arial" w:cs="Arial" w:eastAsia="Arial" w:hAnsi="Arial"/>
          <w:sz w:val="13"/>
          <w:szCs w:val="13"/>
          <w:color w:val="auto"/>
        </w:rPr>
        <w:t>Vesting commenced on February 27, 2020.</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24"/>
        </w:numPr>
        <w:rPr>
          <w:rFonts w:ascii="Arial" w:cs="Arial" w:eastAsia="Arial" w:hAnsi="Arial"/>
          <w:sz w:val="13"/>
          <w:szCs w:val="13"/>
          <w:color w:val="auto"/>
        </w:rPr>
      </w:pPr>
      <w:r>
        <w:rPr>
          <w:rFonts w:ascii="Arial" w:cs="Arial" w:eastAsia="Arial" w:hAnsi="Arial"/>
          <w:sz w:val="13"/>
          <w:szCs w:val="13"/>
          <w:color w:val="auto"/>
        </w:rPr>
        <w:t>Vesting commenced on June 24, 2020.</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24"/>
        </w:numPr>
        <w:rPr>
          <w:rFonts w:ascii="Arial" w:cs="Arial" w:eastAsia="Arial" w:hAnsi="Arial"/>
          <w:sz w:val="13"/>
          <w:szCs w:val="13"/>
          <w:color w:val="auto"/>
        </w:rPr>
      </w:pPr>
      <w:r>
        <w:rPr>
          <w:rFonts w:ascii="Arial" w:cs="Arial" w:eastAsia="Arial" w:hAnsi="Arial"/>
          <w:sz w:val="13"/>
          <w:szCs w:val="13"/>
          <w:color w:val="auto"/>
        </w:rPr>
        <w:t>Vesting commenced on October 5, 2020.</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24"/>
        </w:numPr>
        <w:rPr>
          <w:rFonts w:ascii="Arial" w:cs="Arial" w:eastAsia="Arial" w:hAnsi="Arial"/>
          <w:sz w:val="13"/>
          <w:szCs w:val="13"/>
          <w:color w:val="auto"/>
        </w:rPr>
      </w:pPr>
      <w:r>
        <w:rPr>
          <w:rFonts w:ascii="Arial" w:cs="Arial" w:eastAsia="Arial" w:hAnsi="Arial"/>
          <w:sz w:val="13"/>
          <w:szCs w:val="13"/>
          <w:color w:val="auto"/>
        </w:rPr>
        <w:t>Exercisable for shares of Class A Common Stock.</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24"/>
        </w:numPr>
        <w:rPr>
          <w:rFonts w:ascii="Arial" w:cs="Arial" w:eastAsia="Arial" w:hAnsi="Arial"/>
          <w:sz w:val="13"/>
          <w:szCs w:val="13"/>
          <w:color w:val="auto"/>
        </w:rPr>
      </w:pPr>
      <w:r>
        <w:rPr>
          <w:rFonts w:ascii="Arial" w:cs="Arial" w:eastAsia="Arial" w:hAnsi="Arial"/>
          <w:sz w:val="13"/>
          <w:szCs w:val="13"/>
          <w:color w:val="auto"/>
        </w:rPr>
        <w:t>Exercisable for shares of Class B Common Stock.</w:t>
      </w:r>
    </w:p>
    <w:p>
      <w:pPr>
        <w:spacing w:after="0" w:line="312"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41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45" w:name="page46"/>
    <w:bookmarkEnd w:id="45"/>
    <w:p>
      <w:pPr>
        <w:spacing w:after="0"/>
        <w:rPr>
          <w:sz w:val="20"/>
          <w:szCs w:val="20"/>
          <w:color w:val="auto"/>
        </w:rPr>
      </w:pPr>
      <w:r>
        <w:rPr>
          <w:rFonts w:ascii="Arial" w:cs="Arial" w:eastAsia="Arial" w:hAnsi="Arial"/>
          <w:sz w:val="13"/>
          <w:szCs w:val="13"/>
          <w:b w:val="1"/>
          <w:bCs w:val="1"/>
          <w:color w:val="auto"/>
        </w:rPr>
        <w:t>Employee and Service Provider Equity Incentive Plans</w:t>
      </w:r>
    </w:p>
    <w:p>
      <w:pPr>
        <w:spacing w:after="0" w:line="167" w:lineRule="exact"/>
        <w:rPr>
          <w:sz w:val="20"/>
          <w:szCs w:val="20"/>
          <w:color w:val="auto"/>
        </w:rPr>
      </w:pPr>
    </w:p>
    <w:p>
      <w:pPr>
        <w:spacing w:after="0" w:line="256" w:lineRule="auto"/>
        <w:rPr>
          <w:sz w:val="20"/>
          <w:szCs w:val="20"/>
          <w:color w:val="auto"/>
        </w:rPr>
      </w:pPr>
      <w:r>
        <w:rPr>
          <w:rFonts w:ascii="Arial" w:cs="Arial" w:eastAsia="Arial" w:hAnsi="Arial"/>
          <w:sz w:val="13"/>
          <w:szCs w:val="13"/>
          <w:color w:val="auto"/>
        </w:rPr>
        <w:t>The Company has adopted a 2014 Equity Incentive Plan (the “2014 Plan”) and a 2016 Equity Incentive Plan (the “2016 Plan”). The 2014 Plan was terminated upon the adoption of the 2016 Plan. However, the 2014 Plan will continue to govern the terms and conditions of the outstanding awards previously granted thereunder. Each of the 2016 Plan and the 2014 Plan provide for the grant of incentive stock options, within the meaning of Section 422 of the Internal Revenue Code of 1986, as amended, to our employees and any parent and subsidiary corporations’ employees, and for the grant of nonstatutory stock options, stock appreciation rights, restricted stock, or restricted stock units to our employees, directors and consultants. Both plans are administered by our board of directors and the board of directors is referred to in this section as the “Administrator” of the plan.</w:t>
      </w:r>
    </w:p>
    <w:p>
      <w:pPr>
        <w:spacing w:after="0" w:line="137" w:lineRule="exact"/>
        <w:rPr>
          <w:sz w:val="20"/>
          <w:szCs w:val="20"/>
          <w:color w:val="auto"/>
        </w:rPr>
      </w:pPr>
    </w:p>
    <w:p>
      <w:pPr>
        <w:ind w:right="60"/>
        <w:spacing w:after="0" w:line="256" w:lineRule="auto"/>
        <w:rPr>
          <w:sz w:val="20"/>
          <w:szCs w:val="20"/>
          <w:color w:val="auto"/>
        </w:rPr>
      </w:pPr>
      <w:r>
        <w:rPr>
          <w:rFonts w:ascii="Arial" w:cs="Arial" w:eastAsia="Arial" w:hAnsi="Arial"/>
          <w:sz w:val="13"/>
          <w:szCs w:val="13"/>
          <w:b w:val="1"/>
          <w:bCs w:val="1"/>
          <w:color w:val="auto"/>
        </w:rPr>
        <w:t>Authorized Shares</w:t>
      </w:r>
      <w:r>
        <w:rPr>
          <w:rFonts w:ascii="Arial" w:cs="Arial" w:eastAsia="Arial" w:hAnsi="Arial"/>
          <w:sz w:val="13"/>
          <w:szCs w:val="13"/>
          <w:color w:val="auto"/>
        </w:rPr>
        <w:t>. Stock options for the purchase of 636,000 shares of our Class B Common Stock are outstanding under our 2014 Plan. Stock options for the purchase of 5,980,000 shares of our Class A Common</w:t>
      </w:r>
      <w:r>
        <w:rPr>
          <w:rFonts w:ascii="Arial" w:cs="Arial" w:eastAsia="Arial" w:hAnsi="Arial"/>
          <w:sz w:val="13"/>
          <w:szCs w:val="13"/>
          <w:b w:val="1"/>
          <w:bCs w:val="1"/>
          <w:color w:val="auto"/>
        </w:rPr>
        <w:t xml:space="preserve"> </w:t>
      </w:r>
      <w:r>
        <w:rPr>
          <w:rFonts w:ascii="Arial" w:cs="Arial" w:eastAsia="Arial" w:hAnsi="Arial"/>
          <w:sz w:val="13"/>
          <w:szCs w:val="13"/>
          <w:color w:val="auto"/>
        </w:rPr>
        <w:t>Stock are outstanding under our 2016 Plan, and an additional 2,403,814 shares of our Class A Common Stock have been reserved for issuance pursuant to our 2016 Plan. A total of 6,148,814 shares of our Class A Common Stock have been reserved for issuance pursuant to our 2016 Plan. In addition, the shares of Class A Common Stock reserved for issuance under our 2016 Plan also include (i) a number of shares of Class A Common Stock equal to the number of shares of Class B Common Stock reserved but unissued under the 2014 Plan, as of immediately prior to the termination of the 2014 Plan, and (ii) a number of shares of Class A Common Stock equal to the number of shares subject to awards under the 2014 Plan that, on or after the termination of the 2014 Plan, expire or terminate and shares previously issued pursuant to the 2014 Plan, that, on or after the termination of the 2014 Plan, are forfeited or repurchased by us (provided that the maximum number of shares of Class A Common Stock that may be added to our 2016 Plan pursuant to (i) and (ii) is 2,235,000 shares).</w:t>
      </w:r>
    </w:p>
    <w:p>
      <w:pPr>
        <w:spacing w:after="0" w:line="139" w:lineRule="exact"/>
        <w:rPr>
          <w:sz w:val="20"/>
          <w:szCs w:val="20"/>
          <w:color w:val="auto"/>
        </w:rPr>
      </w:pPr>
    </w:p>
    <w:p>
      <w:pPr>
        <w:ind w:right="140"/>
        <w:spacing w:after="0" w:line="262" w:lineRule="auto"/>
        <w:rPr>
          <w:sz w:val="20"/>
          <w:szCs w:val="20"/>
          <w:color w:val="auto"/>
        </w:rPr>
      </w:pPr>
      <w:r>
        <w:rPr>
          <w:rFonts w:ascii="Arial" w:cs="Arial" w:eastAsia="Arial" w:hAnsi="Arial"/>
          <w:sz w:val="13"/>
          <w:szCs w:val="13"/>
          <w:color w:val="auto"/>
        </w:rPr>
        <w:t>If an award expires or becomes unexercisable without having been exercised in full, is surrendered pursuant to an exchange program, or, with respect to restricted stock or restricted stock units, is forfeited to or repurchased due to failure to vest, the unpurchased shares (or for awards other than stock options or stock appreciation rights, the forfeited or repurchased shares) will become available for future grant or sale under the 2016 Plan.</w:t>
      </w:r>
    </w:p>
    <w:p>
      <w:pPr>
        <w:spacing w:after="0" w:line="132" w:lineRule="exact"/>
        <w:rPr>
          <w:sz w:val="20"/>
          <w:szCs w:val="20"/>
          <w:color w:val="auto"/>
        </w:rPr>
      </w:pPr>
    </w:p>
    <w:p>
      <w:pPr>
        <w:spacing w:after="0" w:line="255" w:lineRule="auto"/>
        <w:rPr>
          <w:sz w:val="20"/>
          <w:szCs w:val="20"/>
          <w:color w:val="auto"/>
        </w:rPr>
      </w:pPr>
      <w:r>
        <w:rPr>
          <w:rFonts w:ascii="Arial" w:cs="Arial" w:eastAsia="Arial" w:hAnsi="Arial"/>
          <w:sz w:val="13"/>
          <w:szCs w:val="13"/>
          <w:b w:val="1"/>
          <w:bCs w:val="1"/>
          <w:color w:val="auto"/>
        </w:rPr>
        <w:t xml:space="preserve">Stock Options. </w:t>
      </w:r>
      <w:r>
        <w:rPr>
          <w:rFonts w:ascii="Arial" w:cs="Arial" w:eastAsia="Arial" w:hAnsi="Arial"/>
          <w:sz w:val="13"/>
          <w:szCs w:val="13"/>
          <w:color w:val="auto"/>
        </w:rPr>
        <w:t>The 2014 Plan was terminated as of December 21, 2016. As a result, new stock options may only be granted under our 2016 Plan. The exercise price of options granted under our 2016 Plan must at</w:t>
      </w:r>
      <w:r>
        <w:rPr>
          <w:rFonts w:ascii="Arial" w:cs="Arial" w:eastAsia="Arial" w:hAnsi="Arial"/>
          <w:sz w:val="13"/>
          <w:szCs w:val="13"/>
          <w:b w:val="1"/>
          <w:bCs w:val="1"/>
          <w:color w:val="auto"/>
        </w:rPr>
        <w:t xml:space="preserve"> </w:t>
      </w:r>
      <w:r>
        <w:rPr>
          <w:rFonts w:ascii="Arial" w:cs="Arial" w:eastAsia="Arial" w:hAnsi="Arial"/>
          <w:sz w:val="13"/>
          <w:szCs w:val="13"/>
          <w:color w:val="auto"/>
        </w:rPr>
        <w:t>least be equal to the fair market value of our Class A Common Stock on the date of grant. The term of an option may not exceed 10 years, except that with respect to any participant who owns more than 10% of the voting power of all classes of our outstanding stock, the term on an incentive stock option granted to such participant must not exceed five years and the exercise price must equal at least 110% of the fair market value on the grant date. The administrator will determine the methods of payment of the exercise price of an option, which may include cash, shares or other property acceptable to the administrator, as well as other types of consideration permitted by applicable law. If an individual’s service terminates other than due to the participant’s death or disability, the participant may exercise his or her option within 30 days of termination or such longer period of time as provided in his or her award agreement. If an individual’s service terminates due to the participant’s death or disability, the option may be exercised within six months of termination, or such longer period of time as provided in his or her award agreement. However, in no event may an option be exercised after the expiration of its term. Subject to the provisions of our 2016 Plan the administrator determines the other terms of options.</w:t>
      </w:r>
    </w:p>
    <w:p>
      <w:pPr>
        <w:spacing w:after="0" w:line="137" w:lineRule="exact"/>
        <w:rPr>
          <w:sz w:val="20"/>
          <w:szCs w:val="20"/>
          <w:color w:val="auto"/>
        </w:rPr>
      </w:pPr>
    </w:p>
    <w:p>
      <w:pPr>
        <w:ind w:right="60"/>
        <w:spacing w:after="0" w:line="281" w:lineRule="auto"/>
        <w:rPr>
          <w:sz w:val="20"/>
          <w:szCs w:val="20"/>
          <w:color w:val="auto"/>
        </w:rPr>
      </w:pPr>
      <w:r>
        <w:rPr>
          <w:rFonts w:ascii="Arial" w:cs="Arial" w:eastAsia="Arial" w:hAnsi="Arial"/>
          <w:sz w:val="13"/>
          <w:szCs w:val="13"/>
          <w:b w:val="1"/>
          <w:bCs w:val="1"/>
          <w:color w:val="auto"/>
        </w:rPr>
        <w:t>Non-Transferability of Awards</w:t>
      </w:r>
      <w:r>
        <w:rPr>
          <w:rFonts w:ascii="Arial" w:cs="Arial" w:eastAsia="Arial" w:hAnsi="Arial"/>
          <w:sz w:val="13"/>
          <w:szCs w:val="13"/>
          <w:color w:val="auto"/>
        </w:rPr>
        <w:t>. Unless the administrator provides otherwise, our 2014 Plan and 2016 Plan generally do not allow for the transfer of awards and only the recipient of an award may exercise an award</w:t>
      </w:r>
      <w:r>
        <w:rPr>
          <w:rFonts w:ascii="Arial" w:cs="Arial" w:eastAsia="Arial" w:hAnsi="Arial"/>
          <w:sz w:val="13"/>
          <w:szCs w:val="13"/>
          <w:b w:val="1"/>
          <w:bCs w:val="1"/>
          <w:color w:val="auto"/>
        </w:rPr>
        <w:t xml:space="preserve"> </w:t>
      </w:r>
      <w:r>
        <w:rPr>
          <w:rFonts w:ascii="Arial" w:cs="Arial" w:eastAsia="Arial" w:hAnsi="Arial"/>
          <w:sz w:val="13"/>
          <w:szCs w:val="13"/>
          <w:color w:val="auto"/>
        </w:rPr>
        <w:t>during his or her lifetime.</w:t>
      </w:r>
    </w:p>
    <w:p>
      <w:pPr>
        <w:spacing w:after="0" w:line="280"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42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46" w:name="page47"/>
    <w:bookmarkEnd w:id="46"/>
    <w:p>
      <w:pPr>
        <w:spacing w:after="0"/>
        <w:rPr>
          <w:sz w:val="20"/>
          <w:szCs w:val="20"/>
          <w:color w:val="auto"/>
        </w:rPr>
      </w:pPr>
      <w:r>
        <w:rPr>
          <w:rFonts w:ascii="Arial" w:cs="Arial" w:eastAsia="Arial" w:hAnsi="Arial"/>
          <w:sz w:val="13"/>
          <w:szCs w:val="13"/>
          <w:b w:val="1"/>
          <w:bCs w:val="1"/>
          <w:color w:val="auto"/>
        </w:rPr>
        <w:t>SECURITY OWNERSHIP OF MANAGEMENT AND CERTAIN STOCKHOLDERS</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color w:val="auto"/>
        </w:rPr>
        <w:t>The following table sets out certain information with respect to the beneficial ownership of the voting securities of the Company, as of November 1, 2021, for:</w:t>
      </w:r>
    </w:p>
    <w:p>
      <w:pPr>
        <w:spacing w:after="0" w:line="163" w:lineRule="exact"/>
        <w:rPr>
          <w:sz w:val="20"/>
          <w:szCs w:val="20"/>
          <w:color w:val="auto"/>
        </w:rPr>
      </w:pPr>
    </w:p>
    <w:p>
      <w:pPr>
        <w:ind w:left="460" w:hanging="227"/>
        <w:spacing w:after="0"/>
        <w:tabs>
          <w:tab w:leader="none" w:pos="460" w:val="left"/>
        </w:tabs>
        <w:numPr>
          <w:ilvl w:val="0"/>
          <w:numId w:val="25"/>
        </w:numPr>
        <w:rPr>
          <w:rFonts w:ascii="Arial" w:cs="Arial" w:eastAsia="Arial" w:hAnsi="Arial"/>
          <w:sz w:val="13"/>
          <w:szCs w:val="13"/>
          <w:color w:val="auto"/>
        </w:rPr>
      </w:pPr>
      <w:r>
        <w:rPr>
          <w:rFonts w:ascii="Arial" w:cs="Arial" w:eastAsia="Arial" w:hAnsi="Arial"/>
          <w:sz w:val="13"/>
          <w:szCs w:val="13"/>
          <w:color w:val="auto"/>
        </w:rPr>
        <w:t>Each person who we know beneficially owns more than five percent of any class of our voting securities.</w:t>
      </w:r>
    </w:p>
    <w:p>
      <w:pPr>
        <w:spacing w:after="0" w:line="14" w:lineRule="exact"/>
        <w:rPr>
          <w:rFonts w:ascii="Arial" w:cs="Arial" w:eastAsia="Arial" w:hAnsi="Arial"/>
          <w:sz w:val="13"/>
          <w:szCs w:val="13"/>
          <w:color w:val="auto"/>
        </w:rPr>
      </w:pPr>
    </w:p>
    <w:p>
      <w:pPr>
        <w:ind w:left="460" w:hanging="227"/>
        <w:spacing w:after="0"/>
        <w:tabs>
          <w:tab w:leader="none" w:pos="460" w:val="left"/>
        </w:tabs>
        <w:numPr>
          <w:ilvl w:val="0"/>
          <w:numId w:val="25"/>
        </w:numPr>
        <w:rPr>
          <w:rFonts w:ascii="Arial" w:cs="Arial" w:eastAsia="Arial" w:hAnsi="Arial"/>
          <w:sz w:val="13"/>
          <w:szCs w:val="13"/>
          <w:color w:val="auto"/>
        </w:rPr>
      </w:pPr>
      <w:r>
        <w:rPr>
          <w:rFonts w:ascii="Arial" w:cs="Arial" w:eastAsia="Arial" w:hAnsi="Arial"/>
          <w:sz w:val="13"/>
          <w:szCs w:val="13"/>
          <w:color w:val="auto"/>
        </w:rPr>
        <w:t>Each of our director and director nominees.</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25"/>
        </w:numPr>
        <w:rPr>
          <w:rFonts w:ascii="Arial" w:cs="Arial" w:eastAsia="Arial" w:hAnsi="Arial"/>
          <w:sz w:val="13"/>
          <w:szCs w:val="13"/>
          <w:color w:val="auto"/>
        </w:rPr>
      </w:pPr>
      <w:r>
        <w:rPr>
          <w:rFonts w:ascii="Arial" w:cs="Arial" w:eastAsia="Arial" w:hAnsi="Arial"/>
          <w:sz w:val="13"/>
          <w:szCs w:val="13"/>
          <w:color w:val="auto"/>
        </w:rPr>
        <w:t>Each of our executive officers.</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25"/>
        </w:numPr>
        <w:rPr>
          <w:rFonts w:ascii="Arial" w:cs="Arial" w:eastAsia="Arial" w:hAnsi="Arial"/>
          <w:sz w:val="13"/>
          <w:szCs w:val="13"/>
          <w:color w:val="auto"/>
        </w:rPr>
      </w:pPr>
      <w:r>
        <w:rPr>
          <w:rFonts w:ascii="Arial" w:cs="Arial" w:eastAsia="Arial" w:hAnsi="Arial"/>
          <w:sz w:val="13"/>
          <w:szCs w:val="13"/>
          <w:color w:val="auto"/>
        </w:rPr>
        <w:t>All of our directors, director nominees and executive officers as a group.</w:t>
      </w:r>
    </w:p>
    <w:p>
      <w:pPr>
        <w:spacing w:after="0" w:line="156" w:lineRule="exact"/>
        <w:rPr>
          <w:sz w:val="20"/>
          <w:szCs w:val="20"/>
          <w:color w:val="auto"/>
        </w:rPr>
      </w:pPr>
    </w:p>
    <w:p>
      <w:pPr>
        <w:ind w:right="380"/>
        <w:spacing w:after="0" w:line="317" w:lineRule="auto"/>
        <w:rPr>
          <w:sz w:val="20"/>
          <w:szCs w:val="20"/>
          <w:color w:val="auto"/>
        </w:rPr>
      </w:pPr>
      <w:r>
        <w:rPr>
          <w:rFonts w:ascii="Arial" w:cs="Arial" w:eastAsia="Arial" w:hAnsi="Arial"/>
          <w:sz w:val="12"/>
          <w:szCs w:val="12"/>
          <w:color w:val="auto"/>
        </w:rPr>
        <w:t>We have determined beneficial ownership in accordance with the rules of the Commission. Except as indicated by the footnotes below, we believe, based on the information furnished to us, that the persons and entities named in the table below have sole voting and investment power with respect to all securities that they beneficially own, subject to applicable community property laws.</w:t>
      </w:r>
    </w:p>
    <w:p>
      <w:pPr>
        <w:spacing w:after="0" w:line="101" w:lineRule="exact"/>
        <w:rPr>
          <w:sz w:val="20"/>
          <w:szCs w:val="20"/>
          <w:color w:val="auto"/>
        </w:rPr>
      </w:pPr>
    </w:p>
    <w:tbl>
      <w:tblPr>
        <w:tblLayout w:type="fixed"/>
        <w:tblInd w:w="0" w:type="dxa"/>
        <w:tblCellMar>
          <w:top w:w="0" w:type="dxa"/>
          <w:left w:w="0" w:type="dxa"/>
          <w:bottom w:w="0" w:type="dxa"/>
          <w:right w:w="0" w:type="dxa"/>
        </w:tblCellMar>
      </w:tblPr>
      <w:tr>
        <w:trPr>
          <w:trHeight w:val="156"/>
        </w:trPr>
        <w:tc>
          <w:tcPr>
            <w:tcW w:w="20" w:type="dxa"/>
            <w:vAlign w:val="bottom"/>
          </w:tcPr>
          <w:p>
            <w:pPr>
              <w:spacing w:after="0"/>
              <w:rPr>
                <w:sz w:val="13"/>
                <w:szCs w:val="13"/>
                <w:color w:val="auto"/>
              </w:rPr>
            </w:pPr>
          </w:p>
        </w:tc>
        <w:tc>
          <w:tcPr>
            <w:tcW w:w="42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9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220" w:type="dxa"/>
            <w:vAlign w:val="bottom"/>
            <w:gridSpan w:val="2"/>
          </w:tcPr>
          <w:p>
            <w:pPr>
              <w:jc w:val="center"/>
              <w:ind w:right="240"/>
              <w:spacing w:after="0"/>
              <w:rPr>
                <w:sz w:val="20"/>
                <w:szCs w:val="20"/>
                <w:color w:val="auto"/>
              </w:rPr>
            </w:pPr>
            <w:r>
              <w:rPr>
                <w:rFonts w:ascii="Arial" w:cs="Arial" w:eastAsia="Arial" w:hAnsi="Arial"/>
                <w:sz w:val="13"/>
                <w:szCs w:val="13"/>
                <w:b w:val="1"/>
                <w:bCs w:val="1"/>
                <w:color w:val="auto"/>
                <w:w w:val="92"/>
              </w:rPr>
              <w:t>Amount and</w:t>
            </w:r>
          </w:p>
        </w:tc>
        <w:tc>
          <w:tcPr>
            <w:tcW w:w="100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2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9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22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91"/>
              </w:rPr>
              <w:t>Nature of</w:t>
            </w:r>
          </w:p>
        </w:tc>
        <w:tc>
          <w:tcPr>
            <w:tcW w:w="100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2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9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22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91"/>
              </w:rPr>
              <w:t>Beneficial</w:t>
            </w:r>
          </w:p>
        </w:tc>
        <w:tc>
          <w:tcPr>
            <w:tcW w:w="100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2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9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260" w:type="dxa"/>
            <w:vAlign w:val="bottom"/>
            <w:gridSpan w:val="2"/>
          </w:tcPr>
          <w:p>
            <w:pPr>
              <w:jc w:val="center"/>
              <w:ind w:right="240"/>
              <w:spacing w:after="0"/>
              <w:rPr>
                <w:sz w:val="20"/>
                <w:szCs w:val="20"/>
                <w:color w:val="auto"/>
              </w:rPr>
            </w:pPr>
            <w:r>
              <w:rPr>
                <w:rFonts w:ascii="Arial" w:cs="Arial" w:eastAsia="Arial" w:hAnsi="Arial"/>
                <w:sz w:val="13"/>
                <w:szCs w:val="13"/>
                <w:b w:val="1"/>
                <w:bCs w:val="1"/>
                <w:color w:val="auto"/>
                <w:w w:val="92"/>
              </w:rPr>
              <w:t>Amount and</w:t>
            </w:r>
          </w:p>
        </w:tc>
        <w:tc>
          <w:tcPr>
            <w:tcW w:w="1220" w:type="dxa"/>
            <w:vAlign w:val="bottom"/>
            <w:gridSpan w:val="2"/>
          </w:tcPr>
          <w:p>
            <w:pPr>
              <w:jc w:val="center"/>
              <w:ind w:right="240"/>
              <w:spacing w:after="0"/>
              <w:rPr>
                <w:sz w:val="20"/>
                <w:szCs w:val="20"/>
                <w:color w:val="auto"/>
              </w:rPr>
            </w:pPr>
            <w:r>
              <w:rPr>
                <w:rFonts w:ascii="Arial" w:cs="Arial" w:eastAsia="Arial" w:hAnsi="Arial"/>
                <w:sz w:val="13"/>
                <w:szCs w:val="13"/>
                <w:b w:val="1"/>
                <w:bCs w:val="1"/>
                <w:color w:val="auto"/>
                <w:w w:val="92"/>
              </w:rPr>
              <w:t>Ownership</w:t>
            </w:r>
          </w:p>
        </w:tc>
        <w:tc>
          <w:tcPr>
            <w:tcW w:w="100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120" w:type="dxa"/>
            <w:vAlign w:val="bottom"/>
            <w:gridSpan w:val="2"/>
            <w:vMerge w:val="restart"/>
          </w:tcPr>
          <w:p>
            <w:pPr>
              <w:jc w:val="center"/>
              <w:ind w:right="100"/>
              <w:spacing w:after="0"/>
              <w:rPr>
                <w:sz w:val="20"/>
                <w:szCs w:val="20"/>
                <w:color w:val="auto"/>
              </w:rPr>
            </w:pPr>
            <w:r>
              <w:rPr>
                <w:rFonts w:ascii="Arial" w:cs="Arial" w:eastAsia="Arial" w:hAnsi="Arial"/>
                <w:sz w:val="13"/>
                <w:szCs w:val="13"/>
                <w:b w:val="1"/>
                <w:bCs w:val="1"/>
                <w:color w:val="auto"/>
                <w:w w:val="96"/>
              </w:rPr>
              <w:t>Total</w:t>
            </w:r>
          </w:p>
        </w:tc>
        <w:tc>
          <w:tcPr>
            <w:tcW w:w="0" w:type="dxa"/>
            <w:vAlign w:val="bottom"/>
          </w:tcPr>
          <w:p>
            <w:pPr>
              <w:spacing w:after="0"/>
              <w:rPr>
                <w:sz w:val="1"/>
                <w:szCs w:val="1"/>
                <w:color w:val="auto"/>
              </w:rPr>
            </w:pPr>
          </w:p>
        </w:tc>
      </w:tr>
      <w:tr>
        <w:trPr>
          <w:trHeight w:val="130"/>
        </w:trPr>
        <w:tc>
          <w:tcPr>
            <w:tcW w:w="20" w:type="dxa"/>
            <w:vAlign w:val="bottom"/>
          </w:tcPr>
          <w:p>
            <w:pPr>
              <w:spacing w:after="0"/>
              <w:rPr>
                <w:sz w:val="11"/>
                <w:szCs w:val="11"/>
                <w:color w:val="auto"/>
              </w:rPr>
            </w:pPr>
          </w:p>
        </w:tc>
        <w:tc>
          <w:tcPr>
            <w:tcW w:w="42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94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260" w:type="dxa"/>
            <w:vAlign w:val="bottom"/>
            <w:gridSpan w:val="2"/>
          </w:tcPr>
          <w:p>
            <w:pPr>
              <w:jc w:val="center"/>
              <w:ind w:right="260"/>
              <w:spacing w:after="0" w:line="130" w:lineRule="exact"/>
              <w:rPr>
                <w:sz w:val="20"/>
                <w:szCs w:val="20"/>
                <w:color w:val="auto"/>
              </w:rPr>
            </w:pPr>
            <w:r>
              <w:rPr>
                <w:rFonts w:ascii="Arial" w:cs="Arial" w:eastAsia="Arial" w:hAnsi="Arial"/>
                <w:sz w:val="13"/>
                <w:szCs w:val="13"/>
                <w:b w:val="1"/>
                <w:bCs w:val="1"/>
                <w:color w:val="auto"/>
                <w:w w:val="91"/>
              </w:rPr>
              <w:t>Nature of</w:t>
            </w:r>
          </w:p>
        </w:tc>
        <w:tc>
          <w:tcPr>
            <w:tcW w:w="1220" w:type="dxa"/>
            <w:vAlign w:val="bottom"/>
            <w:gridSpan w:val="2"/>
          </w:tcPr>
          <w:p>
            <w:pPr>
              <w:jc w:val="center"/>
              <w:ind w:right="240"/>
              <w:spacing w:after="0" w:line="130" w:lineRule="exact"/>
              <w:rPr>
                <w:sz w:val="20"/>
                <w:szCs w:val="20"/>
                <w:color w:val="auto"/>
              </w:rPr>
            </w:pPr>
            <w:r>
              <w:rPr>
                <w:rFonts w:ascii="Arial" w:cs="Arial" w:eastAsia="Arial" w:hAnsi="Arial"/>
                <w:sz w:val="13"/>
                <w:szCs w:val="13"/>
                <w:b w:val="1"/>
                <w:bCs w:val="1"/>
                <w:color w:val="auto"/>
                <w:w w:val="92"/>
              </w:rPr>
              <w:t>Acquirable</w:t>
            </w:r>
          </w:p>
        </w:tc>
        <w:tc>
          <w:tcPr>
            <w:tcW w:w="100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1120" w:type="dxa"/>
            <w:vAlign w:val="bottom"/>
            <w:gridSpan w:val="2"/>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56"/>
        </w:trPr>
        <w:tc>
          <w:tcPr>
            <w:tcW w:w="4280" w:type="dxa"/>
            <w:vAlign w:val="bottom"/>
            <w:gridSpan w:val="2"/>
          </w:tcPr>
          <w:p>
            <w:pPr>
              <w:spacing w:after="0"/>
              <w:rPr>
                <w:sz w:val="20"/>
                <w:szCs w:val="20"/>
                <w:color w:val="auto"/>
              </w:rPr>
            </w:pPr>
            <w:r>
              <w:rPr>
                <w:rFonts w:ascii="Arial" w:cs="Arial" w:eastAsia="Arial" w:hAnsi="Arial"/>
                <w:sz w:val="13"/>
                <w:szCs w:val="13"/>
                <w:b w:val="1"/>
                <w:bCs w:val="1"/>
                <w:color w:val="auto"/>
              </w:rPr>
              <w:t>Name and Address of</w:t>
            </w:r>
          </w:p>
        </w:tc>
        <w:tc>
          <w:tcPr>
            <w:tcW w:w="120" w:type="dxa"/>
            <w:vAlign w:val="bottom"/>
          </w:tcPr>
          <w:p>
            <w:pPr>
              <w:spacing w:after="0"/>
              <w:rPr>
                <w:sz w:val="13"/>
                <w:szCs w:val="13"/>
                <w:color w:val="auto"/>
              </w:rPr>
            </w:pPr>
          </w:p>
        </w:tc>
        <w:tc>
          <w:tcPr>
            <w:tcW w:w="19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26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91"/>
              </w:rPr>
              <w:t>Beneficial</w:t>
            </w:r>
          </w:p>
        </w:tc>
        <w:tc>
          <w:tcPr>
            <w:tcW w:w="122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90"/>
              </w:rPr>
              <w:t>(Stock</w:t>
            </w:r>
          </w:p>
        </w:tc>
        <w:tc>
          <w:tcPr>
            <w:tcW w:w="1220" w:type="dxa"/>
            <w:vAlign w:val="bottom"/>
            <w:gridSpan w:val="2"/>
          </w:tcPr>
          <w:p>
            <w:pPr>
              <w:jc w:val="right"/>
              <w:ind w:right="520"/>
              <w:spacing w:after="0"/>
              <w:rPr>
                <w:sz w:val="20"/>
                <w:szCs w:val="20"/>
                <w:color w:val="auto"/>
              </w:rPr>
            </w:pPr>
            <w:r>
              <w:rPr>
                <w:rFonts w:ascii="Arial" w:cs="Arial" w:eastAsia="Arial" w:hAnsi="Arial"/>
                <w:sz w:val="13"/>
                <w:szCs w:val="13"/>
                <w:b w:val="1"/>
                <w:bCs w:val="1"/>
                <w:color w:val="auto"/>
              </w:rPr>
              <w:t>Percent</w:t>
            </w:r>
          </w:p>
        </w:tc>
        <w:tc>
          <w:tcPr>
            <w:tcW w:w="1120" w:type="dxa"/>
            <w:vAlign w:val="bottom"/>
            <w:gridSpan w:val="2"/>
          </w:tcPr>
          <w:p>
            <w:pPr>
              <w:jc w:val="center"/>
              <w:ind w:right="100"/>
              <w:spacing w:after="0"/>
              <w:rPr>
                <w:sz w:val="20"/>
                <w:szCs w:val="20"/>
                <w:color w:val="auto"/>
              </w:rPr>
            </w:pPr>
            <w:r>
              <w:rPr>
                <w:rFonts w:ascii="Arial" w:cs="Arial" w:eastAsia="Arial" w:hAnsi="Arial"/>
                <w:sz w:val="13"/>
                <w:szCs w:val="13"/>
                <w:b w:val="1"/>
                <w:bCs w:val="1"/>
                <w:color w:val="auto"/>
                <w:w w:val="93"/>
              </w:rPr>
              <w:t>Voting</w:t>
            </w:r>
          </w:p>
        </w:tc>
        <w:tc>
          <w:tcPr>
            <w:tcW w:w="0" w:type="dxa"/>
            <w:vAlign w:val="bottom"/>
          </w:tcPr>
          <w:p>
            <w:pPr>
              <w:spacing w:after="0"/>
              <w:rPr>
                <w:sz w:val="1"/>
                <w:szCs w:val="1"/>
                <w:color w:val="auto"/>
              </w:rPr>
            </w:pPr>
          </w:p>
        </w:tc>
      </w:tr>
      <w:tr>
        <w:trPr>
          <w:trHeight w:val="196"/>
        </w:trPr>
        <w:tc>
          <w:tcPr>
            <w:tcW w:w="20" w:type="dxa"/>
            <w:vAlign w:val="bottom"/>
          </w:tcPr>
          <w:p>
            <w:pPr>
              <w:spacing w:after="0"/>
              <w:rPr>
                <w:sz w:val="17"/>
                <w:szCs w:val="17"/>
                <w:color w:val="auto"/>
              </w:rPr>
            </w:pPr>
          </w:p>
        </w:tc>
        <w:tc>
          <w:tcPr>
            <w:tcW w:w="4260" w:type="dxa"/>
            <w:vAlign w:val="bottom"/>
          </w:tcPr>
          <w:p>
            <w:pPr>
              <w:ind w:left="20"/>
              <w:spacing w:after="0"/>
              <w:rPr>
                <w:sz w:val="20"/>
                <w:szCs w:val="20"/>
                <w:color w:val="auto"/>
              </w:rPr>
            </w:pPr>
            <w:r>
              <w:rPr>
                <w:rFonts w:ascii="Arial" w:cs="Arial" w:eastAsia="Arial" w:hAnsi="Arial"/>
                <w:sz w:val="13"/>
                <w:szCs w:val="13"/>
                <w:b w:val="1"/>
                <w:bCs w:val="1"/>
                <w:color w:val="auto"/>
              </w:rPr>
              <w:t>Beneficial Owner (1)</w:t>
            </w:r>
          </w:p>
        </w:tc>
        <w:tc>
          <w:tcPr>
            <w:tcW w:w="120" w:type="dxa"/>
            <w:vAlign w:val="bottom"/>
          </w:tcPr>
          <w:p>
            <w:pPr>
              <w:spacing w:after="0"/>
              <w:rPr>
                <w:sz w:val="17"/>
                <w:szCs w:val="17"/>
                <w:color w:val="auto"/>
              </w:rPr>
            </w:pPr>
          </w:p>
        </w:tc>
        <w:tc>
          <w:tcPr>
            <w:tcW w:w="2060" w:type="dxa"/>
            <w:vAlign w:val="bottom"/>
            <w:gridSpan w:val="2"/>
          </w:tcPr>
          <w:p>
            <w:pPr>
              <w:ind w:left="600"/>
              <w:spacing w:after="0"/>
              <w:rPr>
                <w:sz w:val="20"/>
                <w:szCs w:val="20"/>
                <w:color w:val="auto"/>
              </w:rPr>
            </w:pPr>
            <w:r>
              <w:rPr>
                <w:rFonts w:ascii="Arial" w:cs="Arial" w:eastAsia="Arial" w:hAnsi="Arial"/>
                <w:sz w:val="13"/>
                <w:szCs w:val="13"/>
                <w:b w:val="1"/>
                <w:bCs w:val="1"/>
                <w:color w:val="auto"/>
              </w:rPr>
              <w:t>Title of Class</w:t>
            </w:r>
          </w:p>
        </w:tc>
        <w:tc>
          <w:tcPr>
            <w:tcW w:w="1260" w:type="dxa"/>
            <w:vAlign w:val="bottom"/>
            <w:gridSpan w:val="2"/>
          </w:tcPr>
          <w:p>
            <w:pPr>
              <w:jc w:val="center"/>
              <w:ind w:right="240"/>
              <w:spacing w:after="0"/>
              <w:rPr>
                <w:sz w:val="20"/>
                <w:szCs w:val="20"/>
                <w:color w:val="auto"/>
              </w:rPr>
            </w:pPr>
            <w:r>
              <w:rPr>
                <w:rFonts w:ascii="Arial" w:cs="Arial" w:eastAsia="Arial" w:hAnsi="Arial"/>
                <w:sz w:val="13"/>
                <w:szCs w:val="13"/>
                <w:b w:val="1"/>
                <w:bCs w:val="1"/>
                <w:color w:val="auto"/>
                <w:w w:val="92"/>
              </w:rPr>
              <w:t>Ownership</w:t>
            </w:r>
          </w:p>
        </w:tc>
        <w:tc>
          <w:tcPr>
            <w:tcW w:w="122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92"/>
              </w:rPr>
              <w:t>Options)(2)</w:t>
            </w:r>
          </w:p>
        </w:tc>
        <w:tc>
          <w:tcPr>
            <w:tcW w:w="1220" w:type="dxa"/>
            <w:vAlign w:val="bottom"/>
            <w:gridSpan w:val="2"/>
          </w:tcPr>
          <w:p>
            <w:pPr>
              <w:jc w:val="right"/>
              <w:ind w:right="500"/>
              <w:spacing w:after="0"/>
              <w:rPr>
                <w:sz w:val="20"/>
                <w:szCs w:val="20"/>
                <w:color w:val="auto"/>
              </w:rPr>
            </w:pPr>
            <w:r>
              <w:rPr>
                <w:rFonts w:ascii="Arial" w:cs="Arial" w:eastAsia="Arial" w:hAnsi="Arial"/>
                <w:sz w:val="13"/>
                <w:szCs w:val="13"/>
                <w:b w:val="1"/>
                <w:bCs w:val="1"/>
                <w:color w:val="auto"/>
              </w:rPr>
              <w:t>of Class</w:t>
            </w:r>
          </w:p>
        </w:tc>
        <w:tc>
          <w:tcPr>
            <w:tcW w:w="1120" w:type="dxa"/>
            <w:vAlign w:val="bottom"/>
            <w:gridSpan w:val="2"/>
          </w:tcPr>
          <w:p>
            <w:pPr>
              <w:jc w:val="center"/>
              <w:ind w:right="120"/>
              <w:spacing w:after="0" w:line="196" w:lineRule="exact"/>
              <w:rPr>
                <w:sz w:val="20"/>
                <w:szCs w:val="20"/>
                <w:color w:val="auto"/>
              </w:rPr>
            </w:pPr>
            <w:r>
              <w:rPr>
                <w:rFonts w:ascii="Arial" w:cs="Arial" w:eastAsia="Arial" w:hAnsi="Arial"/>
                <w:sz w:val="13"/>
                <w:szCs w:val="13"/>
                <w:b w:val="1"/>
                <w:bCs w:val="1"/>
                <w:color w:val="auto"/>
                <w:w w:val="85"/>
              </w:rPr>
              <w:t>Power</w:t>
            </w:r>
            <w:r>
              <w:rPr>
                <w:rFonts w:ascii="Arial" w:cs="Arial" w:eastAsia="Arial" w:hAnsi="Arial"/>
                <w:sz w:val="21"/>
                <w:szCs w:val="21"/>
                <w:b w:val="1"/>
                <w:bCs w:val="1"/>
                <w:color w:val="auto"/>
                <w:w w:val="85"/>
                <w:vertAlign w:val="superscript"/>
              </w:rPr>
              <w:t>(3)</w:t>
            </w: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4260" w:type="dxa"/>
            <w:vAlign w:val="bottom"/>
            <w:tcBorders>
              <w:top w:val="single" w:sz="8" w:color="auto"/>
            </w:tcBorders>
          </w:tcPr>
          <w:p>
            <w:pPr>
              <w:spacing w:after="0"/>
              <w:rPr>
                <w:sz w:val="12"/>
                <w:szCs w:val="12"/>
                <w:color w:val="auto"/>
              </w:rPr>
            </w:pPr>
          </w:p>
        </w:tc>
        <w:tc>
          <w:tcPr>
            <w:tcW w:w="120" w:type="dxa"/>
            <w:vAlign w:val="bottom"/>
          </w:tcPr>
          <w:p>
            <w:pPr>
              <w:spacing w:after="0"/>
              <w:rPr>
                <w:sz w:val="12"/>
                <w:szCs w:val="12"/>
                <w:color w:val="auto"/>
              </w:rPr>
            </w:pPr>
          </w:p>
        </w:tc>
        <w:tc>
          <w:tcPr>
            <w:tcW w:w="1940" w:type="dxa"/>
            <w:vAlign w:val="bottom"/>
            <w:tcBorders>
              <w:top w:val="single" w:sz="8" w:color="auto"/>
            </w:tcBorders>
          </w:tcPr>
          <w:p>
            <w:pPr>
              <w:spacing w:after="0"/>
              <w:rPr>
                <w:sz w:val="12"/>
                <w:szCs w:val="12"/>
                <w:color w:val="auto"/>
              </w:rPr>
            </w:pPr>
          </w:p>
        </w:tc>
        <w:tc>
          <w:tcPr>
            <w:tcW w:w="120" w:type="dxa"/>
            <w:vAlign w:val="bottom"/>
          </w:tcPr>
          <w:p>
            <w:pPr>
              <w:spacing w:after="0"/>
              <w:rPr>
                <w:sz w:val="12"/>
                <w:szCs w:val="12"/>
                <w:color w:val="auto"/>
              </w:rPr>
            </w:pPr>
          </w:p>
        </w:tc>
        <w:tc>
          <w:tcPr>
            <w:tcW w:w="1020" w:type="dxa"/>
            <w:vAlign w:val="bottom"/>
            <w:tcBorders>
              <w:top w:val="single" w:sz="8" w:color="auto"/>
            </w:tcBorders>
          </w:tcPr>
          <w:p>
            <w:pPr>
              <w:spacing w:after="0"/>
              <w:rPr>
                <w:sz w:val="12"/>
                <w:szCs w:val="12"/>
                <w:color w:val="auto"/>
              </w:rPr>
            </w:pPr>
          </w:p>
        </w:tc>
        <w:tc>
          <w:tcPr>
            <w:tcW w:w="240" w:type="dxa"/>
            <w:vAlign w:val="bottom"/>
          </w:tcPr>
          <w:p>
            <w:pPr>
              <w:spacing w:after="0"/>
              <w:rPr>
                <w:sz w:val="12"/>
                <w:szCs w:val="12"/>
                <w:color w:val="auto"/>
              </w:rPr>
            </w:pPr>
          </w:p>
        </w:tc>
        <w:tc>
          <w:tcPr>
            <w:tcW w:w="1000" w:type="dxa"/>
            <w:vAlign w:val="bottom"/>
            <w:tcBorders>
              <w:top w:val="single" w:sz="8" w:color="auto"/>
            </w:tcBorders>
          </w:tcPr>
          <w:p>
            <w:pPr>
              <w:spacing w:after="0"/>
              <w:rPr>
                <w:sz w:val="12"/>
                <w:szCs w:val="12"/>
                <w:color w:val="auto"/>
              </w:rPr>
            </w:pPr>
          </w:p>
        </w:tc>
        <w:tc>
          <w:tcPr>
            <w:tcW w:w="220" w:type="dxa"/>
            <w:vAlign w:val="bottom"/>
          </w:tcPr>
          <w:p>
            <w:pPr>
              <w:spacing w:after="0"/>
              <w:rPr>
                <w:sz w:val="12"/>
                <w:szCs w:val="12"/>
                <w:color w:val="auto"/>
              </w:rPr>
            </w:pPr>
          </w:p>
        </w:tc>
        <w:tc>
          <w:tcPr>
            <w:tcW w:w="1000" w:type="dxa"/>
            <w:vAlign w:val="bottom"/>
            <w:tcBorders>
              <w:top w:val="single" w:sz="8" w:color="auto"/>
            </w:tcBorders>
          </w:tcPr>
          <w:p>
            <w:pPr>
              <w:spacing w:after="0"/>
              <w:rPr>
                <w:sz w:val="12"/>
                <w:szCs w:val="12"/>
                <w:color w:val="auto"/>
              </w:rPr>
            </w:pPr>
          </w:p>
        </w:tc>
        <w:tc>
          <w:tcPr>
            <w:tcW w:w="220" w:type="dxa"/>
            <w:vAlign w:val="bottom"/>
          </w:tcPr>
          <w:p>
            <w:pPr>
              <w:spacing w:after="0"/>
              <w:rPr>
                <w:sz w:val="12"/>
                <w:szCs w:val="12"/>
                <w:color w:val="auto"/>
              </w:rPr>
            </w:pPr>
          </w:p>
        </w:tc>
        <w:tc>
          <w:tcPr>
            <w:tcW w:w="1020" w:type="dxa"/>
            <w:vAlign w:val="bottom"/>
            <w:tcBorders>
              <w:top w:val="single" w:sz="8" w:color="auto"/>
            </w:tcBorders>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4260" w:type="dxa"/>
            <w:vAlign w:val="bottom"/>
            <w:shd w:val="clear" w:color="auto" w:fill="CCEEFF"/>
          </w:tcPr>
          <w:p>
            <w:pPr>
              <w:spacing w:after="0"/>
              <w:rPr>
                <w:sz w:val="20"/>
                <w:szCs w:val="20"/>
                <w:color w:val="auto"/>
              </w:rPr>
            </w:pPr>
            <w:r>
              <w:rPr>
                <w:rFonts w:ascii="Arial" w:cs="Arial" w:eastAsia="Arial" w:hAnsi="Arial"/>
                <w:sz w:val="13"/>
                <w:szCs w:val="13"/>
                <w:b w:val="1"/>
                <w:bCs w:val="1"/>
                <w:color w:val="auto"/>
              </w:rPr>
              <w:t>Director and Executive Officers</w:t>
            </w:r>
          </w:p>
        </w:tc>
        <w:tc>
          <w:tcPr>
            <w:tcW w:w="120" w:type="dxa"/>
            <w:vAlign w:val="bottom"/>
            <w:shd w:val="clear" w:color="auto" w:fill="CCEEFF"/>
          </w:tcPr>
          <w:p>
            <w:pPr>
              <w:spacing w:after="0"/>
              <w:rPr>
                <w:sz w:val="13"/>
                <w:szCs w:val="13"/>
                <w:color w:val="auto"/>
              </w:rPr>
            </w:pPr>
          </w:p>
        </w:tc>
        <w:tc>
          <w:tcPr>
            <w:tcW w:w="194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260" w:type="dxa"/>
            <w:vAlign w:val="bottom"/>
          </w:tcPr>
          <w:p>
            <w:pPr>
              <w:spacing w:after="0"/>
              <w:rPr>
                <w:sz w:val="20"/>
                <w:szCs w:val="20"/>
                <w:color w:val="auto"/>
              </w:rPr>
            </w:pPr>
            <w:r>
              <w:rPr>
                <w:rFonts w:ascii="Arial" w:cs="Arial" w:eastAsia="Arial" w:hAnsi="Arial"/>
                <w:sz w:val="13"/>
                <w:szCs w:val="13"/>
                <w:color w:val="auto"/>
              </w:rPr>
              <w:t>William Santana Li (4)</w:t>
            </w:r>
          </w:p>
        </w:tc>
        <w:tc>
          <w:tcPr>
            <w:tcW w:w="120" w:type="dxa"/>
            <w:vAlign w:val="bottom"/>
          </w:tcPr>
          <w:p>
            <w:pPr>
              <w:spacing w:after="0"/>
              <w:rPr>
                <w:sz w:val="13"/>
                <w:szCs w:val="13"/>
                <w:color w:val="auto"/>
              </w:rPr>
            </w:pPr>
          </w:p>
        </w:tc>
        <w:tc>
          <w:tcPr>
            <w:tcW w:w="2060" w:type="dxa"/>
            <w:vAlign w:val="bottom"/>
            <w:gridSpan w:val="2"/>
          </w:tcPr>
          <w:p>
            <w:pPr>
              <w:spacing w:after="0"/>
              <w:rPr>
                <w:sz w:val="20"/>
                <w:szCs w:val="20"/>
                <w:color w:val="auto"/>
              </w:rPr>
            </w:pPr>
            <w:r>
              <w:rPr>
                <w:rFonts w:ascii="Arial" w:cs="Arial" w:eastAsia="Arial" w:hAnsi="Arial"/>
                <w:sz w:val="13"/>
                <w:szCs w:val="13"/>
                <w:color w:val="auto"/>
              </w:rPr>
              <w:t>Class B Common</w:t>
            </w:r>
          </w:p>
        </w:tc>
        <w:tc>
          <w:tcPr>
            <w:tcW w:w="1020" w:type="dxa"/>
            <w:vAlign w:val="bottom"/>
          </w:tcPr>
          <w:p>
            <w:pPr>
              <w:jc w:val="right"/>
              <w:spacing w:after="0"/>
              <w:rPr>
                <w:sz w:val="20"/>
                <w:szCs w:val="20"/>
                <w:color w:val="auto"/>
              </w:rPr>
            </w:pPr>
            <w:r>
              <w:rPr>
                <w:rFonts w:ascii="Arial" w:cs="Arial" w:eastAsia="Arial" w:hAnsi="Arial"/>
                <w:sz w:val="13"/>
                <w:szCs w:val="13"/>
                <w:color w:val="auto"/>
              </w:rPr>
              <w:t>7,000,000</w:t>
            </w:r>
          </w:p>
        </w:tc>
        <w:tc>
          <w:tcPr>
            <w:tcW w:w="240" w:type="dxa"/>
            <w:vAlign w:val="bottom"/>
          </w:tcPr>
          <w:p>
            <w:pPr>
              <w:spacing w:after="0"/>
              <w:rPr>
                <w:sz w:val="13"/>
                <w:szCs w:val="13"/>
                <w:color w:val="auto"/>
              </w:rPr>
            </w:pPr>
          </w:p>
        </w:tc>
        <w:tc>
          <w:tcPr>
            <w:tcW w:w="1000" w:type="dxa"/>
            <w:vAlign w:val="bottom"/>
          </w:tcPr>
          <w:p>
            <w:pPr>
              <w:jc w:val="right"/>
              <w:spacing w:after="0"/>
              <w:rPr>
                <w:sz w:val="20"/>
                <w:szCs w:val="20"/>
                <w:color w:val="auto"/>
              </w:rPr>
            </w:pPr>
            <w:r>
              <w:rPr>
                <w:rFonts w:ascii="Arial" w:cs="Arial" w:eastAsia="Arial" w:hAnsi="Arial"/>
                <w:sz w:val="13"/>
                <w:szCs w:val="13"/>
                <w:color w:val="auto"/>
              </w:rPr>
              <w:t>-</w:t>
            </w:r>
          </w:p>
        </w:tc>
        <w:tc>
          <w:tcPr>
            <w:tcW w:w="220" w:type="dxa"/>
            <w:vAlign w:val="bottom"/>
          </w:tcPr>
          <w:p>
            <w:pPr>
              <w:spacing w:after="0"/>
              <w:rPr>
                <w:sz w:val="13"/>
                <w:szCs w:val="13"/>
                <w:color w:val="auto"/>
              </w:rPr>
            </w:pPr>
          </w:p>
        </w:tc>
        <w:tc>
          <w:tcPr>
            <w:tcW w:w="1220" w:type="dxa"/>
            <w:vAlign w:val="bottom"/>
            <w:gridSpan w:val="2"/>
          </w:tcPr>
          <w:p>
            <w:pPr>
              <w:jc w:val="right"/>
              <w:ind w:right="120"/>
              <w:spacing w:after="0"/>
              <w:rPr>
                <w:sz w:val="20"/>
                <w:szCs w:val="20"/>
                <w:color w:val="auto"/>
              </w:rPr>
            </w:pPr>
            <w:r>
              <w:rPr>
                <w:rFonts w:ascii="Arial" w:cs="Arial" w:eastAsia="Arial" w:hAnsi="Arial"/>
                <w:sz w:val="13"/>
                <w:szCs w:val="13"/>
                <w:color w:val="auto"/>
              </w:rPr>
              <w:t>68.70%</w:t>
            </w:r>
          </w:p>
        </w:tc>
        <w:tc>
          <w:tcPr>
            <w:tcW w:w="1120" w:type="dxa"/>
            <w:vAlign w:val="bottom"/>
            <w:gridSpan w:val="2"/>
          </w:tcPr>
          <w:p>
            <w:pPr>
              <w:jc w:val="right"/>
              <w:spacing w:after="0"/>
              <w:rPr>
                <w:sz w:val="20"/>
                <w:szCs w:val="20"/>
                <w:color w:val="auto"/>
              </w:rPr>
            </w:pPr>
            <w:r>
              <w:rPr>
                <w:rFonts w:ascii="Arial" w:cs="Arial" w:eastAsia="Arial" w:hAnsi="Arial"/>
                <w:sz w:val="13"/>
                <w:szCs w:val="13"/>
                <w:color w:val="auto"/>
              </w:rPr>
              <w:t>26.24%</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260" w:type="dxa"/>
            <w:vAlign w:val="bottom"/>
            <w:shd w:val="clear" w:color="auto" w:fill="CCEEFF"/>
          </w:tcPr>
          <w:p>
            <w:pPr>
              <w:spacing w:after="0"/>
              <w:rPr>
                <w:sz w:val="20"/>
                <w:szCs w:val="20"/>
                <w:color w:val="auto"/>
              </w:rPr>
            </w:pPr>
            <w:r>
              <w:rPr>
                <w:rFonts w:ascii="Arial" w:cs="Arial" w:eastAsia="Arial" w:hAnsi="Arial"/>
                <w:sz w:val="13"/>
                <w:szCs w:val="13"/>
                <w:color w:val="auto"/>
              </w:rPr>
              <w:t>Stacy Dean Stephens</w:t>
            </w:r>
          </w:p>
        </w:tc>
        <w:tc>
          <w:tcPr>
            <w:tcW w:w="120" w:type="dxa"/>
            <w:vAlign w:val="bottom"/>
            <w:shd w:val="clear" w:color="auto" w:fill="CCEEFF"/>
          </w:tcPr>
          <w:p>
            <w:pPr>
              <w:spacing w:after="0"/>
              <w:rPr>
                <w:sz w:val="13"/>
                <w:szCs w:val="13"/>
                <w:color w:val="auto"/>
              </w:rPr>
            </w:pPr>
          </w:p>
        </w:tc>
        <w:tc>
          <w:tcPr>
            <w:tcW w:w="206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Class B Common</w:t>
            </w:r>
          </w:p>
        </w:tc>
        <w:tc>
          <w:tcPr>
            <w:tcW w:w="10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3,000,000</w:t>
            </w:r>
          </w:p>
        </w:tc>
        <w:tc>
          <w:tcPr>
            <w:tcW w:w="240" w:type="dxa"/>
            <w:vAlign w:val="bottom"/>
            <w:shd w:val="clear" w:color="auto" w:fill="CCEEFF"/>
          </w:tcPr>
          <w:p>
            <w:pPr>
              <w:spacing w:after="0"/>
              <w:rPr>
                <w:sz w:val="13"/>
                <w:szCs w:val="13"/>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220" w:type="dxa"/>
            <w:vAlign w:val="bottom"/>
            <w:shd w:val="clear" w:color="auto" w:fill="CCEEFF"/>
          </w:tcPr>
          <w:p>
            <w:pPr>
              <w:spacing w:after="0"/>
              <w:rPr>
                <w:sz w:val="13"/>
                <w:szCs w:val="13"/>
                <w:color w:val="auto"/>
              </w:rPr>
            </w:pPr>
          </w:p>
        </w:tc>
        <w:tc>
          <w:tcPr>
            <w:tcW w:w="1220" w:type="dxa"/>
            <w:vAlign w:val="bottom"/>
            <w:gridSpan w:val="2"/>
            <w:shd w:val="clear" w:color="auto" w:fill="CCEEFF"/>
          </w:tcPr>
          <w:p>
            <w:pPr>
              <w:jc w:val="right"/>
              <w:ind w:right="120"/>
              <w:spacing w:after="0"/>
              <w:rPr>
                <w:sz w:val="20"/>
                <w:szCs w:val="20"/>
                <w:color w:val="auto"/>
              </w:rPr>
            </w:pPr>
            <w:r>
              <w:rPr>
                <w:rFonts w:ascii="Arial" w:cs="Arial" w:eastAsia="Arial" w:hAnsi="Arial"/>
                <w:sz w:val="13"/>
                <w:szCs w:val="13"/>
                <w:color w:val="auto"/>
              </w:rPr>
              <w:t>29.44%</w:t>
            </w:r>
          </w:p>
        </w:tc>
        <w:tc>
          <w:tcPr>
            <w:tcW w:w="1120" w:type="dxa"/>
            <w:vAlign w:val="bottom"/>
            <w:gridSpan w:val="2"/>
            <w:shd w:val="clear" w:color="auto" w:fill="CCEEFF"/>
          </w:tcPr>
          <w:p>
            <w:pPr>
              <w:jc w:val="right"/>
              <w:spacing w:after="0"/>
              <w:rPr>
                <w:sz w:val="20"/>
                <w:szCs w:val="20"/>
                <w:color w:val="auto"/>
              </w:rPr>
            </w:pPr>
            <w:r>
              <w:rPr>
                <w:rFonts w:ascii="Arial" w:cs="Arial" w:eastAsia="Arial" w:hAnsi="Arial"/>
                <w:sz w:val="13"/>
                <w:szCs w:val="13"/>
                <w:color w:val="auto"/>
              </w:rPr>
              <w:t>11.25%</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260" w:type="dxa"/>
            <w:vAlign w:val="bottom"/>
          </w:tcPr>
          <w:p>
            <w:pPr>
              <w:spacing w:after="0"/>
              <w:rPr>
                <w:sz w:val="20"/>
                <w:szCs w:val="20"/>
                <w:color w:val="auto"/>
              </w:rPr>
            </w:pPr>
            <w:r>
              <w:rPr>
                <w:rFonts w:ascii="Arial" w:cs="Arial" w:eastAsia="Arial" w:hAnsi="Arial"/>
                <w:sz w:val="13"/>
                <w:szCs w:val="13"/>
                <w:color w:val="auto"/>
              </w:rPr>
              <w:t>Mercedes Soria (5)</w:t>
            </w:r>
          </w:p>
        </w:tc>
        <w:tc>
          <w:tcPr>
            <w:tcW w:w="120" w:type="dxa"/>
            <w:vAlign w:val="bottom"/>
          </w:tcPr>
          <w:p>
            <w:pPr>
              <w:spacing w:after="0"/>
              <w:rPr>
                <w:sz w:val="13"/>
                <w:szCs w:val="13"/>
                <w:color w:val="auto"/>
              </w:rPr>
            </w:pPr>
          </w:p>
        </w:tc>
        <w:tc>
          <w:tcPr>
            <w:tcW w:w="2060" w:type="dxa"/>
            <w:vAlign w:val="bottom"/>
            <w:gridSpan w:val="2"/>
          </w:tcPr>
          <w:p>
            <w:pPr>
              <w:spacing w:after="0"/>
              <w:rPr>
                <w:sz w:val="20"/>
                <w:szCs w:val="20"/>
                <w:color w:val="auto"/>
              </w:rPr>
            </w:pPr>
            <w:r>
              <w:rPr>
                <w:rFonts w:ascii="Arial" w:cs="Arial" w:eastAsia="Arial" w:hAnsi="Arial"/>
                <w:sz w:val="13"/>
                <w:szCs w:val="13"/>
                <w:color w:val="auto"/>
              </w:rPr>
              <w:t>Class B Common</w:t>
            </w:r>
          </w:p>
        </w:tc>
        <w:tc>
          <w:tcPr>
            <w:tcW w:w="1020" w:type="dxa"/>
            <w:vAlign w:val="bottom"/>
          </w:tcPr>
          <w:p>
            <w:pPr>
              <w:jc w:val="right"/>
              <w:spacing w:after="0"/>
              <w:rPr>
                <w:sz w:val="20"/>
                <w:szCs w:val="20"/>
                <w:color w:val="auto"/>
              </w:rPr>
            </w:pPr>
            <w:r>
              <w:rPr>
                <w:rFonts w:ascii="Arial" w:cs="Arial" w:eastAsia="Arial" w:hAnsi="Arial"/>
                <w:sz w:val="13"/>
                <w:szCs w:val="13"/>
                <w:color w:val="auto"/>
              </w:rPr>
              <w:t>-</w:t>
            </w:r>
          </w:p>
        </w:tc>
        <w:tc>
          <w:tcPr>
            <w:tcW w:w="240" w:type="dxa"/>
            <w:vAlign w:val="bottom"/>
          </w:tcPr>
          <w:p>
            <w:pPr>
              <w:spacing w:after="0"/>
              <w:rPr>
                <w:sz w:val="13"/>
                <w:szCs w:val="13"/>
                <w:color w:val="auto"/>
              </w:rPr>
            </w:pPr>
          </w:p>
        </w:tc>
        <w:tc>
          <w:tcPr>
            <w:tcW w:w="1000" w:type="dxa"/>
            <w:vAlign w:val="bottom"/>
          </w:tcPr>
          <w:p>
            <w:pPr>
              <w:jc w:val="right"/>
              <w:spacing w:after="0"/>
              <w:rPr>
                <w:sz w:val="20"/>
                <w:szCs w:val="20"/>
                <w:color w:val="auto"/>
              </w:rPr>
            </w:pPr>
            <w:r>
              <w:rPr>
                <w:rFonts w:ascii="Arial" w:cs="Arial" w:eastAsia="Arial" w:hAnsi="Arial"/>
                <w:sz w:val="13"/>
                <w:szCs w:val="13"/>
                <w:color w:val="auto"/>
              </w:rPr>
              <w:t>300,000</w:t>
            </w:r>
          </w:p>
        </w:tc>
        <w:tc>
          <w:tcPr>
            <w:tcW w:w="220" w:type="dxa"/>
            <w:vAlign w:val="bottom"/>
          </w:tcPr>
          <w:p>
            <w:pPr>
              <w:spacing w:after="0"/>
              <w:rPr>
                <w:sz w:val="13"/>
                <w:szCs w:val="13"/>
                <w:color w:val="auto"/>
              </w:rPr>
            </w:pPr>
          </w:p>
        </w:tc>
        <w:tc>
          <w:tcPr>
            <w:tcW w:w="100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120" w:type="dxa"/>
            <w:vAlign w:val="bottom"/>
            <w:gridSpan w:val="2"/>
          </w:tcPr>
          <w:p>
            <w:pPr>
              <w:jc w:val="right"/>
              <w:spacing w:after="0"/>
              <w:rPr>
                <w:sz w:val="20"/>
                <w:szCs w:val="20"/>
                <w:color w:val="auto"/>
              </w:rPr>
            </w:pPr>
            <w:r>
              <w:rPr>
                <w:rFonts w:ascii="Arial" w:cs="Arial" w:eastAsia="Arial" w:hAnsi="Arial"/>
                <w:sz w:val="13"/>
                <w:szCs w:val="13"/>
                <w:color w:val="auto"/>
              </w:rPr>
              <w:t>1.11%</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260" w:type="dxa"/>
            <w:vAlign w:val="bottom"/>
            <w:shd w:val="clear" w:color="auto" w:fill="CCEEFF"/>
          </w:tcPr>
          <w:p>
            <w:pPr>
              <w:spacing w:after="0"/>
              <w:rPr>
                <w:sz w:val="20"/>
                <w:szCs w:val="20"/>
                <w:color w:val="auto"/>
              </w:rPr>
            </w:pPr>
            <w:r>
              <w:rPr>
                <w:rFonts w:ascii="Arial" w:cs="Arial" w:eastAsia="Arial" w:hAnsi="Arial"/>
                <w:sz w:val="13"/>
                <w:szCs w:val="13"/>
                <w:color w:val="auto"/>
              </w:rPr>
              <w:t>Aaron Lehnhardt</w:t>
            </w:r>
          </w:p>
        </w:tc>
        <w:tc>
          <w:tcPr>
            <w:tcW w:w="120" w:type="dxa"/>
            <w:vAlign w:val="bottom"/>
            <w:shd w:val="clear" w:color="auto" w:fill="CCEEFF"/>
          </w:tcPr>
          <w:p>
            <w:pPr>
              <w:spacing w:after="0"/>
              <w:rPr>
                <w:sz w:val="13"/>
                <w:szCs w:val="13"/>
                <w:color w:val="auto"/>
              </w:rPr>
            </w:pPr>
          </w:p>
        </w:tc>
        <w:tc>
          <w:tcPr>
            <w:tcW w:w="206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Class B Common</w:t>
            </w:r>
          </w:p>
        </w:tc>
        <w:tc>
          <w:tcPr>
            <w:tcW w:w="10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240" w:type="dxa"/>
            <w:vAlign w:val="bottom"/>
            <w:shd w:val="clear" w:color="auto" w:fill="CCEEFF"/>
          </w:tcPr>
          <w:p>
            <w:pPr>
              <w:spacing w:after="0"/>
              <w:rPr>
                <w:sz w:val="13"/>
                <w:szCs w:val="13"/>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300,000</w:t>
            </w: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120" w:type="dxa"/>
            <w:vAlign w:val="bottom"/>
            <w:gridSpan w:val="2"/>
            <w:shd w:val="clear" w:color="auto" w:fill="CCEEFF"/>
          </w:tcPr>
          <w:p>
            <w:pPr>
              <w:jc w:val="right"/>
              <w:spacing w:after="0"/>
              <w:rPr>
                <w:sz w:val="20"/>
                <w:szCs w:val="20"/>
                <w:color w:val="auto"/>
              </w:rPr>
            </w:pPr>
            <w:r>
              <w:rPr>
                <w:rFonts w:ascii="Arial" w:cs="Arial" w:eastAsia="Arial" w:hAnsi="Arial"/>
                <w:sz w:val="13"/>
                <w:szCs w:val="13"/>
                <w:color w:val="auto"/>
              </w:rPr>
              <w:t>1.11%</w:t>
            </w:r>
          </w:p>
        </w:tc>
        <w:tc>
          <w:tcPr>
            <w:tcW w:w="0" w:type="dxa"/>
            <w:vAlign w:val="bottom"/>
          </w:tcPr>
          <w:p>
            <w:pPr>
              <w:spacing w:after="0"/>
              <w:rPr>
                <w:sz w:val="1"/>
                <w:szCs w:val="1"/>
                <w:color w:val="auto"/>
              </w:rPr>
            </w:pPr>
          </w:p>
        </w:tc>
      </w:tr>
      <w:tr>
        <w:trPr>
          <w:trHeight w:val="144"/>
        </w:trPr>
        <w:tc>
          <w:tcPr>
            <w:tcW w:w="20" w:type="dxa"/>
            <w:vAlign w:val="bottom"/>
          </w:tcPr>
          <w:p>
            <w:pPr>
              <w:spacing w:after="0"/>
              <w:rPr>
                <w:sz w:val="12"/>
                <w:szCs w:val="12"/>
                <w:color w:val="auto"/>
              </w:rPr>
            </w:pPr>
          </w:p>
        </w:tc>
        <w:tc>
          <w:tcPr>
            <w:tcW w:w="4260" w:type="dxa"/>
            <w:vAlign w:val="bottom"/>
          </w:tcPr>
          <w:p>
            <w:pPr>
              <w:spacing w:after="0" w:line="144" w:lineRule="exact"/>
              <w:rPr>
                <w:sz w:val="20"/>
                <w:szCs w:val="20"/>
                <w:color w:val="auto"/>
              </w:rPr>
            </w:pPr>
            <w:r>
              <w:rPr>
                <w:rFonts w:ascii="Arial" w:cs="Arial" w:eastAsia="Arial" w:hAnsi="Arial"/>
                <w:sz w:val="13"/>
                <w:szCs w:val="13"/>
                <w:b w:val="1"/>
                <w:bCs w:val="1"/>
                <w:color w:val="auto"/>
                <w:w w:val="89"/>
              </w:rPr>
              <w:t>All current officers and directors and director nominees as a group (6 people</w:t>
            </w:r>
          </w:p>
        </w:tc>
        <w:tc>
          <w:tcPr>
            <w:tcW w:w="120" w:type="dxa"/>
            <w:vAlign w:val="bottom"/>
          </w:tcPr>
          <w:p>
            <w:pPr>
              <w:spacing w:after="0"/>
              <w:rPr>
                <w:sz w:val="12"/>
                <w:szCs w:val="12"/>
                <w:color w:val="auto"/>
              </w:rPr>
            </w:pPr>
          </w:p>
        </w:tc>
        <w:tc>
          <w:tcPr>
            <w:tcW w:w="19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02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00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0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8"/>
        </w:trPr>
        <w:tc>
          <w:tcPr>
            <w:tcW w:w="4280" w:type="dxa"/>
            <w:vAlign w:val="bottom"/>
            <w:gridSpan w:val="2"/>
          </w:tcPr>
          <w:p>
            <w:pPr>
              <w:spacing w:after="0"/>
              <w:rPr>
                <w:sz w:val="20"/>
                <w:szCs w:val="20"/>
                <w:color w:val="auto"/>
              </w:rPr>
            </w:pPr>
            <w:r>
              <w:rPr>
                <w:rFonts w:ascii="Arial" w:cs="Arial" w:eastAsia="Arial" w:hAnsi="Arial"/>
                <w:sz w:val="13"/>
                <w:szCs w:val="13"/>
                <w:b w:val="1"/>
                <w:bCs w:val="1"/>
                <w:color w:val="auto"/>
              </w:rPr>
              <w:t>before offering; 12 people after offering):</w:t>
            </w:r>
          </w:p>
        </w:tc>
        <w:tc>
          <w:tcPr>
            <w:tcW w:w="120" w:type="dxa"/>
            <w:vAlign w:val="bottom"/>
          </w:tcPr>
          <w:p>
            <w:pPr>
              <w:spacing w:after="0"/>
              <w:rPr>
                <w:sz w:val="14"/>
                <w:szCs w:val="14"/>
                <w:color w:val="auto"/>
              </w:rPr>
            </w:pPr>
          </w:p>
        </w:tc>
        <w:tc>
          <w:tcPr>
            <w:tcW w:w="2060" w:type="dxa"/>
            <w:vAlign w:val="bottom"/>
            <w:gridSpan w:val="2"/>
          </w:tcPr>
          <w:p>
            <w:pPr>
              <w:spacing w:after="0"/>
              <w:rPr>
                <w:sz w:val="20"/>
                <w:szCs w:val="20"/>
                <w:color w:val="auto"/>
              </w:rPr>
            </w:pPr>
            <w:r>
              <w:rPr>
                <w:rFonts w:ascii="Arial" w:cs="Arial" w:eastAsia="Arial" w:hAnsi="Arial"/>
                <w:sz w:val="13"/>
                <w:szCs w:val="13"/>
                <w:color w:val="auto"/>
              </w:rPr>
              <w:t>Class B Common</w:t>
            </w: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10,000,000</w:t>
            </w:r>
          </w:p>
        </w:tc>
        <w:tc>
          <w:tcPr>
            <w:tcW w:w="1000" w:type="dxa"/>
            <w:vAlign w:val="bottom"/>
          </w:tcPr>
          <w:p>
            <w:pPr>
              <w:jc w:val="right"/>
              <w:spacing w:after="0"/>
              <w:rPr>
                <w:sz w:val="20"/>
                <w:szCs w:val="20"/>
                <w:color w:val="auto"/>
              </w:rPr>
            </w:pPr>
            <w:r>
              <w:rPr>
                <w:rFonts w:ascii="Arial" w:cs="Arial" w:eastAsia="Arial" w:hAnsi="Arial"/>
                <w:sz w:val="13"/>
                <w:szCs w:val="13"/>
                <w:color w:val="auto"/>
              </w:rPr>
              <w:t>600,000</w:t>
            </w:r>
          </w:p>
        </w:tc>
        <w:tc>
          <w:tcPr>
            <w:tcW w:w="220" w:type="dxa"/>
            <w:vAlign w:val="bottom"/>
          </w:tcPr>
          <w:p>
            <w:pPr>
              <w:spacing w:after="0"/>
              <w:rPr>
                <w:sz w:val="14"/>
                <w:szCs w:val="14"/>
                <w:color w:val="auto"/>
              </w:rPr>
            </w:pPr>
          </w:p>
        </w:tc>
        <w:tc>
          <w:tcPr>
            <w:tcW w:w="1220" w:type="dxa"/>
            <w:vAlign w:val="bottom"/>
            <w:gridSpan w:val="2"/>
          </w:tcPr>
          <w:p>
            <w:pPr>
              <w:jc w:val="right"/>
              <w:ind w:right="120"/>
              <w:spacing w:after="0"/>
              <w:rPr>
                <w:sz w:val="20"/>
                <w:szCs w:val="20"/>
                <w:color w:val="auto"/>
              </w:rPr>
            </w:pPr>
            <w:r>
              <w:rPr>
                <w:rFonts w:ascii="Arial" w:cs="Arial" w:eastAsia="Arial" w:hAnsi="Arial"/>
                <w:sz w:val="13"/>
                <w:szCs w:val="13"/>
                <w:color w:val="auto"/>
              </w:rPr>
              <w:t>98.15%</w:t>
            </w:r>
          </w:p>
        </w:tc>
        <w:tc>
          <w:tcPr>
            <w:tcW w:w="1120" w:type="dxa"/>
            <w:vAlign w:val="bottom"/>
            <w:gridSpan w:val="2"/>
          </w:tcPr>
          <w:p>
            <w:pPr>
              <w:jc w:val="right"/>
              <w:spacing w:after="0"/>
              <w:rPr>
                <w:sz w:val="20"/>
                <w:szCs w:val="20"/>
                <w:color w:val="auto"/>
              </w:rPr>
            </w:pPr>
            <w:r>
              <w:rPr>
                <w:rFonts w:ascii="Arial" w:cs="Arial" w:eastAsia="Arial" w:hAnsi="Arial"/>
                <w:sz w:val="13"/>
                <w:szCs w:val="13"/>
                <w:color w:val="auto"/>
              </w:rPr>
              <w:t>39.71%</w:t>
            </w:r>
          </w:p>
        </w:tc>
        <w:tc>
          <w:tcPr>
            <w:tcW w:w="0" w:type="dxa"/>
            <w:vAlign w:val="bottom"/>
          </w:tcPr>
          <w:p>
            <w:pPr>
              <w:spacing w:after="0"/>
              <w:rPr>
                <w:sz w:val="1"/>
                <w:szCs w:val="1"/>
                <w:color w:val="auto"/>
              </w:rPr>
            </w:pPr>
          </w:p>
        </w:tc>
      </w:tr>
      <w:tr>
        <w:trPr>
          <w:trHeight w:val="158"/>
        </w:trPr>
        <w:tc>
          <w:tcPr>
            <w:tcW w:w="20" w:type="dxa"/>
            <w:vAlign w:val="bottom"/>
          </w:tcPr>
          <w:p>
            <w:pPr>
              <w:spacing w:after="0"/>
              <w:rPr>
                <w:sz w:val="13"/>
                <w:szCs w:val="13"/>
                <w:color w:val="auto"/>
              </w:rPr>
            </w:pPr>
          </w:p>
        </w:tc>
        <w:tc>
          <w:tcPr>
            <w:tcW w:w="4260" w:type="dxa"/>
            <w:vAlign w:val="bottom"/>
            <w:shd w:val="clear" w:color="auto" w:fill="CCEEFF"/>
          </w:tcPr>
          <w:p>
            <w:pPr>
              <w:spacing w:after="0"/>
              <w:rPr>
                <w:sz w:val="20"/>
                <w:szCs w:val="20"/>
                <w:color w:val="auto"/>
              </w:rPr>
            </w:pPr>
            <w:r>
              <w:rPr>
                <w:rFonts w:ascii="Arial" w:cs="Arial" w:eastAsia="Arial" w:hAnsi="Arial"/>
                <w:sz w:val="13"/>
                <w:szCs w:val="13"/>
                <w:color w:val="auto"/>
              </w:rPr>
              <w:t>Mallorie Burak</w:t>
            </w:r>
          </w:p>
        </w:tc>
        <w:tc>
          <w:tcPr>
            <w:tcW w:w="120" w:type="dxa"/>
            <w:vAlign w:val="bottom"/>
            <w:shd w:val="clear" w:color="auto" w:fill="CCEEFF"/>
          </w:tcPr>
          <w:p>
            <w:pPr>
              <w:spacing w:after="0"/>
              <w:rPr>
                <w:sz w:val="13"/>
                <w:szCs w:val="13"/>
                <w:color w:val="auto"/>
              </w:rPr>
            </w:pPr>
          </w:p>
        </w:tc>
        <w:tc>
          <w:tcPr>
            <w:tcW w:w="206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Class A Common</w:t>
            </w:r>
          </w:p>
        </w:tc>
        <w:tc>
          <w:tcPr>
            <w:tcW w:w="10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125,000</w:t>
            </w: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12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260" w:type="dxa"/>
            <w:vAlign w:val="bottom"/>
            <w:shd w:val="clear" w:color="auto" w:fill="CCEEFF"/>
          </w:tcPr>
          <w:p>
            <w:pPr>
              <w:spacing w:after="0"/>
              <w:rPr>
                <w:sz w:val="20"/>
                <w:szCs w:val="20"/>
                <w:color w:val="auto"/>
              </w:rPr>
            </w:pPr>
            <w:r>
              <w:rPr>
                <w:rFonts w:ascii="Arial" w:cs="Arial" w:eastAsia="Arial" w:hAnsi="Arial"/>
                <w:sz w:val="13"/>
                <w:szCs w:val="13"/>
                <w:color w:val="auto"/>
              </w:rPr>
              <w:t>Mercedes Soria</w:t>
            </w:r>
          </w:p>
        </w:tc>
        <w:tc>
          <w:tcPr>
            <w:tcW w:w="120" w:type="dxa"/>
            <w:vAlign w:val="bottom"/>
            <w:shd w:val="clear" w:color="auto" w:fill="CCEEFF"/>
          </w:tcPr>
          <w:p>
            <w:pPr>
              <w:spacing w:after="0"/>
              <w:rPr>
                <w:sz w:val="13"/>
                <w:szCs w:val="13"/>
                <w:color w:val="auto"/>
              </w:rPr>
            </w:pPr>
          </w:p>
        </w:tc>
        <w:tc>
          <w:tcPr>
            <w:tcW w:w="206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Class A Common</w:t>
            </w:r>
          </w:p>
        </w:tc>
        <w:tc>
          <w:tcPr>
            <w:tcW w:w="10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240" w:type="dxa"/>
            <w:vAlign w:val="bottom"/>
            <w:shd w:val="clear" w:color="auto" w:fill="CCEEFF"/>
          </w:tcPr>
          <w:p>
            <w:pPr>
              <w:spacing w:after="0"/>
              <w:rPr>
                <w:sz w:val="13"/>
                <w:szCs w:val="13"/>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547,081</w:t>
            </w: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12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260" w:type="dxa"/>
            <w:vAlign w:val="bottom"/>
          </w:tcPr>
          <w:p>
            <w:pPr>
              <w:spacing w:after="0"/>
              <w:rPr>
                <w:sz w:val="20"/>
                <w:szCs w:val="20"/>
                <w:color w:val="auto"/>
              </w:rPr>
            </w:pPr>
            <w:r>
              <w:rPr>
                <w:rFonts w:ascii="Arial" w:cs="Arial" w:eastAsia="Arial" w:hAnsi="Arial"/>
                <w:sz w:val="13"/>
                <w:szCs w:val="13"/>
                <w:color w:val="auto"/>
              </w:rPr>
              <w:t>Aaron Lehnhardt</w:t>
            </w:r>
          </w:p>
        </w:tc>
        <w:tc>
          <w:tcPr>
            <w:tcW w:w="120" w:type="dxa"/>
            <w:vAlign w:val="bottom"/>
          </w:tcPr>
          <w:p>
            <w:pPr>
              <w:spacing w:after="0"/>
              <w:rPr>
                <w:sz w:val="13"/>
                <w:szCs w:val="13"/>
                <w:color w:val="auto"/>
              </w:rPr>
            </w:pPr>
          </w:p>
        </w:tc>
        <w:tc>
          <w:tcPr>
            <w:tcW w:w="2060" w:type="dxa"/>
            <w:vAlign w:val="bottom"/>
            <w:gridSpan w:val="2"/>
          </w:tcPr>
          <w:p>
            <w:pPr>
              <w:spacing w:after="0"/>
              <w:rPr>
                <w:sz w:val="20"/>
                <w:szCs w:val="20"/>
                <w:color w:val="auto"/>
              </w:rPr>
            </w:pPr>
            <w:r>
              <w:rPr>
                <w:rFonts w:ascii="Arial" w:cs="Arial" w:eastAsia="Arial" w:hAnsi="Arial"/>
                <w:sz w:val="13"/>
                <w:szCs w:val="13"/>
                <w:color w:val="auto"/>
              </w:rPr>
              <w:t>Class A Common</w:t>
            </w:r>
          </w:p>
        </w:tc>
        <w:tc>
          <w:tcPr>
            <w:tcW w:w="1020" w:type="dxa"/>
            <w:vAlign w:val="bottom"/>
          </w:tcPr>
          <w:p>
            <w:pPr>
              <w:jc w:val="right"/>
              <w:spacing w:after="0"/>
              <w:rPr>
                <w:sz w:val="20"/>
                <w:szCs w:val="20"/>
                <w:color w:val="auto"/>
              </w:rPr>
            </w:pPr>
            <w:r>
              <w:rPr>
                <w:rFonts w:ascii="Arial" w:cs="Arial" w:eastAsia="Arial" w:hAnsi="Arial"/>
                <w:sz w:val="13"/>
                <w:szCs w:val="13"/>
                <w:color w:val="auto"/>
              </w:rPr>
              <w:t>-</w:t>
            </w:r>
          </w:p>
        </w:tc>
        <w:tc>
          <w:tcPr>
            <w:tcW w:w="240" w:type="dxa"/>
            <w:vAlign w:val="bottom"/>
          </w:tcPr>
          <w:p>
            <w:pPr>
              <w:spacing w:after="0"/>
              <w:rPr>
                <w:sz w:val="13"/>
                <w:szCs w:val="13"/>
                <w:color w:val="auto"/>
              </w:rPr>
            </w:pPr>
          </w:p>
        </w:tc>
        <w:tc>
          <w:tcPr>
            <w:tcW w:w="1000" w:type="dxa"/>
            <w:vAlign w:val="bottom"/>
          </w:tcPr>
          <w:p>
            <w:pPr>
              <w:jc w:val="right"/>
              <w:spacing w:after="0"/>
              <w:rPr>
                <w:sz w:val="20"/>
                <w:szCs w:val="20"/>
                <w:color w:val="auto"/>
              </w:rPr>
            </w:pPr>
            <w:r>
              <w:rPr>
                <w:rFonts w:ascii="Arial" w:cs="Arial" w:eastAsia="Arial" w:hAnsi="Arial"/>
                <w:sz w:val="13"/>
                <w:szCs w:val="13"/>
                <w:color w:val="auto"/>
              </w:rPr>
              <w:t>547,081</w:t>
            </w:r>
          </w:p>
        </w:tc>
        <w:tc>
          <w:tcPr>
            <w:tcW w:w="220" w:type="dxa"/>
            <w:vAlign w:val="bottom"/>
          </w:tcPr>
          <w:p>
            <w:pPr>
              <w:spacing w:after="0"/>
              <w:rPr>
                <w:sz w:val="13"/>
                <w:szCs w:val="13"/>
                <w:color w:val="auto"/>
              </w:rPr>
            </w:pPr>
          </w:p>
        </w:tc>
        <w:tc>
          <w:tcPr>
            <w:tcW w:w="100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12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0" w:type="dxa"/>
            <w:vAlign w:val="bottom"/>
          </w:tcPr>
          <w:p>
            <w:pPr>
              <w:spacing w:after="0"/>
              <w:rPr>
                <w:sz w:val="1"/>
                <w:szCs w:val="1"/>
                <w:color w:val="auto"/>
              </w:rPr>
            </w:pPr>
          </w:p>
        </w:tc>
      </w:tr>
      <w:tr>
        <w:trPr>
          <w:trHeight w:val="144"/>
        </w:trPr>
        <w:tc>
          <w:tcPr>
            <w:tcW w:w="20" w:type="dxa"/>
            <w:vAlign w:val="bottom"/>
          </w:tcPr>
          <w:p>
            <w:pPr>
              <w:spacing w:after="0"/>
              <w:rPr>
                <w:sz w:val="12"/>
                <w:szCs w:val="12"/>
                <w:color w:val="auto"/>
              </w:rPr>
            </w:pPr>
          </w:p>
        </w:tc>
        <w:tc>
          <w:tcPr>
            <w:tcW w:w="4260" w:type="dxa"/>
            <w:vAlign w:val="bottom"/>
            <w:shd w:val="clear" w:color="auto" w:fill="CCEEFF"/>
          </w:tcPr>
          <w:p>
            <w:pPr>
              <w:spacing w:after="0" w:line="144" w:lineRule="exact"/>
              <w:rPr>
                <w:sz w:val="20"/>
                <w:szCs w:val="20"/>
                <w:color w:val="auto"/>
              </w:rPr>
            </w:pPr>
            <w:r>
              <w:rPr>
                <w:rFonts w:ascii="Arial" w:cs="Arial" w:eastAsia="Arial" w:hAnsi="Arial"/>
                <w:sz w:val="13"/>
                <w:szCs w:val="13"/>
                <w:b w:val="1"/>
                <w:bCs w:val="1"/>
                <w:color w:val="auto"/>
                <w:w w:val="89"/>
              </w:rPr>
              <w:t>All current officers and directors and director nominees as a group (6 people</w:t>
            </w:r>
          </w:p>
        </w:tc>
        <w:tc>
          <w:tcPr>
            <w:tcW w:w="120" w:type="dxa"/>
            <w:vAlign w:val="bottom"/>
            <w:shd w:val="clear" w:color="auto" w:fill="CCEEFF"/>
          </w:tcPr>
          <w:p>
            <w:pPr>
              <w:spacing w:after="0"/>
              <w:rPr>
                <w:sz w:val="12"/>
                <w:szCs w:val="12"/>
                <w:color w:val="auto"/>
              </w:rPr>
            </w:pPr>
          </w:p>
        </w:tc>
        <w:tc>
          <w:tcPr>
            <w:tcW w:w="194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02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100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0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4260" w:type="dxa"/>
            <w:vAlign w:val="bottom"/>
            <w:shd w:val="clear" w:color="auto" w:fill="CCEEFF"/>
          </w:tcPr>
          <w:p>
            <w:pPr>
              <w:spacing w:after="0"/>
              <w:rPr>
                <w:sz w:val="20"/>
                <w:szCs w:val="20"/>
                <w:color w:val="auto"/>
              </w:rPr>
            </w:pPr>
            <w:r>
              <w:rPr>
                <w:rFonts w:ascii="Arial" w:cs="Arial" w:eastAsia="Arial" w:hAnsi="Arial"/>
                <w:sz w:val="13"/>
                <w:szCs w:val="13"/>
                <w:b w:val="1"/>
                <w:bCs w:val="1"/>
                <w:color w:val="auto"/>
              </w:rPr>
              <w:t>before offering; 12 people after offering):</w:t>
            </w:r>
          </w:p>
        </w:tc>
        <w:tc>
          <w:tcPr>
            <w:tcW w:w="120" w:type="dxa"/>
            <w:vAlign w:val="bottom"/>
            <w:shd w:val="clear" w:color="auto" w:fill="CCEEFF"/>
          </w:tcPr>
          <w:p>
            <w:pPr>
              <w:spacing w:after="0"/>
              <w:rPr>
                <w:sz w:val="14"/>
                <w:szCs w:val="14"/>
                <w:color w:val="auto"/>
              </w:rPr>
            </w:pPr>
          </w:p>
        </w:tc>
        <w:tc>
          <w:tcPr>
            <w:tcW w:w="206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Class A Common</w:t>
            </w:r>
          </w:p>
        </w:tc>
        <w:tc>
          <w:tcPr>
            <w:tcW w:w="10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240" w:type="dxa"/>
            <w:vAlign w:val="bottom"/>
            <w:shd w:val="clear" w:color="auto" w:fill="CCEEFF"/>
          </w:tcPr>
          <w:p>
            <w:pPr>
              <w:spacing w:after="0"/>
              <w:rPr>
                <w:sz w:val="14"/>
                <w:szCs w:val="14"/>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1,219,162</w:t>
            </w:r>
          </w:p>
        </w:tc>
        <w:tc>
          <w:tcPr>
            <w:tcW w:w="220" w:type="dxa"/>
            <w:vAlign w:val="bottom"/>
            <w:shd w:val="clear" w:color="auto" w:fill="CCEEFF"/>
          </w:tcPr>
          <w:p>
            <w:pPr>
              <w:spacing w:after="0"/>
              <w:rPr>
                <w:sz w:val="14"/>
                <w:szCs w:val="14"/>
                <w:color w:val="auto"/>
              </w:rPr>
            </w:pPr>
          </w:p>
        </w:tc>
        <w:tc>
          <w:tcPr>
            <w:tcW w:w="1000" w:type="dxa"/>
            <w:vAlign w:val="bottom"/>
            <w:shd w:val="clear" w:color="auto" w:fill="CCEEFF"/>
          </w:tcPr>
          <w:p>
            <w:pPr>
              <w:spacing w:after="0"/>
              <w:rPr>
                <w:sz w:val="14"/>
                <w:szCs w:val="14"/>
                <w:color w:val="auto"/>
              </w:rPr>
            </w:pPr>
          </w:p>
        </w:tc>
        <w:tc>
          <w:tcPr>
            <w:tcW w:w="220" w:type="dxa"/>
            <w:vAlign w:val="bottom"/>
            <w:shd w:val="clear" w:color="auto" w:fill="CCEEFF"/>
          </w:tcPr>
          <w:p>
            <w:pPr>
              <w:spacing w:after="0"/>
              <w:rPr>
                <w:sz w:val="14"/>
                <w:szCs w:val="14"/>
                <w:color w:val="auto"/>
              </w:rPr>
            </w:pPr>
          </w:p>
        </w:tc>
        <w:tc>
          <w:tcPr>
            <w:tcW w:w="112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42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9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00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00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4260" w:type="dxa"/>
            <w:vAlign w:val="bottom"/>
            <w:shd w:val="clear" w:color="auto" w:fill="CCEEFF"/>
          </w:tcPr>
          <w:p>
            <w:pPr>
              <w:spacing w:after="0"/>
              <w:rPr>
                <w:sz w:val="20"/>
                <w:szCs w:val="20"/>
                <w:color w:val="auto"/>
              </w:rPr>
            </w:pPr>
            <w:r>
              <w:rPr>
                <w:rFonts w:ascii="Arial" w:cs="Arial" w:eastAsia="Arial" w:hAnsi="Arial"/>
                <w:sz w:val="13"/>
                <w:szCs w:val="13"/>
                <w:b w:val="1"/>
                <w:bCs w:val="1"/>
                <w:color w:val="auto"/>
                <w:w w:val="96"/>
              </w:rPr>
              <w:t>Stockholders with Over 5% Beneficial Ownership of Preferred Stock (6)</w:t>
            </w:r>
          </w:p>
        </w:tc>
        <w:tc>
          <w:tcPr>
            <w:tcW w:w="120" w:type="dxa"/>
            <w:vAlign w:val="bottom"/>
            <w:shd w:val="clear" w:color="auto" w:fill="CCEEFF"/>
          </w:tcPr>
          <w:p>
            <w:pPr>
              <w:spacing w:after="0"/>
              <w:rPr>
                <w:sz w:val="13"/>
                <w:szCs w:val="13"/>
                <w:color w:val="auto"/>
              </w:rPr>
            </w:pPr>
          </w:p>
        </w:tc>
        <w:tc>
          <w:tcPr>
            <w:tcW w:w="194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48"/>
        </w:trPr>
        <w:tc>
          <w:tcPr>
            <w:tcW w:w="20" w:type="dxa"/>
            <w:vAlign w:val="bottom"/>
          </w:tcPr>
          <w:p>
            <w:pPr>
              <w:spacing w:after="0"/>
              <w:rPr>
                <w:sz w:val="12"/>
                <w:szCs w:val="12"/>
                <w:color w:val="auto"/>
              </w:rPr>
            </w:pPr>
          </w:p>
        </w:tc>
        <w:tc>
          <w:tcPr>
            <w:tcW w:w="4260" w:type="dxa"/>
            <w:vAlign w:val="bottom"/>
          </w:tcPr>
          <w:p>
            <w:pPr>
              <w:spacing w:after="0" w:line="148" w:lineRule="exact"/>
              <w:rPr>
                <w:sz w:val="20"/>
                <w:szCs w:val="20"/>
                <w:color w:val="auto"/>
              </w:rPr>
            </w:pPr>
            <w:r>
              <w:rPr>
                <w:rFonts w:ascii="Arial" w:cs="Arial" w:eastAsia="Arial" w:hAnsi="Arial"/>
                <w:sz w:val="13"/>
                <w:szCs w:val="13"/>
                <w:color w:val="auto"/>
              </w:rPr>
              <w:t>New Direction IRA Inc.</w:t>
            </w:r>
          </w:p>
        </w:tc>
        <w:tc>
          <w:tcPr>
            <w:tcW w:w="120" w:type="dxa"/>
            <w:vAlign w:val="bottom"/>
          </w:tcPr>
          <w:p>
            <w:pPr>
              <w:spacing w:after="0"/>
              <w:rPr>
                <w:sz w:val="12"/>
                <w:szCs w:val="12"/>
                <w:color w:val="auto"/>
              </w:rPr>
            </w:pPr>
          </w:p>
        </w:tc>
        <w:tc>
          <w:tcPr>
            <w:tcW w:w="19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02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00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0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4"/>
        </w:trPr>
        <w:tc>
          <w:tcPr>
            <w:tcW w:w="4280" w:type="dxa"/>
            <w:vAlign w:val="bottom"/>
            <w:gridSpan w:val="2"/>
          </w:tcPr>
          <w:p>
            <w:pPr>
              <w:spacing w:after="0"/>
              <w:rPr>
                <w:sz w:val="20"/>
                <w:szCs w:val="20"/>
                <w:color w:val="auto"/>
              </w:rPr>
            </w:pPr>
            <w:r>
              <w:rPr>
                <w:rFonts w:ascii="Arial" w:cs="Arial" w:eastAsia="Arial" w:hAnsi="Arial"/>
                <w:sz w:val="13"/>
                <w:szCs w:val="13"/>
                <w:color w:val="auto"/>
              </w:rPr>
              <w:t>1070 West Country Drive, Louisville, CO 80027</w:t>
            </w:r>
          </w:p>
        </w:tc>
        <w:tc>
          <w:tcPr>
            <w:tcW w:w="120" w:type="dxa"/>
            <w:vAlign w:val="bottom"/>
          </w:tcPr>
          <w:p>
            <w:pPr>
              <w:spacing w:after="0"/>
              <w:rPr>
                <w:sz w:val="14"/>
                <w:szCs w:val="14"/>
                <w:color w:val="auto"/>
              </w:rPr>
            </w:pPr>
          </w:p>
        </w:tc>
        <w:tc>
          <w:tcPr>
            <w:tcW w:w="2060" w:type="dxa"/>
            <w:vAlign w:val="bottom"/>
            <w:gridSpan w:val="2"/>
          </w:tcPr>
          <w:p>
            <w:pPr>
              <w:spacing w:after="0"/>
              <w:rPr>
                <w:sz w:val="20"/>
                <w:szCs w:val="20"/>
                <w:color w:val="auto"/>
              </w:rPr>
            </w:pPr>
            <w:r>
              <w:rPr>
                <w:rFonts w:ascii="Arial" w:cs="Arial" w:eastAsia="Arial" w:hAnsi="Arial"/>
                <w:sz w:val="13"/>
                <w:szCs w:val="13"/>
                <w:color w:val="auto"/>
              </w:rPr>
              <w:t>Series m Preferred Stock</w:t>
            </w:r>
          </w:p>
        </w:tc>
        <w:tc>
          <w:tcPr>
            <w:tcW w:w="1020" w:type="dxa"/>
            <w:vAlign w:val="bottom"/>
          </w:tcPr>
          <w:p>
            <w:pPr>
              <w:jc w:val="right"/>
              <w:spacing w:after="0"/>
              <w:rPr>
                <w:sz w:val="20"/>
                <w:szCs w:val="20"/>
                <w:color w:val="auto"/>
              </w:rPr>
            </w:pPr>
            <w:r>
              <w:rPr>
                <w:rFonts w:ascii="Arial" w:cs="Arial" w:eastAsia="Arial" w:hAnsi="Arial"/>
                <w:sz w:val="13"/>
                <w:szCs w:val="13"/>
                <w:color w:val="auto"/>
              </w:rPr>
              <w:t>5,339,215</w:t>
            </w:r>
          </w:p>
        </w:tc>
        <w:tc>
          <w:tcPr>
            <w:tcW w:w="240" w:type="dxa"/>
            <w:vAlign w:val="bottom"/>
          </w:tcPr>
          <w:p>
            <w:pPr>
              <w:spacing w:after="0"/>
              <w:rPr>
                <w:sz w:val="14"/>
                <w:szCs w:val="14"/>
                <w:color w:val="auto"/>
              </w:rPr>
            </w:pPr>
          </w:p>
        </w:tc>
        <w:tc>
          <w:tcPr>
            <w:tcW w:w="100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20" w:type="dxa"/>
            <w:vAlign w:val="bottom"/>
            <w:gridSpan w:val="2"/>
          </w:tcPr>
          <w:p>
            <w:pPr>
              <w:jc w:val="right"/>
              <w:ind w:right="120"/>
              <w:spacing w:after="0"/>
              <w:rPr>
                <w:sz w:val="20"/>
                <w:szCs w:val="20"/>
                <w:color w:val="auto"/>
              </w:rPr>
            </w:pPr>
            <w:r>
              <w:rPr>
                <w:rFonts w:ascii="Arial" w:cs="Arial" w:eastAsia="Arial" w:hAnsi="Arial"/>
                <w:sz w:val="13"/>
                <w:szCs w:val="13"/>
                <w:color w:val="auto"/>
              </w:rPr>
              <w:t>19.32%</w:t>
            </w:r>
          </w:p>
        </w:tc>
        <w:tc>
          <w:tcPr>
            <w:tcW w:w="1120" w:type="dxa"/>
            <w:vAlign w:val="bottom"/>
            <w:gridSpan w:val="2"/>
          </w:tcPr>
          <w:p>
            <w:pPr>
              <w:jc w:val="right"/>
              <w:spacing w:after="0"/>
              <w:rPr>
                <w:sz w:val="20"/>
                <w:szCs w:val="20"/>
                <w:color w:val="auto"/>
              </w:rPr>
            </w:pPr>
            <w:r>
              <w:rPr>
                <w:rFonts w:ascii="Arial" w:cs="Arial" w:eastAsia="Arial" w:hAnsi="Arial"/>
                <w:sz w:val="13"/>
                <w:szCs w:val="13"/>
                <w:color w:val="auto"/>
              </w:rPr>
              <w:t>2.00%</w:t>
            </w:r>
          </w:p>
        </w:tc>
        <w:tc>
          <w:tcPr>
            <w:tcW w:w="0" w:type="dxa"/>
            <w:vAlign w:val="bottom"/>
          </w:tcPr>
          <w:p>
            <w:pPr>
              <w:spacing w:after="0"/>
              <w:rPr>
                <w:sz w:val="1"/>
                <w:szCs w:val="1"/>
                <w:color w:val="auto"/>
              </w:rPr>
            </w:pPr>
          </w:p>
        </w:tc>
      </w:tr>
      <w:tr>
        <w:trPr>
          <w:trHeight w:val="149"/>
        </w:trPr>
        <w:tc>
          <w:tcPr>
            <w:tcW w:w="20" w:type="dxa"/>
            <w:vAlign w:val="bottom"/>
          </w:tcPr>
          <w:p>
            <w:pPr>
              <w:spacing w:after="0"/>
              <w:rPr>
                <w:sz w:val="12"/>
                <w:szCs w:val="12"/>
                <w:color w:val="auto"/>
              </w:rPr>
            </w:pPr>
          </w:p>
        </w:tc>
        <w:tc>
          <w:tcPr>
            <w:tcW w:w="4260" w:type="dxa"/>
            <w:vAlign w:val="bottom"/>
            <w:shd w:val="clear" w:color="auto" w:fill="CCEEFF"/>
          </w:tcPr>
          <w:p>
            <w:pPr>
              <w:spacing w:after="0"/>
              <w:rPr>
                <w:sz w:val="20"/>
                <w:szCs w:val="20"/>
                <w:color w:val="auto"/>
              </w:rPr>
            </w:pPr>
            <w:r>
              <w:rPr>
                <w:rFonts w:ascii="Arial" w:cs="Arial" w:eastAsia="Arial" w:hAnsi="Arial"/>
                <w:sz w:val="13"/>
                <w:szCs w:val="13"/>
                <w:color w:val="auto"/>
              </w:rPr>
              <w:t>NetPosa Technologies (Hong Kong) Limited</w:t>
            </w:r>
          </w:p>
        </w:tc>
        <w:tc>
          <w:tcPr>
            <w:tcW w:w="120" w:type="dxa"/>
            <w:vAlign w:val="bottom"/>
            <w:shd w:val="clear" w:color="auto" w:fill="CCEEFF"/>
          </w:tcPr>
          <w:p>
            <w:pPr>
              <w:spacing w:after="0"/>
              <w:rPr>
                <w:sz w:val="12"/>
                <w:szCs w:val="12"/>
                <w:color w:val="auto"/>
              </w:rPr>
            </w:pPr>
          </w:p>
        </w:tc>
        <w:tc>
          <w:tcPr>
            <w:tcW w:w="194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02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100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0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2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260" w:type="dxa"/>
            <w:vAlign w:val="bottom"/>
            <w:shd w:val="clear" w:color="auto" w:fill="CCEEFF"/>
          </w:tcPr>
          <w:p>
            <w:pPr>
              <w:spacing w:after="0"/>
              <w:rPr>
                <w:sz w:val="20"/>
                <w:szCs w:val="20"/>
                <w:color w:val="auto"/>
              </w:rPr>
            </w:pPr>
            <w:r>
              <w:rPr>
                <w:rFonts w:ascii="Arial" w:cs="Arial" w:eastAsia="Arial" w:hAnsi="Arial"/>
                <w:sz w:val="13"/>
                <w:szCs w:val="13"/>
                <w:color w:val="auto"/>
                <w:w w:val="92"/>
              </w:rPr>
              <w:t>Suite 1023, 10/F, Ocean Centre, 5 Canton Road, Tsim Sha Tsui, Kowloon Hong</w:t>
            </w:r>
          </w:p>
        </w:tc>
        <w:tc>
          <w:tcPr>
            <w:tcW w:w="120" w:type="dxa"/>
            <w:vAlign w:val="bottom"/>
            <w:shd w:val="clear" w:color="auto" w:fill="CCEEFF"/>
          </w:tcPr>
          <w:p>
            <w:pPr>
              <w:spacing w:after="0"/>
              <w:rPr>
                <w:sz w:val="13"/>
                <w:szCs w:val="13"/>
                <w:color w:val="auto"/>
              </w:rPr>
            </w:pPr>
          </w:p>
        </w:tc>
        <w:tc>
          <w:tcPr>
            <w:tcW w:w="194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4260" w:type="dxa"/>
            <w:vAlign w:val="bottom"/>
            <w:shd w:val="clear" w:color="auto" w:fill="CCEEFF"/>
          </w:tcPr>
          <w:p>
            <w:pPr>
              <w:spacing w:after="0"/>
              <w:rPr>
                <w:sz w:val="20"/>
                <w:szCs w:val="20"/>
                <w:color w:val="auto"/>
              </w:rPr>
            </w:pPr>
            <w:r>
              <w:rPr>
                <w:rFonts w:ascii="Arial" w:cs="Arial" w:eastAsia="Arial" w:hAnsi="Arial"/>
                <w:sz w:val="13"/>
                <w:szCs w:val="13"/>
                <w:color w:val="auto"/>
              </w:rPr>
              <w:t>Kong</w:t>
            </w:r>
          </w:p>
        </w:tc>
        <w:tc>
          <w:tcPr>
            <w:tcW w:w="120" w:type="dxa"/>
            <w:vAlign w:val="bottom"/>
            <w:shd w:val="clear" w:color="auto" w:fill="CCEEFF"/>
          </w:tcPr>
          <w:p>
            <w:pPr>
              <w:spacing w:after="0"/>
              <w:rPr>
                <w:sz w:val="14"/>
                <w:szCs w:val="14"/>
                <w:color w:val="auto"/>
              </w:rPr>
            </w:pPr>
          </w:p>
        </w:tc>
        <w:tc>
          <w:tcPr>
            <w:tcW w:w="206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Series B Preferred Stock</w:t>
            </w:r>
          </w:p>
        </w:tc>
        <w:tc>
          <w:tcPr>
            <w:tcW w:w="10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2,450,860</w:t>
            </w:r>
          </w:p>
        </w:tc>
        <w:tc>
          <w:tcPr>
            <w:tcW w:w="240" w:type="dxa"/>
            <w:vAlign w:val="bottom"/>
            <w:shd w:val="clear" w:color="auto" w:fill="CCEEFF"/>
          </w:tcPr>
          <w:p>
            <w:pPr>
              <w:spacing w:after="0"/>
              <w:rPr>
                <w:sz w:val="14"/>
                <w:szCs w:val="14"/>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220" w:type="dxa"/>
            <w:vAlign w:val="bottom"/>
            <w:shd w:val="clear" w:color="auto" w:fill="CCEEFF"/>
          </w:tcPr>
          <w:p>
            <w:pPr>
              <w:spacing w:after="0"/>
              <w:rPr>
                <w:sz w:val="14"/>
                <w:szCs w:val="14"/>
                <w:color w:val="auto"/>
              </w:rPr>
            </w:pPr>
          </w:p>
        </w:tc>
        <w:tc>
          <w:tcPr>
            <w:tcW w:w="1220" w:type="dxa"/>
            <w:vAlign w:val="bottom"/>
            <w:gridSpan w:val="2"/>
            <w:shd w:val="clear" w:color="auto" w:fill="CCEEFF"/>
          </w:tcPr>
          <w:p>
            <w:pPr>
              <w:jc w:val="right"/>
              <w:ind w:right="120"/>
              <w:spacing w:after="0"/>
              <w:rPr>
                <w:sz w:val="20"/>
                <w:szCs w:val="20"/>
                <w:color w:val="auto"/>
              </w:rPr>
            </w:pPr>
            <w:r>
              <w:rPr>
                <w:rFonts w:ascii="Arial" w:cs="Arial" w:eastAsia="Arial" w:hAnsi="Arial"/>
                <w:sz w:val="13"/>
                <w:szCs w:val="13"/>
                <w:color w:val="auto"/>
              </w:rPr>
              <w:t>8.87%</w:t>
            </w:r>
          </w:p>
        </w:tc>
        <w:tc>
          <w:tcPr>
            <w:tcW w:w="1120" w:type="dxa"/>
            <w:vAlign w:val="bottom"/>
            <w:gridSpan w:val="2"/>
            <w:shd w:val="clear" w:color="auto" w:fill="CCEEFF"/>
          </w:tcPr>
          <w:p>
            <w:pPr>
              <w:jc w:val="right"/>
              <w:spacing w:after="0"/>
              <w:rPr>
                <w:sz w:val="20"/>
                <w:szCs w:val="20"/>
                <w:color w:val="auto"/>
              </w:rPr>
            </w:pPr>
            <w:r>
              <w:rPr>
                <w:rFonts w:ascii="Arial" w:cs="Arial" w:eastAsia="Arial" w:hAnsi="Arial"/>
                <w:sz w:val="13"/>
                <w:szCs w:val="13"/>
                <w:color w:val="auto"/>
              </w:rPr>
              <w:t>9.19%</w:t>
            </w:r>
          </w:p>
        </w:tc>
        <w:tc>
          <w:tcPr>
            <w:tcW w:w="0" w:type="dxa"/>
            <w:vAlign w:val="bottom"/>
          </w:tcPr>
          <w:p>
            <w:pPr>
              <w:spacing w:after="0"/>
              <w:rPr>
                <w:sz w:val="1"/>
                <w:szCs w:val="1"/>
                <w:color w:val="auto"/>
              </w:rPr>
            </w:pPr>
          </w:p>
        </w:tc>
      </w:tr>
      <w:tr>
        <w:trPr>
          <w:trHeight w:val="148"/>
        </w:trPr>
        <w:tc>
          <w:tcPr>
            <w:tcW w:w="20" w:type="dxa"/>
            <w:vAlign w:val="bottom"/>
          </w:tcPr>
          <w:p>
            <w:pPr>
              <w:spacing w:after="0"/>
              <w:rPr>
                <w:sz w:val="12"/>
                <w:szCs w:val="12"/>
                <w:color w:val="auto"/>
              </w:rPr>
            </w:pPr>
          </w:p>
        </w:tc>
        <w:tc>
          <w:tcPr>
            <w:tcW w:w="4260" w:type="dxa"/>
            <w:vAlign w:val="bottom"/>
          </w:tcPr>
          <w:p>
            <w:pPr>
              <w:spacing w:after="0" w:line="148" w:lineRule="exact"/>
              <w:rPr>
                <w:sz w:val="20"/>
                <w:szCs w:val="20"/>
                <w:color w:val="auto"/>
              </w:rPr>
            </w:pPr>
            <w:r>
              <w:rPr>
                <w:rFonts w:ascii="Arial" w:cs="Arial" w:eastAsia="Arial" w:hAnsi="Arial"/>
                <w:sz w:val="13"/>
                <w:szCs w:val="13"/>
                <w:color w:val="auto"/>
              </w:rPr>
              <w:t>Bright Success Capital Limited</w:t>
            </w:r>
          </w:p>
        </w:tc>
        <w:tc>
          <w:tcPr>
            <w:tcW w:w="120" w:type="dxa"/>
            <w:vAlign w:val="bottom"/>
          </w:tcPr>
          <w:p>
            <w:pPr>
              <w:spacing w:after="0"/>
              <w:rPr>
                <w:sz w:val="12"/>
                <w:szCs w:val="12"/>
                <w:color w:val="auto"/>
              </w:rPr>
            </w:pPr>
          </w:p>
        </w:tc>
        <w:tc>
          <w:tcPr>
            <w:tcW w:w="2060" w:type="dxa"/>
            <w:vAlign w:val="bottom"/>
            <w:gridSpan w:val="2"/>
          </w:tcPr>
          <w:p>
            <w:pPr>
              <w:spacing w:after="0" w:line="148" w:lineRule="exact"/>
              <w:rPr>
                <w:sz w:val="20"/>
                <w:szCs w:val="20"/>
                <w:color w:val="auto"/>
              </w:rPr>
            </w:pPr>
            <w:r>
              <w:rPr>
                <w:rFonts w:ascii="Arial" w:cs="Arial" w:eastAsia="Arial" w:hAnsi="Arial"/>
                <w:sz w:val="13"/>
                <w:szCs w:val="13"/>
                <w:color w:val="auto"/>
              </w:rPr>
              <w:t>Series A, B, m-2 and S Preferred</w:t>
            </w:r>
          </w:p>
        </w:tc>
        <w:tc>
          <w:tcPr>
            <w:tcW w:w="102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00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0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102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4"/>
        </w:trPr>
        <w:tc>
          <w:tcPr>
            <w:tcW w:w="4280" w:type="dxa"/>
            <w:vAlign w:val="bottom"/>
            <w:gridSpan w:val="2"/>
          </w:tcPr>
          <w:p>
            <w:pPr>
              <w:spacing w:after="0"/>
              <w:rPr>
                <w:sz w:val="20"/>
                <w:szCs w:val="20"/>
                <w:color w:val="auto"/>
              </w:rPr>
            </w:pPr>
            <w:r>
              <w:rPr>
                <w:rFonts w:ascii="Arial" w:cs="Arial" w:eastAsia="Arial" w:hAnsi="Arial"/>
                <w:sz w:val="13"/>
                <w:szCs w:val="13"/>
                <w:color w:val="auto"/>
              </w:rPr>
              <w:t>House 33, Windsor Park Phase II, Kauto Shan, Shatin, N.T., Hong Kong</w:t>
            </w:r>
          </w:p>
        </w:tc>
        <w:tc>
          <w:tcPr>
            <w:tcW w:w="120" w:type="dxa"/>
            <w:vAlign w:val="bottom"/>
          </w:tcPr>
          <w:p>
            <w:pPr>
              <w:spacing w:after="0"/>
              <w:rPr>
                <w:sz w:val="14"/>
                <w:szCs w:val="14"/>
                <w:color w:val="auto"/>
              </w:rPr>
            </w:pPr>
          </w:p>
        </w:tc>
        <w:tc>
          <w:tcPr>
            <w:tcW w:w="2060" w:type="dxa"/>
            <w:vAlign w:val="bottom"/>
            <w:gridSpan w:val="2"/>
          </w:tcPr>
          <w:p>
            <w:pPr>
              <w:spacing w:after="0"/>
              <w:rPr>
                <w:sz w:val="20"/>
                <w:szCs w:val="20"/>
                <w:color w:val="auto"/>
              </w:rPr>
            </w:pPr>
            <w:r>
              <w:rPr>
                <w:rFonts w:ascii="Arial" w:cs="Arial" w:eastAsia="Arial" w:hAnsi="Arial"/>
                <w:sz w:val="13"/>
                <w:szCs w:val="13"/>
                <w:color w:val="auto"/>
              </w:rPr>
              <w:t>Stock</w:t>
            </w:r>
          </w:p>
        </w:tc>
        <w:tc>
          <w:tcPr>
            <w:tcW w:w="1020" w:type="dxa"/>
            <w:vAlign w:val="bottom"/>
          </w:tcPr>
          <w:p>
            <w:pPr>
              <w:jc w:val="right"/>
              <w:spacing w:after="0"/>
              <w:rPr>
                <w:sz w:val="20"/>
                <w:szCs w:val="20"/>
                <w:color w:val="auto"/>
              </w:rPr>
            </w:pPr>
            <w:r>
              <w:rPr>
                <w:rFonts w:ascii="Arial" w:cs="Arial" w:eastAsia="Arial" w:hAnsi="Arial"/>
                <w:sz w:val="13"/>
                <w:szCs w:val="13"/>
                <w:color w:val="auto"/>
              </w:rPr>
              <w:t>1,770,189</w:t>
            </w:r>
          </w:p>
        </w:tc>
        <w:tc>
          <w:tcPr>
            <w:tcW w:w="240" w:type="dxa"/>
            <w:vAlign w:val="bottom"/>
          </w:tcPr>
          <w:p>
            <w:pPr>
              <w:spacing w:after="0"/>
              <w:rPr>
                <w:sz w:val="14"/>
                <w:szCs w:val="14"/>
                <w:color w:val="auto"/>
              </w:rPr>
            </w:pPr>
          </w:p>
        </w:tc>
        <w:tc>
          <w:tcPr>
            <w:tcW w:w="100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20" w:type="dxa"/>
            <w:vAlign w:val="bottom"/>
            <w:gridSpan w:val="2"/>
          </w:tcPr>
          <w:p>
            <w:pPr>
              <w:jc w:val="right"/>
              <w:ind w:right="120"/>
              <w:spacing w:after="0"/>
              <w:rPr>
                <w:sz w:val="20"/>
                <w:szCs w:val="20"/>
                <w:color w:val="auto"/>
              </w:rPr>
            </w:pPr>
            <w:r>
              <w:rPr>
                <w:rFonts w:ascii="Arial" w:cs="Arial" w:eastAsia="Arial" w:hAnsi="Arial"/>
                <w:sz w:val="13"/>
                <w:szCs w:val="13"/>
                <w:color w:val="auto"/>
              </w:rPr>
              <w:t>6.41%</w:t>
            </w:r>
          </w:p>
        </w:tc>
        <w:tc>
          <w:tcPr>
            <w:tcW w:w="1120" w:type="dxa"/>
            <w:vAlign w:val="bottom"/>
            <w:gridSpan w:val="2"/>
          </w:tcPr>
          <w:p>
            <w:pPr>
              <w:jc w:val="right"/>
              <w:spacing w:after="0"/>
              <w:rPr>
                <w:sz w:val="20"/>
                <w:szCs w:val="20"/>
                <w:color w:val="auto"/>
              </w:rPr>
            </w:pPr>
            <w:r>
              <w:rPr>
                <w:rFonts w:ascii="Arial" w:cs="Arial" w:eastAsia="Arial" w:hAnsi="Arial"/>
                <w:sz w:val="13"/>
                <w:szCs w:val="13"/>
                <w:color w:val="auto"/>
              </w:rPr>
              <w:t>6.53%</w:t>
            </w:r>
          </w:p>
        </w:tc>
        <w:tc>
          <w:tcPr>
            <w:tcW w:w="0" w:type="dxa"/>
            <w:vAlign w:val="bottom"/>
          </w:tcPr>
          <w:p>
            <w:pPr>
              <w:spacing w:after="0"/>
              <w:rPr>
                <w:sz w:val="1"/>
                <w:szCs w:val="1"/>
                <w:color w:val="auto"/>
              </w:rPr>
            </w:pPr>
          </w:p>
        </w:tc>
      </w:tr>
      <w:tr>
        <w:trPr>
          <w:trHeight w:val="151"/>
        </w:trPr>
        <w:tc>
          <w:tcPr>
            <w:tcW w:w="20" w:type="dxa"/>
            <w:vAlign w:val="bottom"/>
          </w:tcPr>
          <w:p>
            <w:pPr>
              <w:spacing w:after="0"/>
              <w:rPr>
                <w:sz w:val="13"/>
                <w:szCs w:val="13"/>
                <w:color w:val="auto"/>
              </w:rPr>
            </w:pPr>
          </w:p>
        </w:tc>
        <w:tc>
          <w:tcPr>
            <w:tcW w:w="4260" w:type="dxa"/>
            <w:vAlign w:val="bottom"/>
            <w:shd w:val="clear" w:color="auto" w:fill="CCEEFF"/>
          </w:tcPr>
          <w:p>
            <w:pPr>
              <w:spacing w:after="0"/>
              <w:rPr>
                <w:sz w:val="20"/>
                <w:szCs w:val="20"/>
                <w:color w:val="auto"/>
              </w:rPr>
            </w:pPr>
            <w:r>
              <w:rPr>
                <w:rFonts w:ascii="Arial" w:cs="Arial" w:eastAsia="Arial" w:hAnsi="Arial"/>
                <w:sz w:val="13"/>
                <w:szCs w:val="13"/>
                <w:color w:val="auto"/>
              </w:rPr>
              <w:t>DOCOMO Innovation Fund Partnership</w:t>
            </w:r>
          </w:p>
        </w:tc>
        <w:tc>
          <w:tcPr>
            <w:tcW w:w="120" w:type="dxa"/>
            <w:vAlign w:val="bottom"/>
            <w:shd w:val="clear" w:color="auto" w:fill="CCEEFF"/>
          </w:tcPr>
          <w:p>
            <w:pPr>
              <w:spacing w:after="0"/>
              <w:rPr>
                <w:sz w:val="13"/>
                <w:szCs w:val="13"/>
                <w:color w:val="auto"/>
              </w:rPr>
            </w:pPr>
          </w:p>
        </w:tc>
        <w:tc>
          <w:tcPr>
            <w:tcW w:w="194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93"/>
        </w:trPr>
        <w:tc>
          <w:tcPr>
            <w:tcW w:w="20" w:type="dxa"/>
            <w:vAlign w:val="bottom"/>
          </w:tcPr>
          <w:p>
            <w:pPr>
              <w:spacing w:after="0"/>
              <w:rPr>
                <w:sz w:val="16"/>
                <w:szCs w:val="16"/>
                <w:color w:val="auto"/>
              </w:rPr>
            </w:pPr>
          </w:p>
        </w:tc>
        <w:tc>
          <w:tcPr>
            <w:tcW w:w="4260" w:type="dxa"/>
            <w:vAlign w:val="bottom"/>
            <w:shd w:val="clear" w:color="auto" w:fill="CCEEFF"/>
          </w:tcPr>
          <w:p>
            <w:pPr>
              <w:spacing w:after="0" w:line="193" w:lineRule="exact"/>
              <w:rPr>
                <w:sz w:val="20"/>
                <w:szCs w:val="20"/>
                <w:color w:val="auto"/>
              </w:rPr>
            </w:pPr>
            <w:r>
              <w:rPr>
                <w:rFonts w:ascii="Arial" w:cs="Arial" w:eastAsia="Arial" w:hAnsi="Arial"/>
                <w:sz w:val="13"/>
                <w:szCs w:val="13"/>
                <w:color w:val="auto"/>
              </w:rPr>
              <w:t>Ark Mori Bldg., 31</w:t>
            </w:r>
            <w:r>
              <w:rPr>
                <w:rFonts w:ascii="Arial" w:cs="Arial" w:eastAsia="Arial" w:hAnsi="Arial"/>
                <w:sz w:val="21"/>
                <w:szCs w:val="21"/>
                <w:color w:val="auto"/>
                <w:vertAlign w:val="superscript"/>
              </w:rPr>
              <w:t>st</w:t>
            </w:r>
            <w:r>
              <w:rPr>
                <w:rFonts w:ascii="Arial" w:cs="Arial" w:eastAsia="Arial" w:hAnsi="Arial"/>
                <w:sz w:val="13"/>
                <w:szCs w:val="13"/>
                <w:color w:val="auto"/>
              </w:rPr>
              <w:t xml:space="preserve"> Fl., 1-12-32 Akasaka, Minato-ku, Tokyo</w:t>
            </w:r>
          </w:p>
        </w:tc>
        <w:tc>
          <w:tcPr>
            <w:tcW w:w="120" w:type="dxa"/>
            <w:vAlign w:val="bottom"/>
            <w:shd w:val="clear" w:color="auto" w:fill="CCEEFF"/>
          </w:tcPr>
          <w:p>
            <w:pPr>
              <w:spacing w:after="0"/>
              <w:rPr>
                <w:sz w:val="16"/>
                <w:szCs w:val="16"/>
                <w:color w:val="auto"/>
              </w:rPr>
            </w:pPr>
          </w:p>
        </w:tc>
        <w:tc>
          <w:tcPr>
            <w:tcW w:w="206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Series A Preferred Stock</w:t>
            </w:r>
          </w:p>
        </w:tc>
        <w:tc>
          <w:tcPr>
            <w:tcW w:w="10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1,667,779</w:t>
            </w:r>
          </w:p>
        </w:tc>
        <w:tc>
          <w:tcPr>
            <w:tcW w:w="240" w:type="dxa"/>
            <w:vAlign w:val="bottom"/>
            <w:shd w:val="clear" w:color="auto" w:fill="CCEEFF"/>
          </w:tcPr>
          <w:p>
            <w:pPr>
              <w:spacing w:after="0"/>
              <w:rPr>
                <w:sz w:val="16"/>
                <w:szCs w:val="16"/>
                <w:color w:val="auto"/>
              </w:rPr>
            </w:pPr>
          </w:p>
        </w:tc>
        <w:tc>
          <w:tcPr>
            <w:tcW w:w="1000" w:type="dxa"/>
            <w:vAlign w:val="bottom"/>
            <w:shd w:val="clear" w:color="auto" w:fill="CCEEFF"/>
          </w:tcPr>
          <w:p>
            <w:pPr>
              <w:spacing w:after="0"/>
              <w:rPr>
                <w:sz w:val="16"/>
                <w:szCs w:val="16"/>
                <w:color w:val="auto"/>
              </w:rPr>
            </w:pPr>
          </w:p>
        </w:tc>
        <w:tc>
          <w:tcPr>
            <w:tcW w:w="220" w:type="dxa"/>
            <w:vAlign w:val="bottom"/>
            <w:shd w:val="clear" w:color="auto" w:fill="CCEEFF"/>
          </w:tcPr>
          <w:p>
            <w:pPr>
              <w:spacing w:after="0"/>
              <w:rPr>
                <w:sz w:val="16"/>
                <w:szCs w:val="16"/>
                <w:color w:val="auto"/>
              </w:rPr>
            </w:pPr>
          </w:p>
        </w:tc>
        <w:tc>
          <w:tcPr>
            <w:tcW w:w="1220" w:type="dxa"/>
            <w:vAlign w:val="bottom"/>
            <w:gridSpan w:val="2"/>
            <w:shd w:val="clear" w:color="auto" w:fill="CCEEFF"/>
          </w:tcPr>
          <w:p>
            <w:pPr>
              <w:jc w:val="right"/>
              <w:ind w:right="120"/>
              <w:spacing w:after="0"/>
              <w:rPr>
                <w:sz w:val="20"/>
                <w:szCs w:val="20"/>
                <w:color w:val="auto"/>
              </w:rPr>
            </w:pPr>
            <w:r>
              <w:rPr>
                <w:rFonts w:ascii="Arial" w:cs="Arial" w:eastAsia="Arial" w:hAnsi="Arial"/>
                <w:sz w:val="13"/>
                <w:szCs w:val="13"/>
                <w:color w:val="auto"/>
              </w:rPr>
              <w:t>6.04%</w:t>
            </w:r>
          </w:p>
        </w:tc>
        <w:tc>
          <w:tcPr>
            <w:tcW w:w="1120" w:type="dxa"/>
            <w:vAlign w:val="bottom"/>
            <w:gridSpan w:val="2"/>
            <w:shd w:val="clear" w:color="auto" w:fill="CCEEFF"/>
          </w:tcPr>
          <w:p>
            <w:pPr>
              <w:jc w:val="right"/>
              <w:spacing w:after="0"/>
              <w:rPr>
                <w:sz w:val="20"/>
                <w:szCs w:val="20"/>
                <w:color w:val="auto"/>
              </w:rPr>
            </w:pPr>
            <w:r>
              <w:rPr>
                <w:rFonts w:ascii="Arial" w:cs="Arial" w:eastAsia="Arial" w:hAnsi="Arial"/>
                <w:sz w:val="13"/>
                <w:szCs w:val="13"/>
                <w:color w:val="auto"/>
              </w:rPr>
              <w:t>6.25%</w:t>
            </w:r>
          </w:p>
        </w:tc>
        <w:tc>
          <w:tcPr>
            <w:tcW w:w="0" w:type="dxa"/>
            <w:vAlign w:val="bottom"/>
          </w:tcPr>
          <w:p>
            <w:pPr>
              <w:spacing w:after="0"/>
              <w:rPr>
                <w:sz w:val="1"/>
                <w:szCs w:val="1"/>
                <w:color w:val="auto"/>
              </w:rPr>
            </w:pPr>
          </w:p>
        </w:tc>
      </w:tr>
    </w:tbl>
    <w:p>
      <w:pPr>
        <w:spacing w:after="0" w:line="304" w:lineRule="exact"/>
        <w:rPr>
          <w:sz w:val="20"/>
          <w:szCs w:val="20"/>
          <w:color w:val="auto"/>
        </w:rPr>
      </w:pPr>
    </w:p>
    <w:p>
      <w:pPr>
        <w:ind w:left="460" w:hanging="227"/>
        <w:spacing w:after="0"/>
        <w:tabs>
          <w:tab w:leader="none" w:pos="460" w:val="left"/>
        </w:tabs>
        <w:numPr>
          <w:ilvl w:val="0"/>
          <w:numId w:val="26"/>
        </w:numPr>
        <w:rPr>
          <w:rFonts w:ascii="Arial" w:cs="Arial" w:eastAsia="Arial" w:hAnsi="Arial"/>
          <w:sz w:val="13"/>
          <w:szCs w:val="13"/>
          <w:color w:val="auto"/>
        </w:rPr>
      </w:pPr>
      <w:r>
        <w:rPr>
          <w:rFonts w:ascii="Arial" w:cs="Arial" w:eastAsia="Arial" w:hAnsi="Arial"/>
          <w:sz w:val="13"/>
          <w:szCs w:val="13"/>
          <w:color w:val="auto"/>
        </w:rPr>
        <w:t>Represents less than 1%</w:t>
      </w:r>
    </w:p>
    <w:p>
      <w:pPr>
        <w:spacing w:after="0" w:line="15" w:lineRule="exact"/>
        <w:rPr>
          <w:sz w:val="20"/>
          <w:szCs w:val="20"/>
          <w:color w:val="auto"/>
        </w:rPr>
      </w:pPr>
    </w:p>
    <w:p>
      <w:pPr>
        <w:ind w:left="460" w:right="4820" w:hanging="227"/>
        <w:spacing w:after="0" w:line="251" w:lineRule="auto"/>
        <w:tabs>
          <w:tab w:leader="none" w:pos="460" w:val="left"/>
        </w:tabs>
        <w:numPr>
          <w:ilvl w:val="0"/>
          <w:numId w:val="27"/>
        </w:numPr>
        <w:rPr>
          <w:rFonts w:ascii="Arial" w:cs="Arial" w:eastAsia="Arial" w:hAnsi="Arial"/>
          <w:sz w:val="13"/>
          <w:szCs w:val="13"/>
          <w:color w:val="auto"/>
        </w:rPr>
      </w:pPr>
      <w:r>
        <w:rPr>
          <w:rFonts w:ascii="Arial" w:cs="Arial" w:eastAsia="Arial" w:hAnsi="Arial"/>
          <w:sz w:val="13"/>
          <w:szCs w:val="13"/>
          <w:color w:val="auto"/>
        </w:rPr>
        <w:t>Unless otherwise indicated, the address of all listed stockholders is c/o Knightscope, Inc., 1070 Terra Bella Avenue Mountain View, California 94043.</w:t>
      </w:r>
    </w:p>
    <w:p>
      <w:pPr>
        <w:ind w:left="460" w:hanging="227"/>
        <w:spacing w:after="0"/>
        <w:tabs>
          <w:tab w:leader="none" w:pos="460" w:val="left"/>
        </w:tabs>
        <w:numPr>
          <w:ilvl w:val="0"/>
          <w:numId w:val="27"/>
        </w:numPr>
        <w:rPr>
          <w:rFonts w:ascii="Arial" w:cs="Arial" w:eastAsia="Arial" w:hAnsi="Arial"/>
          <w:sz w:val="12"/>
          <w:szCs w:val="12"/>
          <w:color w:val="auto"/>
        </w:rPr>
      </w:pPr>
      <w:r>
        <w:rPr>
          <w:rFonts w:ascii="Arial" w:cs="Arial" w:eastAsia="Arial" w:hAnsi="Arial"/>
          <w:sz w:val="12"/>
          <w:szCs w:val="12"/>
          <w:color w:val="auto"/>
        </w:rPr>
        <w:t>Represent options held by such person that are currently exercisable or would become exercisable or would vest based on service-based vesting conditions within 60 days of November 1, 2021.</w:t>
      </w:r>
    </w:p>
    <w:p>
      <w:pPr>
        <w:spacing w:after="0" w:line="18" w:lineRule="exact"/>
        <w:rPr>
          <w:rFonts w:ascii="Arial" w:cs="Arial" w:eastAsia="Arial" w:hAnsi="Arial"/>
          <w:sz w:val="12"/>
          <w:szCs w:val="12"/>
          <w:color w:val="auto"/>
        </w:rPr>
      </w:pPr>
    </w:p>
    <w:p>
      <w:pPr>
        <w:ind w:left="460" w:right="120" w:hanging="227"/>
        <w:spacing w:after="0" w:line="296" w:lineRule="auto"/>
        <w:tabs>
          <w:tab w:leader="none" w:pos="460" w:val="left"/>
        </w:tabs>
        <w:numPr>
          <w:ilvl w:val="0"/>
          <w:numId w:val="27"/>
        </w:numPr>
        <w:rPr>
          <w:rFonts w:ascii="Arial" w:cs="Arial" w:eastAsia="Arial" w:hAnsi="Arial"/>
          <w:sz w:val="11"/>
          <w:szCs w:val="11"/>
          <w:color w:val="auto"/>
        </w:rPr>
      </w:pPr>
      <w:r>
        <w:rPr>
          <w:rFonts w:ascii="Arial" w:cs="Arial" w:eastAsia="Arial" w:hAnsi="Arial"/>
          <w:sz w:val="11"/>
          <w:szCs w:val="11"/>
          <w:color w:val="auto"/>
        </w:rPr>
        <w:t>Percentage of total voting power represents voting power with respect to all shares of the Company’s outstanding capital stock as if converted to Class A Common Stock and Class B Common Stock, as applicable, as a single class. The holders of Series A Preferred Stock, Series B Preferred Stock, Series m-2 Preferred Stock and Class B Common Stock are entitled to ten votes per share. The holders of our Series S Preferred Stock, Series m Preferred Stock, Series m-1 Preferred Stock, Series m-3 Preferred Stock, Series m-4 Preferred Stock and Class A Common Stock are entitled to one vote per share.</w:t>
      </w:r>
    </w:p>
    <w:p>
      <w:pPr>
        <w:spacing w:after="0" w:line="1" w:lineRule="exact"/>
        <w:rPr>
          <w:rFonts w:ascii="Arial" w:cs="Arial" w:eastAsia="Arial" w:hAnsi="Arial"/>
          <w:sz w:val="11"/>
          <w:szCs w:val="11"/>
          <w:color w:val="auto"/>
        </w:rPr>
      </w:pPr>
    </w:p>
    <w:p>
      <w:pPr>
        <w:ind w:left="460" w:right="60" w:hanging="227"/>
        <w:spacing w:after="0" w:line="251" w:lineRule="auto"/>
        <w:tabs>
          <w:tab w:leader="none" w:pos="460" w:val="left"/>
        </w:tabs>
        <w:numPr>
          <w:ilvl w:val="0"/>
          <w:numId w:val="27"/>
        </w:numPr>
        <w:rPr>
          <w:rFonts w:ascii="Arial" w:cs="Arial" w:eastAsia="Arial" w:hAnsi="Arial"/>
          <w:sz w:val="13"/>
          <w:szCs w:val="13"/>
          <w:color w:val="auto"/>
        </w:rPr>
      </w:pPr>
      <w:r>
        <w:rPr>
          <w:rFonts w:ascii="Arial" w:cs="Arial" w:eastAsia="Arial" w:hAnsi="Arial"/>
          <w:sz w:val="13"/>
          <w:szCs w:val="13"/>
          <w:color w:val="auto"/>
        </w:rPr>
        <w:t>In connection with the Convertible Note Financing, Mr. Li was granted the Voting Proxy. The votes held by Mr. Li as a result of the conversion of outstanding convertible securities subject to the Voting Proxy cannot be determined as of the date of this Offering Circular, and are not reflected in the above chart, but the outstanding securities to which the Voting Proxy applies represented approximately 2.74% of the Company’s aggregate voting power at June 30, 2021.</w:t>
      </w:r>
    </w:p>
    <w:p>
      <w:pPr>
        <w:ind w:left="460" w:hanging="227"/>
        <w:spacing w:after="0"/>
        <w:tabs>
          <w:tab w:leader="none" w:pos="460" w:val="left"/>
        </w:tabs>
        <w:numPr>
          <w:ilvl w:val="0"/>
          <w:numId w:val="27"/>
        </w:numPr>
        <w:rPr>
          <w:rFonts w:ascii="Arial" w:cs="Arial" w:eastAsia="Arial" w:hAnsi="Arial"/>
          <w:sz w:val="13"/>
          <w:szCs w:val="13"/>
          <w:color w:val="auto"/>
        </w:rPr>
      </w:pPr>
      <w:r>
        <w:rPr>
          <w:rFonts w:ascii="Arial" w:cs="Arial" w:eastAsia="Arial" w:hAnsi="Arial"/>
          <w:sz w:val="13"/>
          <w:szCs w:val="13"/>
          <w:color w:val="auto"/>
        </w:rPr>
        <w:t>Ms. Soria is the wife of Mr. Li and disclaims beneficial ownership of shares of Class B Common Stock owned by him.</w:t>
      </w:r>
    </w:p>
    <w:p>
      <w:pPr>
        <w:spacing w:after="0" w:line="6" w:lineRule="exact"/>
        <w:rPr>
          <w:rFonts w:ascii="Arial" w:cs="Arial" w:eastAsia="Arial" w:hAnsi="Arial"/>
          <w:sz w:val="13"/>
          <w:szCs w:val="13"/>
          <w:color w:val="auto"/>
        </w:rPr>
      </w:pPr>
    </w:p>
    <w:p>
      <w:pPr>
        <w:ind w:left="460" w:hanging="227"/>
        <w:spacing w:after="0"/>
        <w:tabs>
          <w:tab w:leader="none" w:pos="460" w:val="left"/>
        </w:tabs>
        <w:numPr>
          <w:ilvl w:val="0"/>
          <w:numId w:val="27"/>
        </w:numPr>
        <w:rPr>
          <w:rFonts w:ascii="Arial" w:cs="Arial" w:eastAsia="Arial" w:hAnsi="Arial"/>
          <w:sz w:val="13"/>
          <w:szCs w:val="13"/>
          <w:color w:val="auto"/>
        </w:rPr>
      </w:pPr>
      <w:r>
        <w:rPr>
          <w:rFonts w:ascii="Arial" w:cs="Arial" w:eastAsia="Arial" w:hAnsi="Arial"/>
          <w:sz w:val="13"/>
          <w:szCs w:val="13"/>
          <w:color w:val="auto"/>
        </w:rPr>
        <w:t>None of the Company’s officers and directors owns shares of Preferred Stock.</w:t>
      </w:r>
    </w:p>
    <w:p>
      <w:pPr>
        <w:spacing w:after="0" w:line="15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INTEREST OF MANAGEMENT AND OTHERS IN CERTAIN TRANSACTIONS</w:t>
      </w:r>
    </w:p>
    <w:p>
      <w:pPr>
        <w:spacing w:after="0" w:line="167"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One of the Company’s vendors, Konica Minolta, Inc. (“Konica Minolta”), is a stockholder of the Company. Konica Minolta provides the Company with repair services to its ASRs. The Company paid Konica Minolta $139,627 and $69,188 in service fees for the six-month periods ended June 30, 2021 and 2020, respectively. The Company had payables of $36,763 and $20,498 owed to Konica Minolta as of June 30, 2021 and December 31, 2020, respectively.</w:t>
      </w:r>
    </w:p>
    <w:p>
      <w:pPr>
        <w:spacing w:after="0" w:line="293"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43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47" w:name="page48"/>
    <w:bookmarkEnd w:id="47"/>
    <w:p>
      <w:pPr>
        <w:spacing w:after="0"/>
        <w:rPr>
          <w:sz w:val="20"/>
          <w:szCs w:val="20"/>
          <w:color w:val="auto"/>
        </w:rPr>
      </w:pPr>
      <w:r>
        <w:rPr>
          <w:rFonts w:ascii="Arial" w:cs="Arial" w:eastAsia="Arial" w:hAnsi="Arial"/>
          <w:sz w:val="13"/>
          <w:szCs w:val="13"/>
          <w:b w:val="1"/>
          <w:bCs w:val="1"/>
          <w:color w:val="auto"/>
        </w:rPr>
        <w:t>SECURITIES BEING OFFERED</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General</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color w:val="auto"/>
        </w:rPr>
        <w:t>The Company is offering up to 4,000,000 shares of Class A Common Stock.</w:t>
      </w:r>
    </w:p>
    <w:p>
      <w:pPr>
        <w:spacing w:after="0" w:line="163" w:lineRule="exact"/>
        <w:rPr>
          <w:sz w:val="20"/>
          <w:szCs w:val="20"/>
          <w:color w:val="auto"/>
        </w:rPr>
      </w:pPr>
    </w:p>
    <w:p>
      <w:pPr>
        <w:ind w:right="100"/>
        <w:spacing w:after="0" w:line="294" w:lineRule="auto"/>
        <w:rPr>
          <w:sz w:val="20"/>
          <w:szCs w:val="20"/>
          <w:color w:val="auto"/>
        </w:rPr>
      </w:pPr>
      <w:r>
        <w:rPr>
          <w:rFonts w:ascii="Arial" w:cs="Arial" w:eastAsia="Arial" w:hAnsi="Arial"/>
          <w:sz w:val="12"/>
          <w:szCs w:val="12"/>
          <w:color w:val="auto"/>
        </w:rPr>
        <w:t>The following description summarizes the most important terms of the Company’s capital stock. This summary does not purport to be complete and is qualified in its entirety by the provisions of Knightscope’s amended and restated certificate of incorporation and bylaws, copies of which have been filed as exhibits to the Offering Statement of which this Offering Circular is a part. For a complete description of Knightscope’s capital stock, you should refer to the amended and restated certificate of incorporation and bylaws and to the applicable provisions of Delaware law.</w:t>
      </w:r>
    </w:p>
    <w:p>
      <w:pPr>
        <w:spacing w:after="0" w:line="119" w:lineRule="exact"/>
        <w:rPr>
          <w:sz w:val="20"/>
          <w:szCs w:val="20"/>
          <w:color w:val="auto"/>
        </w:rPr>
      </w:pPr>
    </w:p>
    <w:p>
      <w:pPr>
        <w:spacing w:after="0"/>
        <w:rPr>
          <w:sz w:val="20"/>
          <w:szCs w:val="20"/>
          <w:color w:val="auto"/>
        </w:rPr>
      </w:pPr>
      <w:r>
        <w:rPr>
          <w:rFonts w:ascii="Arial" w:cs="Arial" w:eastAsia="Arial" w:hAnsi="Arial"/>
          <w:sz w:val="13"/>
          <w:szCs w:val="13"/>
          <w:color w:val="auto"/>
        </w:rPr>
        <w:t>At the date of this Offering Circular, Knightscope’s authorized capital stock consists of</w:t>
      </w:r>
    </w:p>
    <w:p>
      <w:pPr>
        <w:spacing w:after="0" w:line="163" w:lineRule="exact"/>
        <w:rPr>
          <w:sz w:val="20"/>
          <w:szCs w:val="20"/>
          <w:color w:val="auto"/>
        </w:rPr>
      </w:pPr>
    </w:p>
    <w:p>
      <w:pPr>
        <w:ind w:left="460" w:hanging="227"/>
        <w:spacing w:after="0"/>
        <w:tabs>
          <w:tab w:leader="none" w:pos="460" w:val="left"/>
        </w:tabs>
        <w:numPr>
          <w:ilvl w:val="0"/>
          <w:numId w:val="28"/>
        </w:numPr>
        <w:rPr>
          <w:rFonts w:ascii="Arial" w:cs="Arial" w:eastAsia="Arial" w:hAnsi="Arial"/>
          <w:sz w:val="13"/>
          <w:szCs w:val="13"/>
          <w:color w:val="auto"/>
        </w:rPr>
      </w:pPr>
      <w:r>
        <w:rPr>
          <w:rFonts w:ascii="Arial" w:cs="Arial" w:eastAsia="Arial" w:hAnsi="Arial"/>
          <w:sz w:val="13"/>
          <w:szCs w:val="13"/>
          <w:color w:val="auto"/>
        </w:rPr>
        <w:t>114,000,000 shares of Class A Common Stock, $0.001 par value per share,</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28"/>
        </w:numPr>
        <w:rPr>
          <w:rFonts w:ascii="Arial" w:cs="Arial" w:eastAsia="Arial" w:hAnsi="Arial"/>
          <w:sz w:val="13"/>
          <w:szCs w:val="13"/>
          <w:color w:val="auto"/>
        </w:rPr>
      </w:pPr>
      <w:r>
        <w:rPr>
          <w:rFonts w:ascii="Arial" w:cs="Arial" w:eastAsia="Arial" w:hAnsi="Arial"/>
          <w:sz w:val="13"/>
          <w:szCs w:val="13"/>
          <w:color w:val="auto"/>
        </w:rPr>
        <w:t>30,000,000 shares of Class B Common Stock, $0.001 par value per share, and</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28"/>
        </w:numPr>
        <w:rPr>
          <w:rFonts w:ascii="Arial" w:cs="Arial" w:eastAsia="Arial" w:hAnsi="Arial"/>
          <w:sz w:val="13"/>
          <w:szCs w:val="13"/>
          <w:color w:val="auto"/>
        </w:rPr>
      </w:pPr>
      <w:r>
        <w:rPr>
          <w:rFonts w:ascii="Arial" w:cs="Arial" w:eastAsia="Arial" w:hAnsi="Arial"/>
          <w:sz w:val="13"/>
          <w:szCs w:val="13"/>
          <w:color w:val="auto"/>
        </w:rPr>
        <w:t>43,405,324 shares of Preferred Stock, $0.001 par value per share, of which</w:t>
      </w:r>
    </w:p>
    <w:p>
      <w:pPr>
        <w:spacing w:after="0" w:line="163" w:lineRule="exact"/>
        <w:rPr>
          <w:sz w:val="20"/>
          <w:szCs w:val="20"/>
          <w:color w:val="auto"/>
        </w:rPr>
      </w:pPr>
    </w:p>
    <w:p>
      <w:pPr>
        <w:ind w:left="940" w:hanging="238"/>
        <w:spacing w:after="0"/>
        <w:tabs>
          <w:tab w:leader="none" w:pos="940" w:val="left"/>
        </w:tabs>
        <w:numPr>
          <w:ilvl w:val="0"/>
          <w:numId w:val="29"/>
        </w:numPr>
        <w:rPr>
          <w:rFonts w:ascii="Arial" w:cs="Arial" w:eastAsia="Arial" w:hAnsi="Arial"/>
          <w:sz w:val="13"/>
          <w:szCs w:val="13"/>
          <w:color w:val="auto"/>
        </w:rPr>
      </w:pPr>
      <w:r>
        <w:rPr>
          <w:rFonts w:ascii="Arial" w:cs="Arial" w:eastAsia="Arial" w:hAnsi="Arial"/>
          <w:sz w:val="13"/>
          <w:szCs w:val="13"/>
          <w:color w:val="auto"/>
        </w:rPr>
        <w:t>8,936,015 shares are designated as Series A Preferred Stock,</w:t>
      </w:r>
    </w:p>
    <w:p>
      <w:pPr>
        <w:spacing w:after="0" w:line="163" w:lineRule="exact"/>
        <w:rPr>
          <w:rFonts w:ascii="Arial" w:cs="Arial" w:eastAsia="Arial" w:hAnsi="Arial"/>
          <w:sz w:val="13"/>
          <w:szCs w:val="13"/>
          <w:color w:val="auto"/>
        </w:rPr>
      </w:pPr>
    </w:p>
    <w:p>
      <w:pPr>
        <w:ind w:left="940" w:hanging="238"/>
        <w:spacing w:after="0"/>
        <w:tabs>
          <w:tab w:leader="none" w:pos="940" w:val="left"/>
        </w:tabs>
        <w:numPr>
          <w:ilvl w:val="0"/>
          <w:numId w:val="29"/>
        </w:numPr>
        <w:rPr>
          <w:rFonts w:ascii="Arial" w:cs="Arial" w:eastAsia="Arial" w:hAnsi="Arial"/>
          <w:sz w:val="13"/>
          <w:szCs w:val="13"/>
          <w:color w:val="auto"/>
        </w:rPr>
      </w:pPr>
      <w:r>
        <w:rPr>
          <w:rFonts w:ascii="Arial" w:cs="Arial" w:eastAsia="Arial" w:hAnsi="Arial"/>
          <w:sz w:val="13"/>
          <w:szCs w:val="13"/>
          <w:color w:val="auto"/>
        </w:rPr>
        <w:t>4,707,501 shares are designated as Series B Preferred Stock,</w:t>
      </w:r>
    </w:p>
    <w:p>
      <w:pPr>
        <w:spacing w:after="0" w:line="163" w:lineRule="exact"/>
        <w:rPr>
          <w:rFonts w:ascii="Arial" w:cs="Arial" w:eastAsia="Arial" w:hAnsi="Arial"/>
          <w:sz w:val="13"/>
          <w:szCs w:val="13"/>
          <w:color w:val="auto"/>
        </w:rPr>
      </w:pPr>
    </w:p>
    <w:p>
      <w:pPr>
        <w:ind w:left="940" w:hanging="238"/>
        <w:spacing w:after="0"/>
        <w:tabs>
          <w:tab w:leader="none" w:pos="940" w:val="left"/>
        </w:tabs>
        <w:numPr>
          <w:ilvl w:val="0"/>
          <w:numId w:val="29"/>
        </w:numPr>
        <w:rPr>
          <w:rFonts w:ascii="Arial" w:cs="Arial" w:eastAsia="Arial" w:hAnsi="Arial"/>
          <w:sz w:val="13"/>
          <w:szCs w:val="13"/>
          <w:color w:val="auto"/>
        </w:rPr>
      </w:pPr>
      <w:r>
        <w:rPr>
          <w:rFonts w:ascii="Arial" w:cs="Arial" w:eastAsia="Arial" w:hAnsi="Arial"/>
          <w:sz w:val="13"/>
          <w:szCs w:val="13"/>
          <w:color w:val="auto"/>
        </w:rPr>
        <w:t>6,666,666 shares are designated as Series m Preferred Stock,</w:t>
      </w:r>
    </w:p>
    <w:p>
      <w:pPr>
        <w:spacing w:after="0" w:line="163" w:lineRule="exact"/>
        <w:rPr>
          <w:rFonts w:ascii="Arial" w:cs="Arial" w:eastAsia="Arial" w:hAnsi="Arial"/>
          <w:sz w:val="13"/>
          <w:szCs w:val="13"/>
          <w:color w:val="auto"/>
        </w:rPr>
      </w:pPr>
    </w:p>
    <w:p>
      <w:pPr>
        <w:ind w:left="940" w:hanging="238"/>
        <w:spacing w:after="0"/>
        <w:tabs>
          <w:tab w:leader="none" w:pos="940" w:val="left"/>
        </w:tabs>
        <w:numPr>
          <w:ilvl w:val="0"/>
          <w:numId w:val="29"/>
        </w:numPr>
        <w:rPr>
          <w:rFonts w:ascii="Arial" w:cs="Arial" w:eastAsia="Arial" w:hAnsi="Arial"/>
          <w:sz w:val="13"/>
          <w:szCs w:val="13"/>
          <w:color w:val="auto"/>
        </w:rPr>
      </w:pPr>
      <w:r>
        <w:rPr>
          <w:rFonts w:ascii="Arial" w:cs="Arial" w:eastAsia="Arial" w:hAnsi="Arial"/>
          <w:sz w:val="13"/>
          <w:szCs w:val="13"/>
          <w:color w:val="auto"/>
        </w:rPr>
        <w:t>333,334 shares are designated as Series m-1 Preferred Stock,</w:t>
      </w:r>
    </w:p>
    <w:p>
      <w:pPr>
        <w:spacing w:after="0" w:line="163" w:lineRule="exact"/>
        <w:rPr>
          <w:rFonts w:ascii="Arial" w:cs="Arial" w:eastAsia="Arial" w:hAnsi="Arial"/>
          <w:sz w:val="13"/>
          <w:szCs w:val="13"/>
          <w:color w:val="auto"/>
        </w:rPr>
      </w:pPr>
    </w:p>
    <w:p>
      <w:pPr>
        <w:ind w:left="940" w:hanging="238"/>
        <w:spacing w:after="0"/>
        <w:tabs>
          <w:tab w:leader="none" w:pos="940" w:val="left"/>
        </w:tabs>
        <w:numPr>
          <w:ilvl w:val="0"/>
          <w:numId w:val="29"/>
        </w:numPr>
        <w:rPr>
          <w:rFonts w:ascii="Arial" w:cs="Arial" w:eastAsia="Arial" w:hAnsi="Arial"/>
          <w:sz w:val="13"/>
          <w:szCs w:val="13"/>
          <w:color w:val="auto"/>
        </w:rPr>
      </w:pPr>
      <w:r>
        <w:rPr>
          <w:rFonts w:ascii="Arial" w:cs="Arial" w:eastAsia="Arial" w:hAnsi="Arial"/>
          <w:sz w:val="13"/>
          <w:szCs w:val="13"/>
          <w:color w:val="auto"/>
        </w:rPr>
        <w:t>1,660,756 shares are designated as Series m-2 Preferred Stock,</w:t>
      </w:r>
    </w:p>
    <w:p>
      <w:pPr>
        <w:spacing w:after="0" w:line="163" w:lineRule="exact"/>
        <w:rPr>
          <w:rFonts w:ascii="Arial" w:cs="Arial" w:eastAsia="Arial" w:hAnsi="Arial"/>
          <w:sz w:val="13"/>
          <w:szCs w:val="13"/>
          <w:color w:val="auto"/>
        </w:rPr>
      </w:pPr>
    </w:p>
    <w:p>
      <w:pPr>
        <w:ind w:left="940" w:hanging="238"/>
        <w:spacing w:after="0"/>
        <w:tabs>
          <w:tab w:leader="none" w:pos="940" w:val="left"/>
        </w:tabs>
        <w:numPr>
          <w:ilvl w:val="0"/>
          <w:numId w:val="29"/>
        </w:numPr>
        <w:rPr>
          <w:rFonts w:ascii="Arial" w:cs="Arial" w:eastAsia="Arial" w:hAnsi="Arial"/>
          <w:sz w:val="13"/>
          <w:szCs w:val="13"/>
          <w:color w:val="auto"/>
        </w:rPr>
      </w:pPr>
      <w:r>
        <w:rPr>
          <w:rFonts w:ascii="Arial" w:cs="Arial" w:eastAsia="Arial" w:hAnsi="Arial"/>
          <w:sz w:val="13"/>
          <w:szCs w:val="13"/>
          <w:color w:val="auto"/>
        </w:rPr>
        <w:t>3,490,658 shares are designated as Series m-3 Preferred Stock,</w:t>
      </w:r>
    </w:p>
    <w:p>
      <w:pPr>
        <w:spacing w:after="0" w:line="163" w:lineRule="exact"/>
        <w:rPr>
          <w:rFonts w:ascii="Arial" w:cs="Arial" w:eastAsia="Arial" w:hAnsi="Arial"/>
          <w:sz w:val="13"/>
          <w:szCs w:val="13"/>
          <w:color w:val="auto"/>
        </w:rPr>
      </w:pPr>
    </w:p>
    <w:p>
      <w:pPr>
        <w:ind w:left="940" w:hanging="238"/>
        <w:spacing w:after="0"/>
        <w:tabs>
          <w:tab w:leader="none" w:pos="940" w:val="left"/>
        </w:tabs>
        <w:numPr>
          <w:ilvl w:val="0"/>
          <w:numId w:val="29"/>
        </w:numPr>
        <w:rPr>
          <w:rFonts w:ascii="Arial" w:cs="Arial" w:eastAsia="Arial" w:hAnsi="Arial"/>
          <w:sz w:val="13"/>
          <w:szCs w:val="13"/>
          <w:color w:val="auto"/>
        </w:rPr>
      </w:pPr>
      <w:r>
        <w:rPr>
          <w:rFonts w:ascii="Arial" w:cs="Arial" w:eastAsia="Arial" w:hAnsi="Arial"/>
          <w:sz w:val="13"/>
          <w:szCs w:val="13"/>
          <w:color w:val="auto"/>
        </w:rPr>
        <w:t>13,108,333 shares are designated as Series S Preferred Stock, and</w:t>
      </w:r>
    </w:p>
    <w:p>
      <w:pPr>
        <w:spacing w:after="0" w:line="163" w:lineRule="exact"/>
        <w:rPr>
          <w:rFonts w:ascii="Arial" w:cs="Arial" w:eastAsia="Arial" w:hAnsi="Arial"/>
          <w:sz w:val="13"/>
          <w:szCs w:val="13"/>
          <w:color w:val="auto"/>
        </w:rPr>
      </w:pPr>
    </w:p>
    <w:p>
      <w:pPr>
        <w:ind w:left="940" w:hanging="238"/>
        <w:spacing w:after="0"/>
        <w:tabs>
          <w:tab w:leader="none" w:pos="940" w:val="left"/>
        </w:tabs>
        <w:numPr>
          <w:ilvl w:val="0"/>
          <w:numId w:val="29"/>
        </w:numPr>
        <w:rPr>
          <w:rFonts w:ascii="Arial" w:cs="Arial" w:eastAsia="Arial" w:hAnsi="Arial"/>
          <w:sz w:val="13"/>
          <w:szCs w:val="13"/>
          <w:color w:val="auto"/>
        </w:rPr>
      </w:pPr>
      <w:r>
        <w:rPr>
          <w:rFonts w:ascii="Arial" w:cs="Arial" w:eastAsia="Arial" w:hAnsi="Arial"/>
          <w:sz w:val="13"/>
          <w:szCs w:val="13"/>
          <w:color w:val="auto"/>
        </w:rPr>
        <w:t>4,502,061 shares are designated as Series m-4 Preferred Stock.</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At November 1, 2021, the issued and outstanding shares and options of the Company are as follows:</w:t>
      </w:r>
    </w:p>
    <w:p>
      <w:pPr>
        <w:spacing w:after="0" w:line="163" w:lineRule="exact"/>
        <w:rPr>
          <w:sz w:val="20"/>
          <w:szCs w:val="20"/>
          <w:color w:val="auto"/>
        </w:rPr>
      </w:pPr>
    </w:p>
    <w:p>
      <w:pPr>
        <w:ind w:left="460" w:hanging="227"/>
        <w:spacing w:after="0"/>
        <w:tabs>
          <w:tab w:leader="none" w:pos="460" w:val="left"/>
        </w:tabs>
        <w:numPr>
          <w:ilvl w:val="0"/>
          <w:numId w:val="30"/>
        </w:numPr>
        <w:rPr>
          <w:rFonts w:ascii="Arial" w:cs="Arial" w:eastAsia="Arial" w:hAnsi="Arial"/>
          <w:sz w:val="13"/>
          <w:szCs w:val="13"/>
          <w:color w:val="auto"/>
        </w:rPr>
      </w:pPr>
      <w:r>
        <w:rPr>
          <w:rFonts w:ascii="Arial" w:cs="Arial" w:eastAsia="Arial" w:hAnsi="Arial"/>
          <w:sz w:val="13"/>
          <w:szCs w:val="13"/>
          <w:color w:val="auto"/>
        </w:rPr>
        <w:t>10,189,000 shares of Class B Common Stock;</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30"/>
        </w:numPr>
        <w:rPr>
          <w:rFonts w:ascii="Arial" w:cs="Arial" w:eastAsia="Arial" w:hAnsi="Arial"/>
          <w:sz w:val="13"/>
          <w:szCs w:val="13"/>
          <w:color w:val="auto"/>
        </w:rPr>
      </w:pPr>
      <w:r>
        <w:rPr>
          <w:rFonts w:ascii="Arial" w:cs="Arial" w:eastAsia="Arial" w:hAnsi="Arial"/>
          <w:sz w:val="13"/>
          <w:szCs w:val="13"/>
          <w:color w:val="auto"/>
        </w:rPr>
        <w:t>8,936,015 shares of Series A Preferred Stock;</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30"/>
        </w:numPr>
        <w:rPr>
          <w:rFonts w:ascii="Arial" w:cs="Arial" w:eastAsia="Arial" w:hAnsi="Arial"/>
          <w:sz w:val="13"/>
          <w:szCs w:val="13"/>
          <w:color w:val="auto"/>
        </w:rPr>
      </w:pPr>
      <w:r>
        <w:rPr>
          <w:rFonts w:ascii="Arial" w:cs="Arial" w:eastAsia="Arial" w:hAnsi="Arial"/>
          <w:sz w:val="13"/>
          <w:szCs w:val="13"/>
          <w:color w:val="auto"/>
        </w:rPr>
        <w:t>4,653,583 shares of Series B Preferred Stock;</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30"/>
        </w:numPr>
        <w:rPr>
          <w:rFonts w:ascii="Arial" w:cs="Arial" w:eastAsia="Arial" w:hAnsi="Arial"/>
          <w:sz w:val="13"/>
          <w:szCs w:val="13"/>
          <w:color w:val="auto"/>
        </w:rPr>
      </w:pPr>
      <w:r>
        <w:rPr>
          <w:rFonts w:ascii="Arial" w:cs="Arial" w:eastAsia="Arial" w:hAnsi="Arial"/>
          <w:sz w:val="13"/>
          <w:szCs w:val="13"/>
          <w:color w:val="auto"/>
        </w:rPr>
        <w:t>5,339,215 shares of Series m Preferred Stock;</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30"/>
        </w:numPr>
        <w:rPr>
          <w:rFonts w:ascii="Arial" w:cs="Arial" w:eastAsia="Arial" w:hAnsi="Arial"/>
          <w:sz w:val="13"/>
          <w:szCs w:val="13"/>
          <w:color w:val="auto"/>
        </w:rPr>
      </w:pPr>
      <w:r>
        <w:rPr>
          <w:rFonts w:ascii="Arial" w:cs="Arial" w:eastAsia="Arial" w:hAnsi="Arial"/>
          <w:sz w:val="13"/>
          <w:szCs w:val="13"/>
          <w:color w:val="auto"/>
        </w:rPr>
        <w:t>1,660,756 shares of Series m-2 Preferred Stock;</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30"/>
        </w:numPr>
        <w:rPr>
          <w:rFonts w:ascii="Arial" w:cs="Arial" w:eastAsia="Arial" w:hAnsi="Arial"/>
          <w:sz w:val="13"/>
          <w:szCs w:val="13"/>
          <w:color w:val="auto"/>
        </w:rPr>
      </w:pPr>
      <w:r>
        <w:rPr>
          <w:rFonts w:ascii="Arial" w:cs="Arial" w:eastAsia="Arial" w:hAnsi="Arial"/>
          <w:sz w:val="13"/>
          <w:szCs w:val="13"/>
          <w:color w:val="auto"/>
        </w:rPr>
        <w:t>16,757 shares of Series m-3 Preferred Stock;</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30"/>
        </w:numPr>
        <w:rPr>
          <w:rFonts w:ascii="Arial" w:cs="Arial" w:eastAsia="Arial" w:hAnsi="Arial"/>
          <w:sz w:val="13"/>
          <w:szCs w:val="13"/>
          <w:color w:val="auto"/>
        </w:rPr>
      </w:pPr>
      <w:r>
        <w:rPr>
          <w:rFonts w:ascii="Arial" w:cs="Arial" w:eastAsia="Arial" w:hAnsi="Arial"/>
          <w:sz w:val="13"/>
          <w:szCs w:val="13"/>
          <w:color w:val="auto"/>
        </w:rPr>
        <w:t>1,891,520 shares of Series m-4 Preferred Stock;</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30"/>
        </w:numPr>
        <w:rPr>
          <w:rFonts w:ascii="Arial" w:cs="Arial" w:eastAsia="Arial" w:hAnsi="Arial"/>
          <w:sz w:val="13"/>
          <w:szCs w:val="13"/>
          <w:color w:val="auto"/>
        </w:rPr>
      </w:pPr>
      <w:r>
        <w:rPr>
          <w:rFonts w:ascii="Arial" w:cs="Arial" w:eastAsia="Arial" w:hAnsi="Arial"/>
          <w:sz w:val="13"/>
          <w:szCs w:val="13"/>
          <w:color w:val="auto"/>
        </w:rPr>
        <w:t>5,587,152 shares of Series S Preferred Stock; and</w:t>
      </w:r>
    </w:p>
    <w:p>
      <w:pPr>
        <w:spacing w:after="0" w:line="163" w:lineRule="exact"/>
        <w:rPr>
          <w:rFonts w:ascii="Arial" w:cs="Arial" w:eastAsia="Arial" w:hAnsi="Arial"/>
          <w:sz w:val="13"/>
          <w:szCs w:val="13"/>
          <w:color w:val="auto"/>
        </w:rPr>
      </w:pPr>
    </w:p>
    <w:p>
      <w:pPr>
        <w:ind w:left="460" w:hanging="227"/>
        <w:spacing w:after="0" w:line="274" w:lineRule="auto"/>
        <w:tabs>
          <w:tab w:leader="none" w:pos="460" w:val="left"/>
        </w:tabs>
        <w:numPr>
          <w:ilvl w:val="0"/>
          <w:numId w:val="30"/>
        </w:numPr>
        <w:rPr>
          <w:rFonts w:ascii="Arial" w:cs="Arial" w:eastAsia="Arial" w:hAnsi="Arial"/>
          <w:sz w:val="13"/>
          <w:szCs w:val="13"/>
          <w:color w:val="auto"/>
        </w:rPr>
      </w:pPr>
      <w:r>
        <w:rPr>
          <w:rFonts w:ascii="Arial" w:cs="Arial" w:eastAsia="Arial" w:hAnsi="Arial"/>
          <w:sz w:val="13"/>
          <w:szCs w:val="13"/>
          <w:color w:val="auto"/>
        </w:rPr>
        <w:t>636,000 shares of Class B Common Stock that are issuable pursuant to employee stock options that have been issued under the 2014 Equity Plan and 7,062,811 shares of Class A Common Stock that are issuable pursuant to employee stock options that have been issued under the 2016 Equity Plan.</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color w:val="auto"/>
        </w:rPr>
        <w:t>As of November 1, 2021, there were 1,321,003 shares of Class A Common Stock available for issuance under the 2016 Equity Plan.</w:t>
      </w:r>
    </w:p>
    <w:p>
      <w:pPr>
        <w:spacing w:after="0" w:line="320" w:lineRule="exact"/>
        <w:rPr>
          <w:sz w:val="20"/>
          <w:szCs w:val="20"/>
          <w:color w:val="auto"/>
        </w:rPr>
      </w:pPr>
    </w:p>
    <w:p>
      <w:pPr>
        <w:jc w:val="center"/>
        <w:ind w:right="-319"/>
        <w:spacing w:after="0"/>
        <w:rPr>
          <w:sz w:val="20"/>
          <w:szCs w:val="20"/>
          <w:color w:val="auto"/>
        </w:rPr>
      </w:pPr>
      <w:r>
        <w:rPr>
          <w:rFonts w:ascii="Arial" w:cs="Arial" w:eastAsia="Arial" w:hAnsi="Arial"/>
          <w:sz w:val="13"/>
          <w:szCs w:val="13"/>
          <w:color w:val="auto"/>
        </w:rPr>
        <w:t>44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000"/>
          </w:cols>
          <w:pgMar w:left="300" w:top="694" w:right="599" w:bottom="1440" w:gutter="0" w:footer="0" w:header="0"/>
        </w:sectPr>
      </w:pPr>
    </w:p>
    <w:bookmarkStart w:id="48" w:name="page49"/>
    <w:bookmarkEnd w:id="48"/>
    <w:p>
      <w:pPr>
        <w:spacing w:after="0"/>
        <w:rPr>
          <w:sz w:val="20"/>
          <w:szCs w:val="20"/>
          <w:color w:val="auto"/>
        </w:rPr>
      </w:pPr>
      <w:r>
        <w:rPr>
          <w:rFonts w:ascii="Arial" w:cs="Arial" w:eastAsia="Arial" w:hAnsi="Arial"/>
          <w:sz w:val="13"/>
          <w:szCs w:val="13"/>
          <w:b w:val="1"/>
          <w:bCs w:val="1"/>
          <w:color w:val="auto"/>
        </w:rPr>
        <w:t>Common Stock</w:t>
      </w:r>
    </w:p>
    <w:p>
      <w:pPr>
        <w:spacing w:after="0" w:line="167" w:lineRule="exact"/>
        <w:rPr>
          <w:sz w:val="20"/>
          <w:szCs w:val="20"/>
          <w:color w:val="auto"/>
        </w:rPr>
      </w:pPr>
    </w:p>
    <w:p>
      <w:pPr>
        <w:ind w:right="60"/>
        <w:spacing w:after="0" w:line="256" w:lineRule="auto"/>
        <w:rPr>
          <w:sz w:val="20"/>
          <w:szCs w:val="20"/>
          <w:color w:val="auto"/>
        </w:rPr>
      </w:pPr>
      <w:r>
        <w:rPr>
          <w:rFonts w:ascii="Arial" w:cs="Arial" w:eastAsia="Arial" w:hAnsi="Arial"/>
          <w:sz w:val="13"/>
          <w:szCs w:val="13"/>
          <w:color w:val="auto"/>
        </w:rPr>
        <w:t>We have two authorized classes of common stock, Class A Common Stock and Class B Common Stock. All currently outstanding stock options are eligible to be settled in or exercisable for shares of either our Class A Common Stock or Class B Common Stock. All currently outstanding shares of Preferred Stock are convertible into shares of either Class A Common Stock or Class B Common Stock. The Series A Preferred Stock, the Series B Preferred Stock and the Series m-2 Preferred Stock (collectively, the “Super Voting Preferred Stock”) are convertible into shares of Class B Common Stock. The Series m Preferred Stock, the Series m-1 Preferred Stock, the Series m-3 Preferred Stock, the Series m-4 Preferred Stock and the Series S Preferred Stock (collectively, the “Ordinary Preferred Stock”) are convertible into shares of Class A Common Stock. The Class B Common Stock is convertible into shares of Class A Common Stock.</w:t>
      </w:r>
    </w:p>
    <w:p>
      <w:pPr>
        <w:spacing w:after="0" w:line="141"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Voting Rights</w:t>
      </w:r>
    </w:p>
    <w:p>
      <w:pPr>
        <w:spacing w:after="0" w:line="163" w:lineRule="exact"/>
        <w:rPr>
          <w:sz w:val="20"/>
          <w:szCs w:val="20"/>
          <w:color w:val="auto"/>
        </w:rPr>
      </w:pPr>
    </w:p>
    <w:p>
      <w:pPr>
        <w:ind w:right="40"/>
        <w:spacing w:after="0" w:line="281" w:lineRule="auto"/>
        <w:rPr>
          <w:sz w:val="20"/>
          <w:szCs w:val="20"/>
          <w:color w:val="auto"/>
        </w:rPr>
      </w:pPr>
      <w:r>
        <w:rPr>
          <w:rFonts w:ascii="Arial" w:cs="Arial" w:eastAsia="Arial" w:hAnsi="Arial"/>
          <w:sz w:val="12"/>
          <w:szCs w:val="12"/>
          <w:color w:val="auto"/>
        </w:rPr>
        <w:t>Holders of our Class A Common Stock and Class B Common Stock have identical rights, provided however that, except as otherwise expressly provided in our amended and restated certificate of incorporation or required by applicable law, on any matter that is submitted to a vote of our stockholders, holders of Class A Common Stock are entitled to one vote per share of Class A Common Stock and holders of Class B Common Stock are entitled to 10 votes per share of Class B Common Stock. Holders of shares of Class A Common Stock and Class B Common Stock vote together as a single class on all matters (including the election of directors) submitted to a vote of stockholders, unless otherwise required by Delaware law or our amended and restated certificate of incorporation. Delaware law could require either holders of our Class A Common Stock or Class B Common Stock to vote separately as a single class if we were to seek to amend our amended and restated certificate of incorporation in a manner that alters or changes the powers, preferences or special rights of a class of our capital stock in a manner that affected its holders adversely, then that class would be required to vote separately to approve the proposed amendment.</w:t>
      </w:r>
    </w:p>
    <w:p>
      <w:pPr>
        <w:spacing w:after="0" w:line="126" w:lineRule="exact"/>
        <w:rPr>
          <w:sz w:val="20"/>
          <w:szCs w:val="20"/>
          <w:color w:val="auto"/>
        </w:rPr>
      </w:pPr>
    </w:p>
    <w:p>
      <w:pPr>
        <w:spacing w:after="0"/>
        <w:rPr>
          <w:sz w:val="20"/>
          <w:szCs w:val="20"/>
          <w:color w:val="auto"/>
        </w:rPr>
      </w:pPr>
      <w:r>
        <w:rPr>
          <w:rFonts w:ascii="Arial" w:cs="Arial" w:eastAsia="Arial" w:hAnsi="Arial"/>
          <w:sz w:val="13"/>
          <w:szCs w:val="13"/>
          <w:color w:val="auto"/>
        </w:rPr>
        <w:t>Our board of directors currently consists of a sole member and we have not provided for cumulative voting for the election of directors in our certificate of incorporation.</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Dividend Rights</w:t>
      </w:r>
    </w:p>
    <w:p>
      <w:pPr>
        <w:spacing w:after="0" w:line="163" w:lineRule="exact"/>
        <w:rPr>
          <w:sz w:val="20"/>
          <w:szCs w:val="20"/>
          <w:color w:val="auto"/>
        </w:rPr>
      </w:pPr>
    </w:p>
    <w:p>
      <w:pPr>
        <w:ind w:right="40"/>
        <w:spacing w:after="0" w:line="256" w:lineRule="auto"/>
        <w:rPr>
          <w:sz w:val="20"/>
          <w:szCs w:val="20"/>
          <w:color w:val="auto"/>
        </w:rPr>
      </w:pPr>
      <w:r>
        <w:rPr>
          <w:rFonts w:ascii="Arial" w:cs="Arial" w:eastAsia="Arial" w:hAnsi="Arial"/>
          <w:sz w:val="13"/>
          <w:szCs w:val="13"/>
          <w:color w:val="auto"/>
        </w:rPr>
        <w:t>Holders of the Company’s common stock are entitled to receive dividends, as may be declared from time to time by the board of directors out of legally available funds and only following payment to holders of the Company’s Preferred Stock, as detailed in the Company’s amended and restated certificate of incorporation. Following payment of dividends to the holders of Preferred Stock in accordance with the preferential order set out in the amended and restated certificate of incorporation, including the Series S Preferred Stock, any additional dividends set aside or paid in a given year, shall be set aside and paid among the holders of the Preferred Stock and common stock on an as-converted basis. The rights to dividends are not cumulative. The Company has never declared or paid cash dividends on any of its capital stock and currently does not anticipate paying any cash dividends after this offering or in the foreseeable future.</w:t>
      </w:r>
    </w:p>
    <w:p>
      <w:pPr>
        <w:spacing w:after="0" w:line="141"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Liquidation Rights</w:t>
      </w:r>
    </w:p>
    <w:p>
      <w:pPr>
        <w:spacing w:after="0" w:line="163" w:lineRule="exact"/>
        <w:rPr>
          <w:sz w:val="20"/>
          <w:szCs w:val="20"/>
          <w:color w:val="auto"/>
        </w:rPr>
      </w:pPr>
    </w:p>
    <w:p>
      <w:pPr>
        <w:ind w:right="200"/>
        <w:spacing w:after="0" w:line="262" w:lineRule="auto"/>
        <w:rPr>
          <w:sz w:val="20"/>
          <w:szCs w:val="20"/>
          <w:color w:val="auto"/>
        </w:rPr>
      </w:pPr>
      <w:r>
        <w:rPr>
          <w:rFonts w:ascii="Arial" w:cs="Arial" w:eastAsia="Arial" w:hAnsi="Arial"/>
          <w:sz w:val="13"/>
          <w:szCs w:val="13"/>
          <w:color w:val="auto"/>
        </w:rPr>
        <w:t>In the event of a voluntary or involuntary liquidation, dissolution, or winding up of the Company, the holders of common stock are entitled to share ratably in the net assets legally available for distribution to stockholders after the payment of all debts and other liabilities of the Company and only after the satisfaction of any liquidation preferences granted to the holders of all shares of the outstanding Preferred Stock in accordance with the liquidation stack provided for in the amended and restated certificate of incorporation of the Company.</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Rights and Preferences</w:t>
      </w:r>
    </w:p>
    <w:p>
      <w:pPr>
        <w:spacing w:after="0" w:line="163"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Holders of the Company’s common stock have no preemptive, conversion, or other rights, and there are no redemptive or sinking fund provisions applicable to the Company’s common stock, except that holders of the Class B Common Stock may convert their shares into shares of Class A Common Stock.</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Conversion Rights</w:t>
      </w:r>
    </w:p>
    <w:p>
      <w:pPr>
        <w:spacing w:after="0" w:line="163" w:lineRule="exact"/>
        <w:rPr>
          <w:sz w:val="20"/>
          <w:szCs w:val="20"/>
          <w:color w:val="auto"/>
        </w:rPr>
      </w:pPr>
    </w:p>
    <w:p>
      <w:pPr>
        <w:ind w:right="80"/>
        <w:spacing w:after="0" w:line="274" w:lineRule="auto"/>
        <w:rPr>
          <w:sz w:val="20"/>
          <w:szCs w:val="20"/>
          <w:color w:val="auto"/>
        </w:rPr>
      </w:pPr>
      <w:r>
        <w:rPr>
          <w:rFonts w:ascii="Arial" w:cs="Arial" w:eastAsia="Arial" w:hAnsi="Arial"/>
          <w:sz w:val="13"/>
          <w:szCs w:val="13"/>
          <w:color w:val="auto"/>
        </w:rPr>
        <w:t>Each share of Class B Common Stock shall automatically convert into one share of Class A Common Stock upon any transfer of such shares other than for tax planning purposes and certain other limited exceptions, as outlined in the Company’s amended and restated certificate of incorporation.</w:t>
      </w:r>
    </w:p>
    <w:p>
      <w:pPr>
        <w:spacing w:after="0" w:line="128" w:lineRule="exact"/>
        <w:rPr>
          <w:sz w:val="20"/>
          <w:szCs w:val="20"/>
          <w:color w:val="auto"/>
        </w:rPr>
      </w:pPr>
    </w:p>
    <w:p>
      <w:pPr>
        <w:spacing w:after="0"/>
        <w:rPr>
          <w:sz w:val="20"/>
          <w:szCs w:val="20"/>
          <w:color w:val="auto"/>
        </w:rPr>
      </w:pPr>
      <w:r>
        <w:rPr>
          <w:rFonts w:ascii="Arial" w:cs="Arial" w:eastAsia="Arial" w:hAnsi="Arial"/>
          <w:sz w:val="12"/>
          <w:szCs w:val="12"/>
          <w:color w:val="auto"/>
        </w:rPr>
        <w:t>Each share of Class B Common Stock shall be convertible into one share of Class A Common Stock at the option of the holder thereof at any time upon written notice to the Company’s transfer agent.</w:t>
      </w:r>
    </w:p>
    <w:p>
      <w:pPr>
        <w:spacing w:after="0" w:line="331"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45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49" w:name="page50"/>
    <w:bookmarkEnd w:id="49"/>
    <w:p>
      <w:pPr>
        <w:spacing w:after="0"/>
        <w:rPr>
          <w:sz w:val="20"/>
          <w:szCs w:val="20"/>
          <w:color w:val="auto"/>
        </w:rPr>
      </w:pPr>
      <w:r>
        <w:rPr>
          <w:rFonts w:ascii="Arial" w:cs="Arial" w:eastAsia="Arial" w:hAnsi="Arial"/>
          <w:sz w:val="13"/>
          <w:szCs w:val="13"/>
          <w:b w:val="1"/>
          <w:bCs w:val="1"/>
          <w:color w:val="auto"/>
        </w:rPr>
        <w:t>Ordinary Preferred Stock</w:t>
      </w:r>
    </w:p>
    <w:p>
      <w:pPr>
        <w:spacing w:after="0" w:line="167" w:lineRule="exact"/>
        <w:rPr>
          <w:sz w:val="20"/>
          <w:szCs w:val="20"/>
          <w:color w:val="auto"/>
        </w:rPr>
      </w:pPr>
    </w:p>
    <w:p>
      <w:pPr>
        <w:ind w:right="480"/>
        <w:spacing w:after="0" w:line="274" w:lineRule="auto"/>
        <w:rPr>
          <w:sz w:val="20"/>
          <w:szCs w:val="20"/>
          <w:color w:val="auto"/>
        </w:rPr>
      </w:pPr>
      <w:r>
        <w:rPr>
          <w:rFonts w:ascii="Arial" w:cs="Arial" w:eastAsia="Arial" w:hAnsi="Arial"/>
          <w:sz w:val="13"/>
          <w:szCs w:val="13"/>
          <w:color w:val="auto"/>
        </w:rPr>
        <w:t>The Company has authorized the issuance of the Series m Preferred Stock, the Series m-1 Preferred Stock, the Series m-3 Preferred Stock, the Series m-4 Preferred Stock and the Series S Preferred Stock (the “Ordinary Preferred Stock”), which contain substantially similar rights, preferences, and privileges, as other series of Preferred Stock, except as described below.</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Conversion Rights</w:t>
      </w:r>
    </w:p>
    <w:p>
      <w:pPr>
        <w:spacing w:after="0" w:line="163" w:lineRule="exact"/>
        <w:rPr>
          <w:sz w:val="20"/>
          <w:szCs w:val="20"/>
          <w:color w:val="auto"/>
        </w:rPr>
      </w:pPr>
    </w:p>
    <w:p>
      <w:pPr>
        <w:ind w:right="40"/>
        <w:spacing w:after="0" w:line="287" w:lineRule="auto"/>
        <w:rPr>
          <w:sz w:val="20"/>
          <w:szCs w:val="20"/>
          <w:color w:val="auto"/>
        </w:rPr>
      </w:pPr>
      <w:r>
        <w:rPr>
          <w:rFonts w:ascii="Arial" w:cs="Arial" w:eastAsia="Arial" w:hAnsi="Arial"/>
          <w:sz w:val="12"/>
          <w:szCs w:val="12"/>
          <w:color w:val="auto"/>
        </w:rPr>
        <w:t>Shares of Ordinary Preferred Stock are convertible, at the option of the holder, at any time, into fully-paid nonassessable shares of the Company’s Class A Common Stock at the then-applicable conversion rate. The conversion rate is subject to anti-dilution protective provisions that will be applied to adjust the number of shares of Class A Common Stock issuable upon conversion of the shares of the respective series of Preferred Stock, except Series m-3 Preferred Stock and Series m-4 Preferred Stock, in case shares of common stock, on an as converted basis, are issued for a price per share below the price per share of the relevant series of Preferred Stock, subject to customary exceptions, in accordance with the Company’s amended and restated certificate of incorporation.</w:t>
      </w:r>
    </w:p>
    <w:p>
      <w:pPr>
        <w:spacing w:after="0" w:line="122" w:lineRule="exact"/>
        <w:rPr>
          <w:sz w:val="20"/>
          <w:szCs w:val="20"/>
          <w:color w:val="auto"/>
        </w:rPr>
      </w:pPr>
    </w:p>
    <w:p>
      <w:pPr>
        <w:ind w:right="200"/>
        <w:spacing w:after="0" w:line="320" w:lineRule="auto"/>
        <w:rPr>
          <w:sz w:val="20"/>
          <w:szCs w:val="20"/>
          <w:color w:val="auto"/>
        </w:rPr>
      </w:pPr>
      <w:r>
        <w:rPr>
          <w:rFonts w:ascii="Arial" w:cs="Arial" w:eastAsia="Arial" w:hAnsi="Arial"/>
          <w:sz w:val="11"/>
          <w:szCs w:val="11"/>
          <w:color w:val="auto"/>
        </w:rPr>
        <w:t>The initial conversion rate for the conversion of the Series m Preferred Stock and Series S Preferred Stock was 1:1, which conversion rate will continue to be adjusted pursuant to the broad-based weighted average anti-dilution adjustment provisions provided for in the Company’s certificate of incorporation, including without limitation as a result of the issuance of warrants to purchase Series S Preferred Stock in connection with the Convertible Note Financing, which may continue to have closings simultaneously with this offering. As of June 30, 2021, the conversion rate for the Series m Preferred Stock was 1:1.0073 and as of November 18, 2021, the conversion rate was 1:1.0187. As of June 30, 2021, the conversion rate for the Series S Preferred Stock was 1:10406 and as of November 18, 2021, the conversion rate was 1:1.1069.</w:t>
      </w:r>
    </w:p>
    <w:p>
      <w:pPr>
        <w:spacing w:after="0" w:line="108" w:lineRule="exact"/>
        <w:rPr>
          <w:sz w:val="20"/>
          <w:szCs w:val="20"/>
          <w:color w:val="auto"/>
        </w:rPr>
      </w:pPr>
    </w:p>
    <w:p>
      <w:pPr>
        <w:ind w:right="60"/>
        <w:spacing w:after="0" w:line="287" w:lineRule="auto"/>
        <w:rPr>
          <w:sz w:val="20"/>
          <w:szCs w:val="20"/>
          <w:color w:val="auto"/>
        </w:rPr>
      </w:pPr>
      <w:r>
        <w:rPr>
          <w:rFonts w:ascii="Arial" w:cs="Arial" w:eastAsia="Arial" w:hAnsi="Arial"/>
          <w:sz w:val="12"/>
          <w:szCs w:val="12"/>
          <w:color w:val="auto"/>
        </w:rPr>
        <w:t>Additionally, each share of Preferred Stock will automatically convert into Class A Common Stock or Class B Common Stock, as applicable, (i) immediately prior to the closing of a firm commitment underwritten public offering, registered under the Securities Act, (ii) with respect to Preferred Stock other than the Series m-4 Preferred Stock, upon the receipt by the Company of a written request for such conversion from the holders of a majority of the Preferred Stock other than the Series m-4 Preferred Stock then outstanding, or (iii) with respect to the Series m-4 Preferred Stock, upon the receipt by the Company of a written request for such conversion from the holders of a majority of the Series m-4 Preferred Stock then outstanding. The stock will convert in the same manner as a voluntary conversion.</w:t>
      </w:r>
    </w:p>
    <w:p>
      <w:pPr>
        <w:spacing w:after="0" w:line="122"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Voting Rights</w:t>
      </w:r>
    </w:p>
    <w:p>
      <w:pPr>
        <w:spacing w:after="0" w:line="163" w:lineRule="exact"/>
        <w:rPr>
          <w:sz w:val="20"/>
          <w:szCs w:val="20"/>
          <w:color w:val="auto"/>
        </w:rPr>
      </w:pPr>
    </w:p>
    <w:p>
      <w:pPr>
        <w:jc w:val="both"/>
        <w:ind w:right="100"/>
        <w:spacing w:after="0" w:line="294" w:lineRule="auto"/>
        <w:rPr>
          <w:sz w:val="20"/>
          <w:szCs w:val="20"/>
          <w:color w:val="auto"/>
        </w:rPr>
      </w:pPr>
      <w:r>
        <w:rPr>
          <w:rFonts w:ascii="Arial" w:cs="Arial" w:eastAsia="Arial" w:hAnsi="Arial"/>
          <w:sz w:val="12"/>
          <w:szCs w:val="12"/>
          <w:color w:val="auto"/>
        </w:rPr>
        <w:t>Each holder of Ordinary Preferred Stock is entitled to that number of votes equal to one vote per share of Class A Common Stock into which such shares are convertible, as adjusted as discussed above for the Series m Preferred Stock and Series S Preferred Stock. Fractional votes are not permitted and if the conversion results in a fractional share, it will be disregarded. Holders of Ordinary Preferred Stock are entitled to vote on all matters submitted to a vote of the stockholders, including the election of directors, as a single class with the holders of common stock.</w:t>
      </w:r>
    </w:p>
    <w:p>
      <w:pPr>
        <w:spacing w:after="0" w:line="119" w:lineRule="exact"/>
        <w:rPr>
          <w:sz w:val="20"/>
          <w:szCs w:val="20"/>
          <w:color w:val="auto"/>
        </w:rPr>
      </w:pPr>
    </w:p>
    <w:p>
      <w:pPr>
        <w:spacing w:after="0" w:line="258" w:lineRule="auto"/>
        <w:rPr>
          <w:sz w:val="20"/>
          <w:szCs w:val="20"/>
          <w:color w:val="auto"/>
        </w:rPr>
      </w:pPr>
      <w:r>
        <w:rPr>
          <w:rFonts w:ascii="Arial" w:cs="Arial" w:eastAsia="Arial" w:hAnsi="Arial"/>
          <w:sz w:val="13"/>
          <w:szCs w:val="13"/>
          <w:color w:val="auto"/>
        </w:rPr>
        <w:t>In connection with the Convertible Note Financing, William Santana Li, the Chief Executive Officer, was granted a voting proxy to vote substantially all of the shares of the Company’s Series m-4 Preferred Stock, and the stock issued upon the conversion of warrants to purchase shares of the Company’s Series m-3 Preferred Stock and upon the conversion of warrants to purchase shares of the Company’s Series S Preferred Stock, and the stock issuable upon conversion of the convertible promissory notes issued as part of the Convertible Note Financing, in each case to the extent that such shares are held by participants in the Convertible Note Financing (the “Voting Proxy”).</w:t>
      </w:r>
    </w:p>
    <w:p>
      <w:pPr>
        <w:spacing w:after="0" w:line="139"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Dividend Rights</w:t>
      </w:r>
    </w:p>
    <w:p>
      <w:pPr>
        <w:spacing w:after="0" w:line="163" w:lineRule="exact"/>
        <w:rPr>
          <w:sz w:val="20"/>
          <w:szCs w:val="20"/>
          <w:color w:val="auto"/>
        </w:rPr>
      </w:pPr>
    </w:p>
    <w:p>
      <w:pPr>
        <w:ind w:right="20"/>
        <w:spacing w:after="0" w:line="256" w:lineRule="auto"/>
        <w:rPr>
          <w:sz w:val="20"/>
          <w:szCs w:val="20"/>
          <w:color w:val="auto"/>
        </w:rPr>
      </w:pPr>
      <w:r>
        <w:rPr>
          <w:rFonts w:ascii="Arial" w:cs="Arial" w:eastAsia="Arial" w:hAnsi="Arial"/>
          <w:sz w:val="13"/>
          <w:szCs w:val="13"/>
          <w:color w:val="auto"/>
        </w:rPr>
        <w:t>Holders of Series m-4 Preferred Stock are entitled to receive cumulative dividends payable semi-annually in arrears with respect to each dividend period ending on and including the last calendar day of each six-month period ending March 31 and September 30, respectively (each such period, a “Dividend Period” and each such date, a “Dividend Payment Date”), at the rate per share of Series m-4 Preferred Stock equal to the Dividend Rate for the Series m-4 Preferred Stock, in each case subject to compliance with applicable law. Dividends to holders of Series m-4 Preferred Stock are paid in kind as a dividend of additional shares of Series m-4 Preferred Stock (“PIK Dividends”) for each Dividend Period on the applicable Dividend Payment Date using a price per share equal to the original issue price, provided that the Company shall not issue any fractional shares of Series m-4 Preferred Stock.</w:t>
      </w:r>
    </w:p>
    <w:p>
      <w:pPr>
        <w:spacing w:after="0" w:line="141" w:lineRule="exact"/>
        <w:rPr>
          <w:sz w:val="20"/>
          <w:szCs w:val="20"/>
          <w:color w:val="auto"/>
        </w:rPr>
      </w:pPr>
    </w:p>
    <w:p>
      <w:pPr>
        <w:ind w:right="20"/>
        <w:spacing w:after="0" w:line="258" w:lineRule="auto"/>
        <w:rPr>
          <w:sz w:val="20"/>
          <w:szCs w:val="20"/>
          <w:color w:val="auto"/>
        </w:rPr>
      </w:pPr>
      <w:r>
        <w:rPr>
          <w:rFonts w:ascii="Arial" w:cs="Arial" w:eastAsia="Arial" w:hAnsi="Arial"/>
          <w:sz w:val="13"/>
          <w:szCs w:val="13"/>
          <w:color w:val="auto"/>
        </w:rPr>
        <w:t>Except as described above, the Company has no obligation to pay any dividends to the holders of Series m-4 Preferred Stock, except when, as and if declared by the board of directors out of any assets at the time legally available therefor or as otherwise specifically provided in our amended and restated certificate of incorporation. No distribution will be made with respect to the Series S Preferred Stock, the Series B Preferred Stock, the Series m Preferred Stock, the Series m-1 Preferred Stock, the Series m-2 Preferred Stock, Series A Preferred Stock, Series m-3 Preferred Stock or the Common Stock until all declared or accrued but unpaid dividends on the Series m-4 Preferred Stock have been paid or set aside for payment to the Series m-4 Preferred Stockholders.</w:t>
      </w:r>
    </w:p>
    <w:p>
      <w:pPr>
        <w:spacing w:after="0" w:line="296"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46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50" w:name="page51"/>
    <w:bookmarkEnd w:id="50"/>
    <w:p>
      <w:pPr>
        <w:ind w:left="2"/>
        <w:spacing w:after="0"/>
        <w:rPr>
          <w:sz w:val="20"/>
          <w:szCs w:val="20"/>
          <w:color w:val="auto"/>
        </w:rPr>
      </w:pPr>
      <w:r>
        <w:rPr>
          <w:rFonts w:ascii="Arial" w:cs="Arial" w:eastAsia="Arial" w:hAnsi="Arial"/>
          <w:sz w:val="13"/>
          <w:szCs w:val="13"/>
          <w:b w:val="1"/>
          <w:bCs w:val="1"/>
          <w:i w:val="1"/>
          <w:iCs w:val="1"/>
          <w:color w:val="auto"/>
        </w:rPr>
        <w:t>Right to Receive Liquidation Distributions</w:t>
      </w:r>
    </w:p>
    <w:p>
      <w:pPr>
        <w:spacing w:after="0" w:line="163" w:lineRule="exact"/>
        <w:rPr>
          <w:sz w:val="20"/>
          <w:szCs w:val="20"/>
          <w:color w:val="auto"/>
        </w:rPr>
      </w:pPr>
    </w:p>
    <w:p>
      <w:pPr>
        <w:ind w:left="2"/>
        <w:spacing w:after="0" w:line="276" w:lineRule="auto"/>
        <w:rPr>
          <w:sz w:val="20"/>
          <w:szCs w:val="20"/>
          <w:color w:val="auto"/>
        </w:rPr>
      </w:pPr>
      <w:r>
        <w:rPr>
          <w:rFonts w:ascii="Arial" w:cs="Arial" w:eastAsia="Arial" w:hAnsi="Arial"/>
          <w:sz w:val="12"/>
          <w:szCs w:val="12"/>
          <w:color w:val="auto"/>
        </w:rPr>
        <w:t>In the event of any Liquidation Event, as defined in our amended and restated certificate of incorporation (which includes the liquidation, dissolution, merger, acquisition or winding up of the Company), the holders of the Series m-4 Preferred Stock are entitled to receive, prior and in preference to any distribution of any of the assets of the Company to the holders of the Series S Preferred Stock, Series A Preferred Stock, Series B Preferred Stock, Series m Preferred Stock, Series m-1 Preferred Stock, Series m-2 Preferred Stock, Series m-3 Preferred Stock or Common Stock by reason of their ownership of such stock, an amount per share for each share of Series m-4 Preferred Stock held by them equal to the greater of (A): the sum of (i) the Liquidation Preference specified for such share of Series m-4 Preferred Stock, and (ii) all accrued but unpaid PIK Dividends (if any) on such share of Series m-4 Preferred Stock, whether or not declared, or (B) the consideration that such Holder would receive in the Liquidation Event if all shares of Series m-4 Preferred Stock were converted to Class A Common Stock immediately prior to such Liquidation Event, or (C) such lesser amount as may be approved by the holders of the majority of the outstanding shares of Series m-4 Preferred Stock, where for purposes of (B) such Holder is deemed to hold, in addition to each of its shares of Series m-4 Preferred Stock, any additional shares of Series m-4 Preferred Stock that constitute all accrued but unpaid PIK Dividends, whether or not declared. If upon the Liquidation Event, the assets of the Company legally available for distribution to the holders of the Series m-4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m-4 Preferred Stock in proportion to the full amounts they would otherwise be entitled to receive. The Series m-4 Preferred Stock has a $7 per share liquidation preference, which is 2x its original issue price.</w:t>
      </w:r>
    </w:p>
    <w:p>
      <w:pPr>
        <w:spacing w:after="0" w:line="131" w:lineRule="exact"/>
        <w:rPr>
          <w:sz w:val="20"/>
          <w:szCs w:val="20"/>
          <w:color w:val="auto"/>
        </w:rPr>
      </w:pPr>
    </w:p>
    <w:p>
      <w:pPr>
        <w:ind w:left="2" w:right="80"/>
        <w:spacing w:after="0" w:line="254" w:lineRule="auto"/>
        <w:rPr>
          <w:sz w:val="20"/>
          <w:szCs w:val="20"/>
          <w:color w:val="auto"/>
        </w:rPr>
      </w:pPr>
      <w:r>
        <w:rPr>
          <w:rFonts w:ascii="Arial" w:cs="Arial" w:eastAsia="Arial" w:hAnsi="Arial"/>
          <w:sz w:val="13"/>
          <w:szCs w:val="13"/>
          <w:color w:val="auto"/>
        </w:rPr>
        <w:t>The holders of the Series S Preferred Stock are entitled to receive, prior and in preference to any distribution of any of the assets of the Company to the holders of the Series A Preferred Stock, Series B Preferred Stock, Series m Preferred Stock, Series m-1 Preferred Stock, Series m-2 Preferred Stock, Series m-3 Preferred Stock or Common Stock by reason of their ownership of such stock, an amount per share for each share of Series S Preferred Stock held by them equal to the greater of (A): the sum of (i) the Liquidation Preference specified for such share of Series S Preferred Stock, and (ii) all declared but unpaid dividends (if any) on such share of Series S Preferred Stock, or (B) the amount such Holder would receive if all shares of Series S Preferred Stock were converted to Common Stock immediately prior to such Liquidation Event, or (C) such lesser amount as may be approved by the holders of the majority of the outstanding shares of Series S Preferred Stock. If upon the Liquidation Event, the assets of the Company legally available for distribution to the holders of the Series S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S Preferred Stock in proportion to the full amounts they would otherwise be entitled to receive.</w:t>
      </w:r>
    </w:p>
    <w:p>
      <w:pPr>
        <w:spacing w:after="0" w:line="142" w:lineRule="exact"/>
        <w:rPr>
          <w:sz w:val="20"/>
          <w:szCs w:val="20"/>
          <w:color w:val="auto"/>
        </w:rPr>
      </w:pPr>
    </w:p>
    <w:p>
      <w:pPr>
        <w:ind w:left="2" w:right="20"/>
        <w:spacing w:after="0" w:line="304" w:lineRule="auto"/>
        <w:rPr>
          <w:sz w:val="20"/>
          <w:szCs w:val="20"/>
          <w:color w:val="auto"/>
        </w:rPr>
      </w:pPr>
      <w:r>
        <w:rPr>
          <w:rFonts w:ascii="Arial" w:cs="Arial" w:eastAsia="Arial" w:hAnsi="Arial"/>
          <w:sz w:val="11"/>
          <w:szCs w:val="11"/>
          <w:color w:val="auto"/>
        </w:rPr>
        <w:t>The holders of the Series B Preferred Stock, the Series m Preferred Stock, the Series m-1 Preferred Stock and the Series m-2 Preferred Stock shall be entitled to receive, prior and in preference to any distribution of any of the assets of the Company to the holders of the Series A Preferred Stock, Series m-3 Preferred Stock or Common Stock by reason of their ownership of such stock, an amount per share for each share of Series B Preferred Stock, the Series m Preferred Stock, the Series m-1 Preferred Stock and the Series m-2 Preferred Stock held by them equal to the greater of (A): the sum of (i) the Liquidation Preference specified for such share of Series B Preferred Stock, Series m Preferred Stock, Series m-1 Preferred Stock or Series m-2 Preferred Stock, as applicable, and (ii) all declared but unpaid dividends (if any) on such share of Series B Preferred Stock, Series m Preferred Stock, Series m-1 Preferred Stock or Series m-2 Preferred Stock, as applicable, or (B) the amount such Holder would receive if all shares of the applicable series of Preferred Stock were converted to Common Stock immediately prior to such Liquidation Event, or (C) such lesser amount as may be approved by the holders of the majority of the outstanding shares of Series B Preferred Stock, Series m Preferred Stock, Series m-1 Preferred Stock and Series m-2 Preferred Stock, voting together as a single class. If upon the Liquidation Event, the assets of the Company legally available for distribution to the holders of the Series B Preferred Stock, the Series m Preferred Stock, the Series m-1 Preferred Stock and the Series m-2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B Preferred Stock, the Series m Preferred Stock, the Series m-1 Preferred Stock and the Series m-2 Preferred Stock in proportion to the full amounts they would otherwise be entitled to receive.</w:t>
      </w:r>
    </w:p>
    <w:p>
      <w:pPr>
        <w:spacing w:after="0" w:line="118" w:lineRule="exact"/>
        <w:rPr>
          <w:sz w:val="20"/>
          <w:szCs w:val="20"/>
          <w:color w:val="auto"/>
        </w:rPr>
      </w:pPr>
    </w:p>
    <w:p>
      <w:pPr>
        <w:ind w:left="2" w:right="120"/>
        <w:spacing w:after="0" w:line="304" w:lineRule="auto"/>
        <w:rPr>
          <w:sz w:val="20"/>
          <w:szCs w:val="20"/>
          <w:color w:val="auto"/>
        </w:rPr>
      </w:pPr>
      <w:r>
        <w:rPr>
          <w:rFonts w:ascii="Arial" w:cs="Arial" w:eastAsia="Arial" w:hAnsi="Arial"/>
          <w:sz w:val="11"/>
          <w:szCs w:val="11"/>
          <w:color w:val="auto"/>
        </w:rPr>
        <w:t>The holders of Series m-3 Preferred Stock are entitled to receive, prior and in preference to any distribution of any of the assets of the Company to the holders of Common Stock by reason of their ownership of such stock, an amount per share for each share of Series m-3 Preferred Stock held by them equal to the greater of (A): the sum of (i) the Liquidation Preference specified for such share of Series m-3 Preferred Stock and</w:t>
      </w:r>
    </w:p>
    <w:p>
      <w:pPr>
        <w:ind w:left="2" w:right="40" w:hanging="2"/>
        <w:spacing w:after="0" w:line="253" w:lineRule="auto"/>
        <w:tabs>
          <w:tab w:leader="none" w:pos="194" w:val="left"/>
        </w:tabs>
        <w:numPr>
          <w:ilvl w:val="0"/>
          <w:numId w:val="31"/>
        </w:numPr>
        <w:rPr>
          <w:rFonts w:ascii="Arial" w:cs="Arial" w:eastAsia="Arial" w:hAnsi="Arial"/>
          <w:sz w:val="13"/>
          <w:szCs w:val="13"/>
          <w:color w:val="auto"/>
        </w:rPr>
      </w:pPr>
      <w:r>
        <w:rPr>
          <w:rFonts w:ascii="Arial" w:cs="Arial" w:eastAsia="Arial" w:hAnsi="Arial"/>
          <w:sz w:val="13"/>
          <w:szCs w:val="13"/>
          <w:color w:val="auto"/>
        </w:rPr>
        <w:t>all declared but unpaid dividends (if any) on such share of Series m-3 Preferred Stock, or (B) the amount such Holder would receive if all shares of Series m-3 Preferred Stock were converted to Common Stock immediately prior to such Liquidation Event, or (C) such lesser amount as may be approved by the holders of the majority of the outstanding shares of Series m-3 Preferred Stock. If upon a Liquidation Event, the assets of the Company legally available for distribution to the holders of the Series m-3 Preferred Stock are insufficient to permit the payment to such holders of the full amounts specified in our amended and restated certificate of incorporation, then the entire assets of the Corporation legally available for distribution shall be distributed with equal priority and pro rata among the holders of the Series m-3 Preferred Stock in proportion to the full amounts they would otherwise be entitled to receive.</w:t>
      </w:r>
    </w:p>
    <w:p>
      <w:pPr>
        <w:spacing w:after="0" w:line="299" w:lineRule="exact"/>
        <w:rPr>
          <w:sz w:val="20"/>
          <w:szCs w:val="20"/>
          <w:color w:val="auto"/>
        </w:rPr>
      </w:pPr>
    </w:p>
    <w:p>
      <w:pPr>
        <w:jc w:val="center"/>
        <w:ind w:right="-61"/>
        <w:spacing w:after="0"/>
        <w:rPr>
          <w:sz w:val="20"/>
          <w:szCs w:val="20"/>
          <w:color w:val="auto"/>
        </w:rPr>
      </w:pPr>
      <w:r>
        <w:rPr>
          <w:rFonts w:ascii="Arial" w:cs="Arial" w:eastAsia="Arial" w:hAnsi="Arial"/>
          <w:sz w:val="13"/>
          <w:szCs w:val="13"/>
          <w:color w:val="auto"/>
        </w:rPr>
        <w:t>47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10160</wp:posOffset>
            </wp:positionV>
            <wp:extent cx="7170420" cy="635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2"/>
          </w:cols>
          <w:pgMar w:left="298" w:top="698" w:right="319" w:bottom="1440" w:gutter="0" w:footer="0" w:header="0"/>
        </w:sectPr>
      </w:pPr>
    </w:p>
    <w:bookmarkStart w:id="51" w:name="page52"/>
    <w:bookmarkEnd w:id="51"/>
    <w:p>
      <w:pPr>
        <w:jc w:val="both"/>
        <w:ind w:right="20"/>
        <w:spacing w:after="0" w:line="258" w:lineRule="auto"/>
        <w:rPr>
          <w:sz w:val="20"/>
          <w:szCs w:val="20"/>
          <w:color w:val="auto"/>
        </w:rPr>
      </w:pPr>
      <w:r>
        <w:rPr>
          <w:rFonts w:ascii="Arial" w:cs="Arial" w:eastAsia="Arial" w:hAnsi="Arial"/>
          <w:sz w:val="13"/>
          <w:szCs w:val="13"/>
          <w:color w:val="auto"/>
        </w:rPr>
        <w:t>After payment of all liquidation preferences to the holders of the Preferred Stock, as outlined below, all remaining assets of the Company legally available for distribution shall be distributed pro rata to the holders of the common stock, without any participation in such liquidation by the Preferred Stock. Our amended and restated certificate of incorporation explicitly requires that before any shares of Preferred Stock are converted into common stock, the relevant holder’s right to liquidation preference be surrendered, in order to prevent treatment of shares as both Preferred Stock and common stock for the purpose of distributions of assets upon a Liquidation Event.</w:t>
      </w:r>
    </w:p>
    <w:p>
      <w:pPr>
        <w:spacing w:after="0" w:line="13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Super Voting Preferred Stock</w:t>
      </w:r>
    </w:p>
    <w:p>
      <w:pPr>
        <w:spacing w:after="0" w:line="167" w:lineRule="exact"/>
        <w:rPr>
          <w:sz w:val="20"/>
          <w:szCs w:val="20"/>
          <w:color w:val="auto"/>
        </w:rPr>
      </w:pPr>
    </w:p>
    <w:p>
      <w:pPr>
        <w:ind w:right="320"/>
        <w:spacing w:after="0" w:line="274" w:lineRule="auto"/>
        <w:rPr>
          <w:sz w:val="20"/>
          <w:szCs w:val="20"/>
          <w:color w:val="auto"/>
        </w:rPr>
      </w:pPr>
      <w:r>
        <w:rPr>
          <w:rFonts w:ascii="Arial" w:cs="Arial" w:eastAsia="Arial" w:hAnsi="Arial"/>
          <w:sz w:val="13"/>
          <w:szCs w:val="13"/>
          <w:color w:val="auto"/>
        </w:rPr>
        <w:t>The Company has authorized the issuance of three other series of Preferred Stock. The series are designated Series A Preferred Stock, Series B Preferred Stock and Series m-2 Preferred Stock (the “Super Voting Preferred Stock”). Each series of Super Voting Preferred Stock contains substantially similar rights, preferences, and privileges, except as described below.</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Dividend Rights</w:t>
      </w:r>
    </w:p>
    <w:p>
      <w:pPr>
        <w:spacing w:after="0" w:line="163" w:lineRule="exact"/>
        <w:rPr>
          <w:sz w:val="20"/>
          <w:szCs w:val="20"/>
          <w:color w:val="auto"/>
        </w:rPr>
      </w:pPr>
    </w:p>
    <w:p>
      <w:pPr>
        <w:ind w:right="100"/>
        <w:spacing w:after="0" w:line="258" w:lineRule="auto"/>
        <w:rPr>
          <w:sz w:val="20"/>
          <w:szCs w:val="20"/>
          <w:color w:val="auto"/>
        </w:rPr>
      </w:pPr>
      <w:r>
        <w:rPr>
          <w:rFonts w:ascii="Arial" w:cs="Arial" w:eastAsia="Arial" w:hAnsi="Arial"/>
          <w:sz w:val="13"/>
          <w:szCs w:val="13"/>
          <w:color w:val="auto"/>
        </w:rPr>
        <w:t>In any calendar year, the holders of outstanding shares of Preferred Stock are entitled to receive dividends, when, as and if declared by the board of directors, out of any assets at the time legally available therefor, at the dividend rate specified for such shares of Preferred Stock payable in preference and priority to any declaration or payment of any distribution on Common Stock of the Company in such calendar year. Except dividends to Series m-4 Preferred Stock specified above, the right to receive dividends on shares of Preferred Stock is not cumulative, and no right to dividends shall accrue to holders of Preferred Stock by reason of the fact that dividends on said shares are not declared or paid.</w:t>
      </w:r>
    </w:p>
    <w:p>
      <w:pPr>
        <w:spacing w:after="0" w:line="139" w:lineRule="exact"/>
        <w:rPr>
          <w:sz w:val="20"/>
          <w:szCs w:val="20"/>
          <w:color w:val="auto"/>
        </w:rPr>
      </w:pPr>
    </w:p>
    <w:p>
      <w:pPr>
        <w:ind w:right="60"/>
        <w:spacing w:after="0" w:line="294" w:lineRule="auto"/>
        <w:rPr>
          <w:sz w:val="20"/>
          <w:szCs w:val="20"/>
          <w:color w:val="auto"/>
        </w:rPr>
      </w:pPr>
      <w:r>
        <w:rPr>
          <w:rFonts w:ascii="Arial" w:cs="Arial" w:eastAsia="Arial" w:hAnsi="Arial"/>
          <w:sz w:val="12"/>
          <w:szCs w:val="12"/>
          <w:color w:val="auto"/>
        </w:rPr>
        <w:t>No distributions shall be made with respect to the Series S Preferred Stock, the Series B Preferred Stock, the Series m Preferred Stock, the Series m-1 Preferred Stock, the Series m-2 Preferred Stock, Series A Preferred Stock or Series m-3 Preferred Stock unless dividends on the Series m-4 Preferred Stock have been declared in accordance with the preferences stated in the amended and restated certificate of incorporation and all declared or accrued dividends on the Series m-4 Preferred Stock have been paid or set aside for payment to the Series m-4 Preferred Stock holders.</w:t>
      </w:r>
    </w:p>
    <w:p>
      <w:pPr>
        <w:spacing w:after="0" w:line="119" w:lineRule="exact"/>
        <w:rPr>
          <w:sz w:val="20"/>
          <w:szCs w:val="20"/>
          <w:color w:val="auto"/>
        </w:rPr>
      </w:pPr>
    </w:p>
    <w:p>
      <w:pPr>
        <w:ind w:right="40"/>
        <w:spacing w:after="0" w:line="262" w:lineRule="auto"/>
        <w:rPr>
          <w:sz w:val="20"/>
          <w:szCs w:val="20"/>
          <w:color w:val="auto"/>
        </w:rPr>
      </w:pPr>
      <w:r>
        <w:rPr>
          <w:rFonts w:ascii="Arial" w:cs="Arial" w:eastAsia="Arial" w:hAnsi="Arial"/>
          <w:sz w:val="13"/>
          <w:szCs w:val="13"/>
          <w:color w:val="auto"/>
        </w:rPr>
        <w:t>No distributions shall be made with respect to the Series B Preferred Stock, the Series m Preferred Stock, the Series m-1 Preferred Stock, the Series m-2 Preferred Stock, Series A Preferred Stock or Series m-3 Preferred Stock unless dividends on the Series S Preferred Stock have been declared in accordance with the preferences stated in the amended and restated certificate of incorporation and all declared dividends on the Series S Preferred Stock have been paid or set aside for payment to the Series S Preferred Stock holders.</w:t>
      </w:r>
    </w:p>
    <w:p>
      <w:pPr>
        <w:spacing w:after="0" w:line="136" w:lineRule="exact"/>
        <w:rPr>
          <w:sz w:val="20"/>
          <w:szCs w:val="20"/>
          <w:color w:val="auto"/>
        </w:rPr>
      </w:pPr>
    </w:p>
    <w:p>
      <w:pPr>
        <w:spacing w:after="0" w:line="258" w:lineRule="auto"/>
        <w:rPr>
          <w:sz w:val="20"/>
          <w:szCs w:val="20"/>
          <w:color w:val="auto"/>
        </w:rPr>
      </w:pPr>
      <w:r>
        <w:rPr>
          <w:rFonts w:ascii="Arial" w:cs="Arial" w:eastAsia="Arial" w:hAnsi="Arial"/>
          <w:sz w:val="13"/>
          <w:szCs w:val="13"/>
          <w:color w:val="auto"/>
        </w:rPr>
        <w:t>No distributions shall be made with respect to the Series A Preferred Stock or Series m-3 Preferred Stock unless dividends on the Series B Preferred Stock, the Series m Preferred Stock, the Series m-1 Preferred Stock and the Series m-2 Preferred Stock have been declared in accordance with the preferences stated in the amended and restated certificate of incorporation and all declared dividends on the Series B Preferred Stock, the Series m Preferred Stock, the Series m-1 Preferred Stock and the Series m-2 Preferred Stock have been paid or set aside for payment to the Series B Preferred Stock holders, the Series m Preferred Stock holders, the Series m-1 Preferred Stock holders and the Series m-2 Preferred Stock holders, as applicable.</w:t>
      </w:r>
    </w:p>
    <w:p>
      <w:pPr>
        <w:spacing w:after="0" w:line="139" w:lineRule="exact"/>
        <w:rPr>
          <w:sz w:val="20"/>
          <w:szCs w:val="20"/>
          <w:color w:val="auto"/>
        </w:rPr>
      </w:pPr>
    </w:p>
    <w:p>
      <w:pPr>
        <w:ind w:right="400"/>
        <w:spacing w:after="0" w:line="317" w:lineRule="auto"/>
        <w:rPr>
          <w:sz w:val="20"/>
          <w:szCs w:val="20"/>
          <w:color w:val="auto"/>
        </w:rPr>
      </w:pPr>
      <w:r>
        <w:rPr>
          <w:rFonts w:ascii="Arial" w:cs="Arial" w:eastAsia="Arial" w:hAnsi="Arial"/>
          <w:sz w:val="12"/>
          <w:szCs w:val="12"/>
          <w:color w:val="auto"/>
        </w:rPr>
        <w:t>No Distributions shall be made with respect to the Series m-3 Preferred Stock unless dividends on the Series A Preferred Stock have been declared in accordance with the preferences stated in the amended and restated certificate of incorporation and all declared dividends on the Series A Preferred Stock have been paid or set aside for payment to the Series A Preferred Stockholders.</w:t>
      </w:r>
    </w:p>
    <w:p>
      <w:pPr>
        <w:spacing w:after="0" w:line="105" w:lineRule="exact"/>
        <w:rPr>
          <w:sz w:val="20"/>
          <w:szCs w:val="20"/>
          <w:color w:val="auto"/>
        </w:rPr>
      </w:pPr>
    </w:p>
    <w:p>
      <w:pPr>
        <w:ind w:right="440"/>
        <w:spacing w:after="0" w:line="317" w:lineRule="auto"/>
        <w:rPr>
          <w:sz w:val="20"/>
          <w:szCs w:val="20"/>
          <w:color w:val="auto"/>
        </w:rPr>
      </w:pPr>
      <w:r>
        <w:rPr>
          <w:rFonts w:ascii="Arial" w:cs="Arial" w:eastAsia="Arial" w:hAnsi="Arial"/>
          <w:sz w:val="12"/>
          <w:szCs w:val="12"/>
          <w:color w:val="auto"/>
        </w:rPr>
        <w:t>No Distributions shall be made with respect to the Common Stock unless dividends on the Series m-3 Preferred Stock have been declared in accordance with the preferences stated in the amended and restated certificate of incorporation and all declared dividends on the Series m-3 Preferred Stock have been paid or set aside for payment to the Series m-3 Preferred Stockholders.</w:t>
      </w:r>
    </w:p>
    <w:p>
      <w:pPr>
        <w:spacing w:after="0" w:line="105" w:lineRule="exact"/>
        <w:rPr>
          <w:sz w:val="20"/>
          <w:szCs w:val="20"/>
          <w:color w:val="auto"/>
        </w:rPr>
      </w:pPr>
    </w:p>
    <w:p>
      <w:pPr>
        <w:spacing w:after="0"/>
        <w:rPr>
          <w:sz w:val="20"/>
          <w:szCs w:val="20"/>
          <w:color w:val="auto"/>
        </w:rPr>
      </w:pPr>
      <w:r>
        <w:rPr>
          <w:rFonts w:ascii="Arial" w:cs="Arial" w:eastAsia="Arial" w:hAnsi="Arial"/>
          <w:sz w:val="13"/>
          <w:szCs w:val="13"/>
          <w:color w:val="auto"/>
        </w:rPr>
        <w:t>The Company has never declared or paid cash dividends on any of its capital stock and currently does not anticipate paying any cash dividends after this offering or in the foreseeable future.</w:t>
      </w:r>
    </w:p>
    <w:p>
      <w:pPr>
        <w:spacing w:after="0" w:line="320" w:lineRule="exact"/>
        <w:rPr>
          <w:sz w:val="20"/>
          <w:szCs w:val="20"/>
          <w:color w:val="auto"/>
        </w:rPr>
      </w:pPr>
    </w:p>
    <w:p>
      <w:pPr>
        <w:jc w:val="center"/>
        <w:ind w:right="-59"/>
        <w:spacing w:after="0"/>
        <w:rPr>
          <w:sz w:val="20"/>
          <w:szCs w:val="20"/>
          <w:color w:val="auto"/>
        </w:rPr>
      </w:pPr>
      <w:r>
        <w:rPr>
          <w:rFonts w:ascii="Arial" w:cs="Arial" w:eastAsia="Arial" w:hAnsi="Arial"/>
          <w:sz w:val="13"/>
          <w:szCs w:val="13"/>
          <w:color w:val="auto"/>
        </w:rPr>
        <w:t>48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52" w:name="page53"/>
    <w:bookmarkEnd w:id="52"/>
    <w:p>
      <w:pPr>
        <w:spacing w:after="0"/>
        <w:rPr>
          <w:sz w:val="20"/>
          <w:szCs w:val="20"/>
          <w:color w:val="auto"/>
        </w:rPr>
      </w:pPr>
      <w:r>
        <w:rPr>
          <w:rFonts w:ascii="Arial" w:cs="Arial" w:eastAsia="Arial" w:hAnsi="Arial"/>
          <w:sz w:val="13"/>
          <w:szCs w:val="13"/>
          <w:b w:val="1"/>
          <w:bCs w:val="1"/>
          <w:i w:val="1"/>
          <w:iCs w:val="1"/>
          <w:color w:val="auto"/>
        </w:rPr>
        <w:t>Conversion Rights</w:t>
      </w:r>
    </w:p>
    <w:p>
      <w:pPr>
        <w:spacing w:after="0" w:line="163" w:lineRule="exact"/>
        <w:rPr>
          <w:sz w:val="20"/>
          <w:szCs w:val="20"/>
          <w:color w:val="auto"/>
        </w:rPr>
      </w:pPr>
    </w:p>
    <w:p>
      <w:pPr>
        <w:spacing w:after="0" w:line="279" w:lineRule="auto"/>
        <w:rPr>
          <w:sz w:val="20"/>
          <w:szCs w:val="20"/>
          <w:color w:val="auto"/>
        </w:rPr>
      </w:pPr>
      <w:r>
        <w:rPr>
          <w:rFonts w:ascii="Arial" w:cs="Arial" w:eastAsia="Arial" w:hAnsi="Arial"/>
          <w:sz w:val="12"/>
          <w:szCs w:val="12"/>
          <w:color w:val="auto"/>
        </w:rPr>
        <w:t>Shares of Preferred Stock are convertible, at the option of the holder, at any time, into fully-paid nonassessable shares of the Company’s Class A Common Stock or Class B Common Stock at the then-applicable conversion rate. Any shares of Super Voting Preferred Stock shall be convertible to shares of the Company’s Class B Common Stock. Any share of Preferred Stock convertible to shares of Class B Common Stock that has been transferred for any reason other than for tax planning purposes and certain other limited exceptions, as outlined in the Company’s amended and restated certificate of incorporation, shall become convertible into shares of Class A Common Stock. The conversion rate is subject to anti-dilution protective provisions that will be applied to adjust the number of shares of Class A Common Stock or Class B Common Stock, as applicable, issuable upon conversion of the shares of the respective series of Preferred Stock. At the date of this Offering Circular, the conversion rate for both the Series A Preferred Stock and the Series B Preferred Stock is one share of Class A Common Stock or Class B Common Stock, as applicable, per one share of Preferred Stock. The initial conversion rate for the conversion of the Series m-2 Preferred Stock initially was 1:1. As of June 30, 2021, the conversion rate for the Series m-2 Preferred Stock was 1:1.0073 and as of November 18, 2021, the conversion rate was 1:1.0187.</w:t>
      </w:r>
    </w:p>
    <w:p>
      <w:pPr>
        <w:spacing w:after="0" w:line="128" w:lineRule="exact"/>
        <w:rPr>
          <w:sz w:val="20"/>
          <w:szCs w:val="20"/>
          <w:color w:val="auto"/>
        </w:rPr>
      </w:pPr>
    </w:p>
    <w:p>
      <w:pPr>
        <w:ind w:right="120"/>
        <w:spacing w:after="0" w:line="256" w:lineRule="auto"/>
        <w:rPr>
          <w:sz w:val="20"/>
          <w:szCs w:val="20"/>
          <w:color w:val="auto"/>
        </w:rPr>
      </w:pPr>
      <w:r>
        <w:rPr>
          <w:rFonts w:ascii="Arial" w:cs="Arial" w:eastAsia="Arial" w:hAnsi="Arial"/>
          <w:sz w:val="13"/>
          <w:szCs w:val="13"/>
          <w:color w:val="auto"/>
        </w:rPr>
        <w:t>Additionally, each share of Preferred Stock will automatically convert into Class A Common Stock or Class B Common Stock, as applicable, (i) immediately prior to the closing of a firm commitment underwritten public offering, registered under the Securities Act, (ii) with respect to Preferred Stock other than the Series m-4 Preferred Stock, upon the receipt by the Company of a written request for such conversion from the holders of a majority of the Preferred Stock other than the Series m-4 Preferred Stock then outstanding (voting as a single class and on an as-converted basis), or (iii) with respect to the Series m-4 Preferred Stock, upon the receipt by the Company of a written request for such conversion from the holders of a majority of the Series m-4 Preferred Stock then outstanding. The stock will convert in the same manner as a voluntary conversion.</w:t>
      </w:r>
    </w:p>
    <w:p>
      <w:pPr>
        <w:spacing w:after="0" w:line="141"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Voting Rights</w:t>
      </w:r>
    </w:p>
    <w:p>
      <w:pPr>
        <w:spacing w:after="0" w:line="163" w:lineRule="exact"/>
        <w:rPr>
          <w:sz w:val="20"/>
          <w:szCs w:val="20"/>
          <w:color w:val="auto"/>
        </w:rPr>
      </w:pPr>
    </w:p>
    <w:p>
      <w:pPr>
        <w:spacing w:after="0"/>
        <w:rPr>
          <w:sz w:val="20"/>
          <w:szCs w:val="20"/>
          <w:color w:val="auto"/>
        </w:rPr>
      </w:pPr>
      <w:r>
        <w:rPr>
          <w:rFonts w:ascii="Arial" w:cs="Arial" w:eastAsia="Arial" w:hAnsi="Arial"/>
          <w:sz w:val="11"/>
          <w:szCs w:val="11"/>
          <w:color w:val="auto"/>
        </w:rPr>
        <w:t>Each holder of Preferred Stock is entitled to that number of votes equal to the number of votes of shares of Class A Common Stock or Class B Common Stock, as applicable, into which such shares are convertible.</w:t>
      </w:r>
    </w:p>
    <w:p>
      <w:pPr>
        <w:spacing w:after="0" w:line="38" w:lineRule="exact"/>
        <w:rPr>
          <w:sz w:val="20"/>
          <w:szCs w:val="20"/>
          <w:color w:val="auto"/>
        </w:rPr>
      </w:pPr>
    </w:p>
    <w:p>
      <w:pPr>
        <w:spacing w:after="0"/>
        <w:rPr>
          <w:sz w:val="20"/>
          <w:szCs w:val="20"/>
          <w:color w:val="auto"/>
        </w:rPr>
      </w:pPr>
      <w:r>
        <w:rPr>
          <w:rFonts w:ascii="Arial" w:cs="Arial" w:eastAsia="Arial" w:hAnsi="Arial"/>
          <w:sz w:val="12"/>
          <w:szCs w:val="12"/>
          <w:color w:val="auto"/>
        </w:rPr>
        <w:t>This means that holders of Super Voting Preferred Stock shall be entitled to ten votes for each share held. Fractional votes are not permitted and if the conversion results in a fractional share, it will be disregarded.</w:t>
      </w:r>
    </w:p>
    <w:p>
      <w:pPr>
        <w:spacing w:after="0" w:line="18" w:lineRule="exact"/>
        <w:rPr>
          <w:sz w:val="20"/>
          <w:szCs w:val="20"/>
          <w:color w:val="auto"/>
        </w:rPr>
      </w:pPr>
    </w:p>
    <w:p>
      <w:pPr>
        <w:spacing w:after="0"/>
        <w:rPr>
          <w:sz w:val="20"/>
          <w:szCs w:val="20"/>
          <w:color w:val="auto"/>
        </w:rPr>
      </w:pPr>
      <w:r>
        <w:rPr>
          <w:rFonts w:ascii="Arial" w:cs="Arial" w:eastAsia="Arial" w:hAnsi="Arial"/>
          <w:sz w:val="13"/>
          <w:szCs w:val="13"/>
          <w:color w:val="auto"/>
        </w:rPr>
        <w:t>Holders of Preferred Stock are entitled to vote on all matters submitted to a vote of the stockholders, including the election of directors, as a single class with the holders of common stock.</w:t>
      </w:r>
    </w:p>
    <w:p>
      <w:pPr>
        <w:spacing w:after="0" w:line="156" w:lineRule="exact"/>
        <w:rPr>
          <w:sz w:val="20"/>
          <w:szCs w:val="20"/>
          <w:color w:val="auto"/>
        </w:rPr>
      </w:pPr>
    </w:p>
    <w:p>
      <w:pPr>
        <w:spacing w:after="0"/>
        <w:rPr>
          <w:sz w:val="20"/>
          <w:szCs w:val="20"/>
          <w:color w:val="auto"/>
        </w:rPr>
      </w:pPr>
      <w:r>
        <w:rPr>
          <w:rFonts w:ascii="Arial" w:cs="Arial" w:eastAsia="Arial" w:hAnsi="Arial"/>
          <w:sz w:val="13"/>
          <w:szCs w:val="13"/>
          <w:color w:val="auto"/>
        </w:rPr>
        <w:t>William Santana Li, the Chief Executive Officer and sole director of the Company, holds the Voting Proxy.</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Preemptive Rights</w:t>
      </w:r>
    </w:p>
    <w:p>
      <w:pPr>
        <w:spacing w:after="0" w:line="163" w:lineRule="exact"/>
        <w:rPr>
          <w:sz w:val="20"/>
          <w:szCs w:val="20"/>
          <w:color w:val="auto"/>
        </w:rPr>
      </w:pPr>
    </w:p>
    <w:p>
      <w:pPr>
        <w:ind w:right="80"/>
        <w:spacing w:after="0" w:line="274" w:lineRule="auto"/>
        <w:rPr>
          <w:sz w:val="20"/>
          <w:szCs w:val="20"/>
          <w:color w:val="auto"/>
        </w:rPr>
      </w:pPr>
      <w:r>
        <w:rPr>
          <w:rFonts w:ascii="Arial" w:cs="Arial" w:eastAsia="Arial" w:hAnsi="Arial"/>
          <w:sz w:val="13"/>
          <w:szCs w:val="13"/>
          <w:color w:val="auto"/>
        </w:rPr>
        <w:t>The Company has granted one investor in its Series m-2 Preferred Stock financing the right to invest up to their pro rata share on a fully-diluted basis in the offerings of securities of the Company. The combined pro-rata rights of such stockholder at the date of this Offering Circular constitute less than 1% of the fully-diluted capitalization of the Company.</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Right to Receive Liquidation Distributions</w:t>
      </w:r>
    </w:p>
    <w:p>
      <w:pPr>
        <w:spacing w:after="0" w:line="163" w:lineRule="exact"/>
        <w:rPr>
          <w:sz w:val="20"/>
          <w:szCs w:val="20"/>
          <w:color w:val="auto"/>
        </w:rPr>
      </w:pPr>
    </w:p>
    <w:p>
      <w:pPr>
        <w:spacing w:after="0" w:line="276" w:lineRule="auto"/>
        <w:rPr>
          <w:sz w:val="20"/>
          <w:szCs w:val="20"/>
          <w:color w:val="auto"/>
        </w:rPr>
      </w:pPr>
      <w:r>
        <w:rPr>
          <w:rFonts w:ascii="Arial" w:cs="Arial" w:eastAsia="Arial" w:hAnsi="Arial"/>
          <w:sz w:val="12"/>
          <w:szCs w:val="12"/>
          <w:color w:val="auto"/>
        </w:rPr>
        <w:t>In the event of a Liquidation Event, the holders of the Series B Preferred Stock, the Series m Preferred Stock, the Series m-1 Preferred Stock and the Series m-2 Preferred Stock shall be entitled to receive, prior and in preference to any distribution of any of the assets of the Company to the holders of the Series A Preferred Stock, Series m-3 Preferred Stock or Common Stock by reason of their ownership of such stock, an amount per share for each share of Series B Preferred Stock, the Series m Preferred Stock, the Series m-1 Preferred Stock and the Series m-2 Preferred Stock held by them equal to the greater of: (A) the sum of (i) the Liquidation Preference specified for such share of Series B Preferred Stock, Series m Preferred Stock, Series m-1 Preferred Stock or Series m-2 Preferred Stock, as applicable, and (ii) all declared but unpaid dividends (if any) on such share of Series B Preferred Stock, Series m Preferred Stock, Series m-1 Preferred Stock or Series m-2 Preferred Stock, as applicable, or (B) the amount such Holder would receive if all shares of the applicable series of Preferred Stock were converted to Common Stock immediately prior to such Liquidation Event, or (C) such lesser amount as may be approved by the holders of the majority of the outstanding shares of Series B Preferred Stock, Series m Preferred Stock, Series m-1 Preferred Stock and Series m-2 Preferred Stock, voting together as a single class. If upon the Liquidation Event, the assets of the Company legally available for distribution to the holders of the Series B Preferred Stock, the Series m Preferred Stock, the Series m-1 Preferred Stock and the Series m-2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B Preferred Stock, the Series m Preferred Stock, the Series m-1 Preferred Stock and the Series m-2 Preferred Stock in proportion to the full amounts they would otherwise be entitled to receive.</w:t>
      </w:r>
    </w:p>
    <w:p>
      <w:pPr>
        <w:spacing w:after="0" w:line="288"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49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53" w:name="page54"/>
    <w:bookmarkEnd w:id="53"/>
    <w:p>
      <w:pPr>
        <w:ind w:right="20"/>
        <w:spacing w:after="0" w:line="279" w:lineRule="auto"/>
        <w:rPr>
          <w:sz w:val="20"/>
          <w:szCs w:val="20"/>
          <w:color w:val="auto"/>
        </w:rPr>
      </w:pPr>
      <w:r>
        <w:rPr>
          <w:rFonts w:ascii="Arial" w:cs="Arial" w:eastAsia="Arial" w:hAnsi="Arial"/>
          <w:sz w:val="12"/>
          <w:szCs w:val="12"/>
          <w:color w:val="auto"/>
        </w:rPr>
        <w:t>The holders of Series A Preferred Stock are entitled to receive, prior and in preference to any distribution of any of the assets of the Company to the holders of Common Stock or Series m-3 Preferred Stock by reason of their ownership of such stock, an amount per share for each share of Series A Preferred Stock held by them equal to the greater of: (A) the sum of (i) the Liquidation Preference specified for such share of Series A Preferred Stock and (ii) all declared but unpaid dividends (if any) on such share of Series A Preferred Stock, or (B) the amount such Holder would receive if all shares of Series A Preferred Stock were converted to Common Stock immediately prior to such Liquidation Event, or (C) such lesser amount as may be approved by the holders of the majority of the outstanding shares of Series A Preferred Stock. If upon a Liquidation Event, the assets of the Company legally available for distribution to the holders of the Series A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A Preferred Stock in proportion to the full amounts they would otherwise be entitled to receive.</w:t>
      </w:r>
    </w:p>
    <w:p>
      <w:pPr>
        <w:spacing w:after="0" w:line="128" w:lineRule="exact"/>
        <w:rPr>
          <w:sz w:val="20"/>
          <w:szCs w:val="20"/>
          <w:color w:val="auto"/>
        </w:rPr>
      </w:pPr>
    </w:p>
    <w:p>
      <w:pPr>
        <w:ind w:right="60"/>
        <w:spacing w:after="0" w:line="274" w:lineRule="auto"/>
        <w:rPr>
          <w:sz w:val="20"/>
          <w:szCs w:val="20"/>
          <w:color w:val="auto"/>
        </w:rPr>
      </w:pPr>
      <w:r>
        <w:rPr>
          <w:rFonts w:ascii="Arial" w:cs="Arial" w:eastAsia="Arial" w:hAnsi="Arial"/>
          <w:sz w:val="13"/>
          <w:szCs w:val="13"/>
          <w:color w:val="auto"/>
        </w:rPr>
        <w:t>After payment of all liquidation preferences to the holders of Preferred Stock, as outlined above, all remaining assets of the Company legally available for distribution shall be distributed pro rata to the holders of the common stock, without any participation in such liquidation by the Preferred Stock.</w:t>
      </w:r>
    </w:p>
    <w:p>
      <w:pPr>
        <w:spacing w:after="0" w:line="128"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Our amended and restated certificate of incorporation explicitly requires that before any shares of Preferred Stock are converted into common stock, the relevant holder’s right to liquidation preference be surrendered, in order to prevent treatment of shares as both preferred stock and common stock for the purpose of distributions of assets upon a Liquidation Event.</w:t>
      </w:r>
    </w:p>
    <w:p>
      <w:pPr>
        <w:spacing w:after="0" w:line="128" w:lineRule="exact"/>
        <w:rPr>
          <w:sz w:val="20"/>
          <w:szCs w:val="20"/>
          <w:color w:val="auto"/>
        </w:rPr>
      </w:pPr>
    </w:p>
    <w:p>
      <w:pPr>
        <w:jc w:val="center"/>
        <w:ind w:right="-79"/>
        <w:spacing w:after="0"/>
        <w:rPr>
          <w:sz w:val="20"/>
          <w:szCs w:val="20"/>
          <w:color w:val="auto"/>
        </w:rPr>
      </w:pPr>
      <w:r>
        <w:rPr>
          <w:rFonts w:ascii="Arial" w:cs="Arial" w:eastAsia="Arial" w:hAnsi="Arial"/>
          <w:sz w:val="13"/>
          <w:szCs w:val="13"/>
          <w:color w:val="auto"/>
        </w:rPr>
        <w:t>50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60"/>
          </w:cols>
          <w:pgMar w:left="300" w:top="698" w:right="339" w:bottom="1440" w:gutter="0" w:footer="0" w:header="0"/>
        </w:sectPr>
      </w:pPr>
    </w:p>
    <w:bookmarkStart w:id="54" w:name="page55"/>
    <w:bookmarkEnd w:id="54"/>
    <w:p>
      <w:pPr>
        <w:spacing w:after="0"/>
        <w:rPr>
          <w:sz w:val="20"/>
          <w:szCs w:val="20"/>
          <w:color w:val="auto"/>
        </w:rPr>
      </w:pPr>
      <w:r>
        <w:rPr>
          <w:rFonts w:ascii="Arial" w:cs="Arial" w:eastAsia="Arial" w:hAnsi="Arial"/>
          <w:sz w:val="13"/>
          <w:szCs w:val="13"/>
          <w:b w:val="1"/>
          <w:bCs w:val="1"/>
          <w:color w:val="auto"/>
        </w:rPr>
        <w:t>SHARES ELIGIBLE FOR FUTURE SALE</w:t>
      </w:r>
    </w:p>
    <w:p>
      <w:pPr>
        <w:spacing w:after="0" w:line="167" w:lineRule="exact"/>
        <w:rPr>
          <w:sz w:val="20"/>
          <w:szCs w:val="20"/>
          <w:color w:val="auto"/>
        </w:rPr>
      </w:pPr>
    </w:p>
    <w:p>
      <w:pPr>
        <w:ind w:right="80"/>
        <w:spacing w:after="0" w:line="262" w:lineRule="auto"/>
        <w:rPr>
          <w:sz w:val="20"/>
          <w:szCs w:val="20"/>
          <w:color w:val="auto"/>
        </w:rPr>
      </w:pPr>
      <w:r>
        <w:rPr>
          <w:rFonts w:ascii="Arial" w:cs="Arial" w:eastAsia="Arial" w:hAnsi="Arial"/>
          <w:sz w:val="13"/>
          <w:szCs w:val="13"/>
          <w:color w:val="auto"/>
        </w:rPr>
        <w:t>Before this offering, there has not been a public market for shares of our Class A Common Stock. Future sales of substantial amounts of shares of our Class A Common Stock, including shares issued upon the exercise of outstanding options and warrants and conversion of shares of Preferred Stock, in the public market after this offering, or the possibility of these sales occurring, could cause the prevailing market price for our Class A Common Stock to fall or impair our ability to raise equity capital in the future.</w:t>
      </w:r>
    </w:p>
    <w:p>
      <w:pPr>
        <w:spacing w:after="0" w:line="136" w:lineRule="exact"/>
        <w:rPr>
          <w:sz w:val="20"/>
          <w:szCs w:val="20"/>
          <w:color w:val="auto"/>
        </w:rPr>
      </w:pPr>
    </w:p>
    <w:p>
      <w:pPr>
        <w:ind w:right="20"/>
        <w:spacing w:after="0" w:line="274" w:lineRule="auto"/>
        <w:rPr>
          <w:sz w:val="20"/>
          <w:szCs w:val="20"/>
          <w:color w:val="auto"/>
        </w:rPr>
      </w:pPr>
      <w:r>
        <w:rPr>
          <w:rFonts w:ascii="Arial" w:cs="Arial" w:eastAsia="Arial" w:hAnsi="Arial"/>
          <w:sz w:val="13"/>
          <w:szCs w:val="13"/>
          <w:color w:val="auto"/>
        </w:rPr>
        <w:t>After this offering, we will have outstanding 4,000,000 shares of our Class A Common Stock, assuming that 4,000,000 shares are sold in the offering and no exercise of outstanding options or warrants nor conversion of shares of Preferred Stock. The shares that we are selling in this offering may be resold in the public market immediately following their issuance.</w:t>
      </w:r>
    </w:p>
    <w:p>
      <w:pPr>
        <w:spacing w:after="0" w:line="128" w:lineRule="exact"/>
        <w:rPr>
          <w:sz w:val="20"/>
          <w:szCs w:val="20"/>
          <w:color w:val="auto"/>
        </w:rPr>
      </w:pPr>
    </w:p>
    <w:p>
      <w:pPr>
        <w:ind w:right="60"/>
        <w:spacing w:after="0" w:line="283" w:lineRule="auto"/>
        <w:rPr>
          <w:sz w:val="20"/>
          <w:szCs w:val="20"/>
          <w:color w:val="auto"/>
        </w:rPr>
      </w:pPr>
      <w:r>
        <w:rPr>
          <w:rFonts w:ascii="Arial" w:cs="Arial" w:eastAsia="Arial" w:hAnsi="Arial"/>
          <w:sz w:val="12"/>
          <w:szCs w:val="12"/>
          <w:color w:val="auto"/>
        </w:rPr>
        <w:t>The 10,714,224 shares of Class A Common Stock issuable upon conversion of shares of Series m Preferred Stock and Series S Preferred Stock sold in our previous Regulation A offerings will be immediately tradeable upon conversion of those preferred shares and issuance of the shares of Class A Common Stock. However, the 2,002,944 shares of Class A Common Stock and 15,455,628 shares of Class B Common Stock issuable upon conversion of the shares of Preferred Stock that were not offered and sold in the previous Regulation A offerings, as well as shares issuable upon the exercise of warrants and subject to employee stock options will be upon issuance, “restricted securities,” as that term is defined in Rule 144 under the Securities Act. These restricted securities are eligible for public sale only if they are registered under the Securities Act or if they qualify for an exemption from registration under Rule 144 or Rule 701 under the Securities Act, which are summarized below.</w:t>
      </w:r>
    </w:p>
    <w:p>
      <w:pPr>
        <w:spacing w:after="0" w:line="121"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Rule 144</w:t>
      </w:r>
    </w:p>
    <w:p>
      <w:pPr>
        <w:spacing w:after="0" w:line="167"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In general, a person who has beneficially owned restricted shares of our Common Stock for at least twelve months, in the event we are a reporting company under Regulation A, or at least six months, in the event we have been a reporting company under the Exchange Act for at least 90 days before the sale, would be entitled to sell such securities, provided that such person is not deemed to be an affiliate of ours at the time of sale or to have been an affiliate of ours at any time during the 90 days preceding the sale. A person who is an affiliate of ours at such time would be subject to additional restrictions, by which such person would be entitled to sell within any three-month period only a number of shares that does not exceed the greater of the following:</w:t>
      </w:r>
    </w:p>
    <w:p>
      <w:pPr>
        <w:spacing w:after="0" w:line="139" w:lineRule="exact"/>
        <w:rPr>
          <w:sz w:val="20"/>
          <w:szCs w:val="20"/>
          <w:color w:val="auto"/>
        </w:rPr>
      </w:pPr>
    </w:p>
    <w:p>
      <w:pPr>
        <w:ind w:left="460" w:hanging="227"/>
        <w:spacing w:after="0"/>
        <w:tabs>
          <w:tab w:leader="none" w:pos="460" w:val="left"/>
        </w:tabs>
        <w:numPr>
          <w:ilvl w:val="0"/>
          <w:numId w:val="32"/>
        </w:numPr>
        <w:rPr>
          <w:rFonts w:ascii="Arial" w:cs="Arial" w:eastAsia="Arial" w:hAnsi="Arial"/>
          <w:sz w:val="13"/>
          <w:szCs w:val="13"/>
          <w:color w:val="auto"/>
        </w:rPr>
      </w:pPr>
      <w:r>
        <w:rPr>
          <w:rFonts w:ascii="Arial" w:cs="Arial" w:eastAsia="Arial" w:hAnsi="Arial"/>
          <w:sz w:val="13"/>
          <w:szCs w:val="13"/>
          <w:color w:val="auto"/>
        </w:rPr>
        <w:t>1% of the number of shares of our common stock then outstanding; or</w:t>
      </w:r>
    </w:p>
    <w:p>
      <w:pPr>
        <w:spacing w:after="0" w:line="14" w:lineRule="exact"/>
        <w:rPr>
          <w:rFonts w:ascii="Arial" w:cs="Arial" w:eastAsia="Arial" w:hAnsi="Arial"/>
          <w:sz w:val="13"/>
          <w:szCs w:val="13"/>
          <w:color w:val="auto"/>
        </w:rPr>
      </w:pPr>
    </w:p>
    <w:p>
      <w:pPr>
        <w:ind w:left="460" w:hanging="227"/>
        <w:spacing w:after="0"/>
        <w:tabs>
          <w:tab w:leader="none" w:pos="460" w:val="left"/>
        </w:tabs>
        <w:numPr>
          <w:ilvl w:val="0"/>
          <w:numId w:val="32"/>
        </w:numPr>
        <w:rPr>
          <w:rFonts w:ascii="Arial" w:cs="Arial" w:eastAsia="Arial" w:hAnsi="Arial"/>
          <w:sz w:val="13"/>
          <w:szCs w:val="13"/>
          <w:color w:val="auto"/>
        </w:rPr>
      </w:pPr>
      <w:r>
        <w:rPr>
          <w:rFonts w:ascii="Arial" w:cs="Arial" w:eastAsia="Arial" w:hAnsi="Arial"/>
          <w:sz w:val="13"/>
          <w:szCs w:val="13"/>
          <w:color w:val="auto"/>
        </w:rPr>
        <w:t>the average weekly trading volume of our common stock during the four calendar weeks preceding the filing by such person of a notice on Form 144 with respect to the sale;</w:t>
      </w:r>
    </w:p>
    <w:p>
      <w:pPr>
        <w:spacing w:after="0" w:line="156" w:lineRule="exact"/>
        <w:rPr>
          <w:sz w:val="20"/>
          <w:szCs w:val="20"/>
          <w:color w:val="auto"/>
        </w:rPr>
      </w:pPr>
    </w:p>
    <w:p>
      <w:pPr>
        <w:ind w:right="180"/>
        <w:spacing w:after="0" w:line="274" w:lineRule="auto"/>
        <w:rPr>
          <w:sz w:val="20"/>
          <w:szCs w:val="20"/>
          <w:color w:val="auto"/>
        </w:rPr>
      </w:pPr>
      <w:r>
        <w:rPr>
          <w:rFonts w:ascii="Arial" w:cs="Arial" w:eastAsia="Arial" w:hAnsi="Arial"/>
          <w:sz w:val="13"/>
          <w:szCs w:val="13"/>
          <w:color w:val="auto"/>
        </w:rPr>
        <w:t>provided that, in each case, we are subject to the periodic reporting requirements of the Exchange Act for at least 90 days before the sale. Rule 144 trades must also comply with the manner of sale, notice and other provisions of Rule 144, to the extent applicable.</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Rule 701</w:t>
      </w:r>
    </w:p>
    <w:p>
      <w:pPr>
        <w:spacing w:after="0" w:line="167" w:lineRule="exact"/>
        <w:rPr>
          <w:sz w:val="20"/>
          <w:szCs w:val="20"/>
          <w:color w:val="auto"/>
        </w:rPr>
      </w:pPr>
    </w:p>
    <w:p>
      <w:pPr>
        <w:ind w:right="20"/>
        <w:spacing w:after="0" w:line="262" w:lineRule="auto"/>
        <w:rPr>
          <w:sz w:val="20"/>
          <w:szCs w:val="20"/>
          <w:color w:val="auto"/>
        </w:rPr>
      </w:pPr>
      <w:r>
        <w:rPr>
          <w:rFonts w:ascii="Arial" w:cs="Arial" w:eastAsia="Arial" w:hAnsi="Arial"/>
          <w:sz w:val="13"/>
          <w:szCs w:val="13"/>
          <w:color w:val="auto"/>
        </w:rPr>
        <w:t>In general, Rule 701 allows a stockholder who purchased shares of our capital stock pursuant to a written compensatory plan or contract and who is not deemed to have been an affiliate of ours during the immediately preceding 90 days to sell those shares in reliance upon Rule 144, but without being required to comply with the public information, holding period, volume limitation or notice provisions of Rule 144. All holders of Rule 701 shares, however, are required to wait until 90 days after the date of this Offering Circular before selling shares pursuant to Rule 701.</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Lock-Up Agreements</w:t>
      </w:r>
    </w:p>
    <w:p>
      <w:pPr>
        <w:spacing w:after="0" w:line="167" w:lineRule="exact"/>
        <w:rPr>
          <w:sz w:val="20"/>
          <w:szCs w:val="20"/>
          <w:color w:val="auto"/>
        </w:rPr>
      </w:pPr>
    </w:p>
    <w:p>
      <w:pPr>
        <w:ind w:right="100"/>
        <w:spacing w:after="0" w:line="274" w:lineRule="auto"/>
        <w:rPr>
          <w:sz w:val="20"/>
          <w:szCs w:val="20"/>
          <w:color w:val="auto"/>
        </w:rPr>
      </w:pPr>
      <w:r>
        <w:rPr>
          <w:rFonts w:ascii="Arial" w:cs="Arial" w:eastAsia="Arial" w:hAnsi="Arial"/>
          <w:sz w:val="13"/>
          <w:szCs w:val="13"/>
          <w:color w:val="auto"/>
        </w:rPr>
        <w:t>We and our officers, directors and director nominees have agreed, or will agree, with the Selling Agent, subject to certain exceptions, that, without the prior written consent of the Selling Agent, we and they will not, directly or indirectly, during the period ending 180 days after the date of the closing of this offering.</w:t>
      </w:r>
    </w:p>
    <w:p>
      <w:pPr>
        <w:spacing w:after="0" w:line="128" w:lineRule="exact"/>
        <w:rPr>
          <w:sz w:val="20"/>
          <w:szCs w:val="20"/>
          <w:color w:val="auto"/>
        </w:rPr>
      </w:pPr>
    </w:p>
    <w:p>
      <w:pPr>
        <w:ind w:left="460" w:right="140" w:hanging="227"/>
        <w:spacing w:after="0" w:line="255" w:lineRule="auto"/>
        <w:tabs>
          <w:tab w:leader="none" w:pos="460" w:val="left"/>
        </w:tabs>
        <w:numPr>
          <w:ilvl w:val="0"/>
          <w:numId w:val="33"/>
        </w:numPr>
        <w:rPr>
          <w:rFonts w:ascii="Arial" w:cs="Arial" w:eastAsia="Arial" w:hAnsi="Arial"/>
          <w:sz w:val="13"/>
          <w:szCs w:val="13"/>
          <w:color w:val="auto"/>
        </w:rPr>
      </w:pPr>
      <w:r>
        <w:rPr>
          <w:rFonts w:ascii="Arial" w:cs="Arial" w:eastAsia="Arial" w:hAnsi="Arial"/>
          <w:sz w:val="13"/>
          <w:szCs w:val="13"/>
          <w:color w:val="auto"/>
        </w:rPr>
        <w:t>offer, pledge, sell, contract to sell, sell any option or contract to purchase, purchase any option or contract to sell, grant any option, right or warrant for the sale of, or otherwise dispose of or transfer any shares of the Common Stock or any securities convertible into or exchangeable or exercisable for the Common Stock, whether now owned or hereafter acquired by the undersigned or with respect to which the undersigned has or hereafter acquires the power of disposition; or</w:t>
      </w:r>
    </w:p>
    <w:p>
      <w:pPr>
        <w:ind w:left="460" w:right="60" w:hanging="227"/>
        <w:spacing w:after="0" w:line="262" w:lineRule="auto"/>
        <w:tabs>
          <w:tab w:leader="none" w:pos="460" w:val="left"/>
        </w:tabs>
        <w:numPr>
          <w:ilvl w:val="0"/>
          <w:numId w:val="33"/>
        </w:numPr>
        <w:rPr>
          <w:rFonts w:ascii="Arial" w:cs="Arial" w:eastAsia="Arial" w:hAnsi="Arial"/>
          <w:sz w:val="13"/>
          <w:szCs w:val="13"/>
          <w:color w:val="auto"/>
        </w:rPr>
      </w:pPr>
      <w:r>
        <w:rPr>
          <w:rFonts w:ascii="Arial" w:cs="Arial" w:eastAsia="Arial" w:hAnsi="Arial"/>
          <w:sz w:val="13"/>
          <w:szCs w:val="13"/>
          <w:color w:val="auto"/>
        </w:rPr>
        <w:t>enter into any swap or any other agreement or any transaction that transfers, in whole or in part, the economic consequence of ownership of the Common Stock, whether any such swap or transaction is to be settled by delivery of the Common Stock or other securities, in cash or otherwise.</w:t>
      </w:r>
    </w:p>
    <w:p>
      <w:pPr>
        <w:spacing w:after="0" w:line="135" w:lineRule="exact"/>
        <w:rPr>
          <w:sz w:val="20"/>
          <w:szCs w:val="20"/>
          <w:color w:val="auto"/>
        </w:rPr>
      </w:pPr>
    </w:p>
    <w:p>
      <w:pPr>
        <w:ind w:right="60"/>
        <w:spacing w:after="0" w:line="274" w:lineRule="auto"/>
        <w:rPr>
          <w:sz w:val="20"/>
          <w:szCs w:val="20"/>
          <w:color w:val="auto"/>
        </w:rPr>
      </w:pPr>
      <w:r>
        <w:rPr>
          <w:rFonts w:ascii="Arial" w:cs="Arial" w:eastAsia="Arial" w:hAnsi="Arial"/>
          <w:sz w:val="13"/>
          <w:szCs w:val="13"/>
          <w:color w:val="auto"/>
        </w:rPr>
        <w:t>This agreement does not apply, in our case, to securities issued pursuant to existing employee benefit plans or securities issued upon exercise of options, and other exceptions, and in the case of our officers, directors, director nominees and other holders of our securities, exercise of stock options issued pursuant to a stock option or similar plans, and other exceptions.</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Registration Statement on Form S-8</w:t>
      </w:r>
    </w:p>
    <w:p>
      <w:pPr>
        <w:spacing w:after="0" w:line="167" w:lineRule="exact"/>
        <w:rPr>
          <w:sz w:val="20"/>
          <w:szCs w:val="20"/>
          <w:color w:val="auto"/>
        </w:rPr>
      </w:pPr>
    </w:p>
    <w:p>
      <w:pPr>
        <w:ind w:right="120"/>
        <w:spacing w:after="0" w:line="332" w:lineRule="auto"/>
        <w:rPr>
          <w:sz w:val="20"/>
          <w:szCs w:val="20"/>
          <w:color w:val="auto"/>
        </w:rPr>
      </w:pPr>
      <w:r>
        <w:rPr>
          <w:rFonts w:ascii="Arial" w:cs="Arial" w:eastAsia="Arial" w:hAnsi="Arial"/>
          <w:sz w:val="11"/>
          <w:szCs w:val="11"/>
          <w:color w:val="auto"/>
        </w:rPr>
        <w:t>We intend to file one or more registration statements on Form S-8 under the Securities Act to register all shares of Class A Common Stock (i) subject to outstanding stock options granted in connection with this offering, and (ii) issued or issuable under our stock plans. We expect to file the registration statement covering shares offered pursuant to our stock plans shortly after the date of this Offering Circular, permitting the resale of such shares by nonaffiliates in the public market without restriction under the Securities Act and the sale by affiliates in the public market subject to compliance with the resale provisions of Rule 144.</w:t>
      </w:r>
    </w:p>
    <w:p>
      <w:pPr>
        <w:spacing w:after="0" w:line="101"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51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55" w:name="page56"/>
    <w:bookmarkEnd w:id="55"/>
    <w:p>
      <w:pPr>
        <w:spacing w:after="0"/>
        <w:rPr>
          <w:sz w:val="20"/>
          <w:szCs w:val="20"/>
          <w:color w:val="auto"/>
        </w:rPr>
      </w:pPr>
      <w:r>
        <w:rPr>
          <w:rFonts w:ascii="Arial" w:cs="Arial" w:eastAsia="Arial" w:hAnsi="Arial"/>
          <w:sz w:val="13"/>
          <w:szCs w:val="13"/>
          <w:b w:val="1"/>
          <w:bCs w:val="1"/>
          <w:color w:val="auto"/>
        </w:rPr>
        <w:t>PLAN OF DISTRIBUTION</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Engagement Agreement with Digital Offering</w:t>
      </w:r>
    </w:p>
    <w:p>
      <w:pPr>
        <w:spacing w:after="0" w:line="167" w:lineRule="exact"/>
        <w:rPr>
          <w:sz w:val="20"/>
          <w:szCs w:val="20"/>
          <w:color w:val="auto"/>
        </w:rPr>
      </w:pPr>
    </w:p>
    <w:p>
      <w:pPr>
        <w:spacing w:after="0" w:line="275" w:lineRule="auto"/>
        <w:rPr>
          <w:sz w:val="20"/>
          <w:szCs w:val="20"/>
          <w:color w:val="auto"/>
        </w:rPr>
      </w:pPr>
      <w:r>
        <w:rPr>
          <w:rFonts w:ascii="Arial" w:cs="Arial" w:eastAsia="Arial" w:hAnsi="Arial"/>
          <w:sz w:val="12"/>
          <w:szCs w:val="12"/>
          <w:color w:val="auto"/>
        </w:rPr>
        <w:t>We are currently party to an engagement agreement dated August 27, 2021 with Digital Offering LLC ("Digital Offering” or “Lead Selling Agent”). Digital Offering has agreed to act as our managing broker-dealer for the offering. Digital Offering has made no commitment to purchase all or any part of the shares of Class A Common Stock being offered but has agreed to use its best efforts to sell such Shares in the offering. As such, Digital Offering is an "underwriter" within the meaning of Section 2(a)(11) of the Securities Act. Digital Offering is under no obligation to purchase any Shares or arrange for the sale of any specific number or dollar amount of Shares. The term of the engagement agreement began on August 27, 2021 and will continue until the earlier to occur of: (a) the date that either party gives the other at least ten (10) days written notice of the termination of this Agreement, which termination may occur with or without cause, (b) the date which is one year from this offering being qualified by the Commission, or (c) the date that the Offering is consummated (such applicable date, the “Termination Date”). The engagement agreement provides that Digital Offering may engage other Financial Industry Regulatory Authority (“FINRA”) member broker-dealers that are registered with the Commission to participate as soliciting dealers for this offering. We refer to these other broker-dealers as soliciting dealers or members of the selling group. Upon engagement of any such soliciting dealer, Digital Offering shall be permitted to re-allow all or part of its fees and expense allowance as described below. Such soliciting dealer will also be entitled to receive the benefits of our engagement agreement with Digital Offering, including the indemnification rights arising under the engagement agreement upon their execution of a soliciting dealer agreement with Digital Offering that confirms that such soliciting dealer is so entitled. As of the date hereof, we have been advised that Digital Offering has retained Cambria Capital LLC and Start Engine Primary, LLC (“StartEngine Primary”) to participate in this offering as soliciting dealers. We will not be responsible for paying any placement agency fees, commissions or expense reimbursements to any soliciting dealers retained by Digital Offering. None of the soliciting dealers are purchasing any of the shares of Class A Common Stock in this offering and are not required to sell any specific number or dollar amount of shares of Class A Common Stock, but will instead arrange for the sale of Shares to investors on a “best efforts” basis, meaning that they need only use their best efforts to sell the Shares. In addition to the engagement agreement, we plan on entering into a definitive selling agency agreement with Digital Offering prior to the commencement of the offering.</w:t>
      </w:r>
    </w:p>
    <w:p>
      <w:pPr>
        <w:spacing w:after="0" w:line="13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Offering Expenses</w:t>
      </w:r>
    </w:p>
    <w:p>
      <w:pPr>
        <w:spacing w:after="0" w:line="163" w:lineRule="exact"/>
        <w:rPr>
          <w:sz w:val="20"/>
          <w:szCs w:val="20"/>
          <w:color w:val="auto"/>
        </w:rPr>
      </w:pPr>
    </w:p>
    <w:p>
      <w:pPr>
        <w:ind w:right="180"/>
        <w:spacing w:after="0" w:line="314" w:lineRule="auto"/>
        <w:rPr>
          <w:sz w:val="20"/>
          <w:szCs w:val="20"/>
          <w:color w:val="auto"/>
        </w:rPr>
      </w:pPr>
      <w:r>
        <w:rPr>
          <w:rFonts w:ascii="Arial" w:cs="Arial" w:eastAsia="Arial" w:hAnsi="Arial"/>
          <w:sz w:val="11"/>
          <w:szCs w:val="11"/>
          <w:color w:val="auto"/>
        </w:rPr>
        <w:t>We are responsible for all offering fees and expenses, including the following: (i) fees and disbursements of our legal counsel, accountants, and other professionals we engage; (ii) fees and expenses incurred in the production of offering documents, including design, printing, photograph, and written material procurement costs; (iii) all filing fees, including those charged by FINRA; (iv) all of the legal fees related to FINRA clearance; and (v) accountable expenses of Digital Offering, including due diligence costs, all fees, expenses and disbursements relating to background checks of the Company’s officers and directors, and other offering cost, not to exceed $50,000. $25,000 of which has been paid with an additional $25,000 due at closing. We have agreed to reimburse Digital Offering for its reasonable and documented legal costs up to a maximum of $125,000. Notwithstanding the foregoing, the advance received by Digital Offering will be reimbursed to us to the extent not actually incurred in compliance with FINRA Rule 5110(g)(4)(a).</w:t>
      </w:r>
    </w:p>
    <w:p>
      <w:pPr>
        <w:spacing w:after="0" w:line="111"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Reimbursable Expenses in the Event of Termination</w:t>
      </w:r>
    </w:p>
    <w:p>
      <w:pPr>
        <w:spacing w:after="0" w:line="163" w:lineRule="exact"/>
        <w:rPr>
          <w:sz w:val="20"/>
          <w:szCs w:val="20"/>
          <w:color w:val="auto"/>
        </w:rPr>
      </w:pPr>
    </w:p>
    <w:p>
      <w:pPr>
        <w:ind w:right="140"/>
        <w:spacing w:after="0" w:line="274" w:lineRule="auto"/>
        <w:rPr>
          <w:sz w:val="20"/>
          <w:szCs w:val="20"/>
          <w:color w:val="auto"/>
        </w:rPr>
      </w:pPr>
      <w:r>
        <w:rPr>
          <w:rFonts w:ascii="Arial" w:cs="Arial" w:eastAsia="Arial" w:hAnsi="Arial"/>
          <w:sz w:val="13"/>
          <w:szCs w:val="13"/>
          <w:color w:val="auto"/>
        </w:rPr>
        <w:t>In the event the offering does not close or the selling agency agreement is terminated for any reason, we have agreed to reimburse Digital Offering for all unreimbursed, reasonable, documented, out-of-pocket fees, expenses, and disbursements, including its legal fees, up to $175,000.</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Selling Agents’ Commission</w:t>
      </w:r>
    </w:p>
    <w:p>
      <w:pPr>
        <w:spacing w:after="0" w:line="163" w:lineRule="exact"/>
        <w:rPr>
          <w:sz w:val="20"/>
          <w:szCs w:val="20"/>
          <w:color w:val="auto"/>
        </w:rPr>
      </w:pPr>
    </w:p>
    <w:p>
      <w:pPr>
        <w:ind w:right="340"/>
        <w:spacing w:after="0" w:line="317" w:lineRule="auto"/>
        <w:rPr>
          <w:sz w:val="20"/>
          <w:szCs w:val="20"/>
          <w:color w:val="auto"/>
        </w:rPr>
      </w:pPr>
      <w:r>
        <w:rPr>
          <w:rFonts w:ascii="Arial" w:cs="Arial" w:eastAsia="Arial" w:hAnsi="Arial"/>
          <w:sz w:val="12"/>
          <w:szCs w:val="12"/>
          <w:color w:val="auto"/>
        </w:rPr>
        <w:t>We have agreed that the definitive selling agency agreement will provide for us to pay a commission of 7.00% of the gross proceeds received by the Company in the offering, which shall be allocated by Digital Offering to members of the selling group and soliciting dealers in its sole discretion (we sometimes refer to Digital Offering and such members and dealers collectively as the “Selling Agents”).</w:t>
      </w:r>
    </w:p>
    <w:p>
      <w:pPr>
        <w:spacing w:after="0" w:line="261" w:lineRule="exact"/>
        <w:rPr>
          <w:sz w:val="20"/>
          <w:szCs w:val="20"/>
          <w:color w:val="auto"/>
        </w:rPr>
      </w:pPr>
    </w:p>
    <w:p>
      <w:pPr>
        <w:jc w:val="center"/>
        <w:ind w:right="-79"/>
        <w:spacing w:after="0"/>
        <w:rPr>
          <w:sz w:val="20"/>
          <w:szCs w:val="20"/>
          <w:color w:val="auto"/>
        </w:rPr>
      </w:pPr>
      <w:r>
        <w:rPr>
          <w:rFonts w:ascii="Arial" w:cs="Arial" w:eastAsia="Arial" w:hAnsi="Arial"/>
          <w:sz w:val="13"/>
          <w:szCs w:val="13"/>
          <w:color w:val="auto"/>
        </w:rPr>
        <w:t>52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40"/>
          </w:cols>
          <w:pgMar w:left="300" w:top="694" w:right="359" w:bottom="1440" w:gutter="0" w:footer="0" w:header="0"/>
        </w:sectPr>
      </w:pPr>
    </w:p>
    <w:bookmarkStart w:id="56" w:name="page57"/>
    <w:bookmarkEnd w:id="56"/>
    <w:p>
      <w:pPr>
        <w:spacing w:after="0"/>
        <w:rPr>
          <w:sz w:val="20"/>
          <w:szCs w:val="20"/>
          <w:color w:val="auto"/>
        </w:rPr>
      </w:pPr>
      <w:r>
        <w:rPr>
          <w:rFonts w:ascii="Arial" w:cs="Arial" w:eastAsia="Arial" w:hAnsi="Arial"/>
          <w:sz w:val="13"/>
          <w:szCs w:val="13"/>
          <w:b w:val="1"/>
          <w:bCs w:val="1"/>
          <w:color w:val="auto"/>
        </w:rPr>
        <w:t>Lock-Up Agreements</w:t>
      </w:r>
    </w:p>
    <w:p>
      <w:pPr>
        <w:spacing w:after="0" w:line="167" w:lineRule="exact"/>
        <w:rPr>
          <w:sz w:val="20"/>
          <w:szCs w:val="20"/>
          <w:color w:val="auto"/>
        </w:rPr>
      </w:pPr>
    </w:p>
    <w:p>
      <w:pPr>
        <w:ind w:right="20"/>
        <w:spacing w:after="0" w:line="255" w:lineRule="auto"/>
        <w:rPr>
          <w:sz w:val="20"/>
          <w:szCs w:val="20"/>
          <w:color w:val="auto"/>
        </w:rPr>
      </w:pPr>
      <w:r>
        <w:rPr>
          <w:rFonts w:ascii="Arial" w:cs="Arial" w:eastAsia="Arial" w:hAnsi="Arial"/>
          <w:sz w:val="13"/>
          <w:szCs w:val="13"/>
          <w:color w:val="auto"/>
        </w:rPr>
        <w:t>Except as described below, we and our officers, directors and director nominees have agreed, or will agree, with Digital Offering, subject to certain exceptions, that, without the prior written consent of Digital Offering, we and they will not, directly or indirectly, during the period ending 180 days following the closing of this offering, offer, pledge, sell, contract to sell, sell any option or contract to purchase, purchase any option or contract to sell, grant any option, right or warrant for the sale of, or otherwise dispose of or transfer any shares of the Class A Common Stock or any securities convertible into or exchangeable or exercisable for the Class A Common Stock, whether now owned or hereafter acquired by us or them or with respect to which we or they has or hereafter acquires the power of disposition; or enter into any swap or any other agreement or any transaction that transfers, in whole or in part, the economic consequence of ownership of the Class A Common Stock, whether any such swap or transaction is to be settled by delivery of the Class A Common Stock or other securities, in cash or otherwise.</w:t>
      </w:r>
    </w:p>
    <w:p>
      <w:pPr>
        <w:spacing w:after="0" w:line="142" w:lineRule="exact"/>
        <w:rPr>
          <w:sz w:val="20"/>
          <w:szCs w:val="20"/>
          <w:color w:val="auto"/>
        </w:rPr>
      </w:pPr>
    </w:p>
    <w:p>
      <w:pPr>
        <w:ind w:right="400"/>
        <w:spacing w:after="0" w:line="274" w:lineRule="auto"/>
        <w:rPr>
          <w:sz w:val="20"/>
          <w:szCs w:val="20"/>
          <w:color w:val="auto"/>
        </w:rPr>
      </w:pPr>
      <w:r>
        <w:rPr>
          <w:rFonts w:ascii="Arial" w:cs="Arial" w:eastAsia="Arial" w:hAnsi="Arial"/>
          <w:sz w:val="13"/>
          <w:szCs w:val="13"/>
          <w:color w:val="auto"/>
        </w:rPr>
        <w:t>The lock-up agreement does not apply, in our case, to securities issued pursuant to existing employee benefit plans or securities issued upon exercise of options. In the case of our officers, directors and director nominees, the restrictions described in the preceding paragraph do not apply to:</w:t>
      </w:r>
    </w:p>
    <w:p>
      <w:pPr>
        <w:spacing w:after="0" w:line="128" w:lineRule="exact"/>
        <w:rPr>
          <w:sz w:val="20"/>
          <w:szCs w:val="20"/>
          <w:color w:val="auto"/>
        </w:rPr>
      </w:pPr>
    </w:p>
    <w:p>
      <w:pPr>
        <w:ind w:left="620" w:right="500" w:hanging="309"/>
        <w:spacing w:after="0" w:line="257" w:lineRule="auto"/>
        <w:tabs>
          <w:tab w:leader="none" w:pos="620" w:val="left"/>
        </w:tabs>
        <w:numPr>
          <w:ilvl w:val="0"/>
          <w:numId w:val="34"/>
        </w:numPr>
        <w:rPr>
          <w:rFonts w:ascii="Arial" w:cs="Arial" w:eastAsia="Arial" w:hAnsi="Arial"/>
          <w:sz w:val="13"/>
          <w:szCs w:val="13"/>
          <w:color w:val="auto"/>
        </w:rPr>
      </w:pPr>
      <w:r>
        <w:rPr>
          <w:rFonts w:ascii="Arial" w:cs="Arial" w:eastAsia="Arial" w:hAnsi="Arial"/>
          <w:sz w:val="13"/>
          <w:szCs w:val="13"/>
          <w:color w:val="auto"/>
        </w:rPr>
        <w:t>transactions relating to shares of Class A Common Stock acquired in open market transactions after the completion of this offering; provided that, no filing by any party under Section 16(a) of the Exchange Act or other public announcement shall be required or shall be voluntarily made in connection with such transfer;</w:t>
      </w:r>
    </w:p>
    <w:p>
      <w:pPr>
        <w:ind w:left="620" w:hanging="309"/>
        <w:spacing w:after="0" w:line="251" w:lineRule="auto"/>
        <w:tabs>
          <w:tab w:leader="none" w:pos="620" w:val="left"/>
        </w:tabs>
        <w:numPr>
          <w:ilvl w:val="0"/>
          <w:numId w:val="34"/>
        </w:numPr>
        <w:rPr>
          <w:rFonts w:ascii="Arial" w:cs="Arial" w:eastAsia="Arial" w:hAnsi="Arial"/>
          <w:sz w:val="13"/>
          <w:szCs w:val="13"/>
          <w:color w:val="auto"/>
        </w:rPr>
      </w:pPr>
      <w:r>
        <w:rPr>
          <w:rFonts w:ascii="Arial" w:cs="Arial" w:eastAsia="Arial" w:hAnsi="Arial"/>
          <w:sz w:val="13"/>
          <w:szCs w:val="13"/>
          <w:color w:val="auto"/>
        </w:rPr>
        <w:t>exercises of stock options or equity awards granted pursuant to an equity incentive or other plan or warrants to purchase shares of Class A Common Stock or other securities (including by cashless exercise to the extent permitted by the instruments representing such stock options or warrants so long as such cashless exercise is effected solely by the surrender of outstanding stock options or warrants to the Company and the Company’s cancellation of all or a portion thereof to pay the exercise price), provided that in any such case the securities issued upon exercise shall remain subject to the provisions of the agreement;</w:t>
      </w:r>
    </w:p>
    <w:p>
      <w:pPr>
        <w:ind w:left="620" w:right="140" w:hanging="309"/>
        <w:spacing w:after="0" w:line="272" w:lineRule="auto"/>
        <w:tabs>
          <w:tab w:leader="none" w:pos="620" w:val="left"/>
        </w:tabs>
        <w:numPr>
          <w:ilvl w:val="0"/>
          <w:numId w:val="34"/>
        </w:numPr>
        <w:rPr>
          <w:rFonts w:ascii="Arial" w:cs="Arial" w:eastAsia="Arial" w:hAnsi="Arial"/>
          <w:sz w:val="12"/>
          <w:szCs w:val="12"/>
          <w:color w:val="auto"/>
        </w:rPr>
      </w:pPr>
      <w:r>
        <w:rPr>
          <w:rFonts w:ascii="Arial" w:cs="Arial" w:eastAsia="Arial" w:hAnsi="Arial"/>
          <w:sz w:val="12"/>
          <w:szCs w:val="12"/>
          <w:color w:val="auto"/>
        </w:rPr>
        <w:t>transfers of shares of Class A Common Stock or other securities to the Company in connection with the vesting or exercise of any equity awards granted pursuant to an equity incentive or other plan and held by the undersigned to the extent, but only to the extent, as may be necessary to satisfy tax withholding obligations pursuant to the Company’s equity incentive or other plans;</w:t>
      </w:r>
    </w:p>
    <w:p>
      <w:pPr>
        <w:ind w:left="620" w:hanging="309"/>
        <w:spacing w:after="0"/>
        <w:tabs>
          <w:tab w:leader="none" w:pos="620" w:val="left"/>
        </w:tabs>
        <w:numPr>
          <w:ilvl w:val="0"/>
          <w:numId w:val="34"/>
        </w:numPr>
        <w:rPr>
          <w:rFonts w:ascii="Arial" w:cs="Arial" w:eastAsia="Arial" w:hAnsi="Arial"/>
          <w:sz w:val="13"/>
          <w:szCs w:val="13"/>
          <w:color w:val="auto"/>
        </w:rPr>
      </w:pPr>
      <w:r>
        <w:rPr>
          <w:rFonts w:ascii="Arial" w:cs="Arial" w:eastAsia="Arial" w:hAnsi="Arial"/>
          <w:sz w:val="13"/>
          <w:szCs w:val="13"/>
          <w:color w:val="auto"/>
        </w:rPr>
        <w:t>pursuant to an order of a court or regulatory agency;</w:t>
      </w:r>
    </w:p>
    <w:p>
      <w:pPr>
        <w:spacing w:after="0" w:line="6" w:lineRule="exact"/>
        <w:rPr>
          <w:rFonts w:ascii="Arial" w:cs="Arial" w:eastAsia="Arial" w:hAnsi="Arial"/>
          <w:sz w:val="13"/>
          <w:szCs w:val="13"/>
          <w:color w:val="auto"/>
        </w:rPr>
      </w:pPr>
    </w:p>
    <w:p>
      <w:pPr>
        <w:ind w:left="620" w:right="40" w:hanging="309"/>
        <w:spacing w:after="0" w:line="251" w:lineRule="auto"/>
        <w:tabs>
          <w:tab w:leader="none" w:pos="620" w:val="left"/>
        </w:tabs>
        <w:numPr>
          <w:ilvl w:val="0"/>
          <w:numId w:val="34"/>
        </w:numPr>
        <w:rPr>
          <w:rFonts w:ascii="Arial" w:cs="Arial" w:eastAsia="Arial" w:hAnsi="Arial"/>
          <w:sz w:val="13"/>
          <w:szCs w:val="13"/>
          <w:color w:val="auto"/>
        </w:rPr>
      </w:pPr>
      <w:r>
        <w:rPr>
          <w:rFonts w:ascii="Arial" w:cs="Arial" w:eastAsia="Arial" w:hAnsi="Arial"/>
          <w:sz w:val="13"/>
          <w:szCs w:val="13"/>
          <w:color w:val="auto"/>
        </w:rPr>
        <w:t>any transfer of shares of Class A Common Stock or any security convertible into or exercisable or exchangeable for Class A Common Stock that occurs by operation of law, such as pursuant to a qualified domestic relations order or in connection with a divorce settlement;</w:t>
      </w:r>
    </w:p>
    <w:p>
      <w:pPr>
        <w:ind w:left="620" w:right="60" w:hanging="309"/>
        <w:spacing w:after="0" w:line="251" w:lineRule="auto"/>
        <w:tabs>
          <w:tab w:leader="none" w:pos="620" w:val="left"/>
        </w:tabs>
        <w:numPr>
          <w:ilvl w:val="0"/>
          <w:numId w:val="34"/>
        </w:numPr>
        <w:rPr>
          <w:rFonts w:ascii="Arial" w:cs="Arial" w:eastAsia="Arial" w:hAnsi="Arial"/>
          <w:sz w:val="13"/>
          <w:szCs w:val="13"/>
          <w:color w:val="auto"/>
        </w:rPr>
      </w:pPr>
      <w:r>
        <w:rPr>
          <w:rFonts w:ascii="Arial" w:cs="Arial" w:eastAsia="Arial" w:hAnsi="Arial"/>
          <w:sz w:val="13"/>
          <w:szCs w:val="13"/>
          <w:color w:val="auto"/>
        </w:rPr>
        <w:t>any distributions or transfers without consideration of shares of Class A Common Stock or any security directly or indirectly convertible into or exercisable or exchangeable for Class A Common Stock to limited partners, members, stockholders or affiliates of the undersigned, or to any partnership, corporation or limited liability company controlled by the undersigned or by a member of the immediate family of the party to the agreement;</w:t>
      </w:r>
    </w:p>
    <w:p>
      <w:pPr>
        <w:ind w:left="620" w:right="220" w:hanging="309"/>
        <w:spacing w:after="0" w:line="251" w:lineRule="auto"/>
        <w:tabs>
          <w:tab w:leader="none" w:pos="620" w:val="left"/>
        </w:tabs>
        <w:numPr>
          <w:ilvl w:val="0"/>
          <w:numId w:val="34"/>
        </w:numPr>
        <w:rPr>
          <w:rFonts w:ascii="Arial" w:cs="Arial" w:eastAsia="Arial" w:hAnsi="Arial"/>
          <w:sz w:val="13"/>
          <w:szCs w:val="13"/>
          <w:color w:val="auto"/>
        </w:rPr>
      </w:pPr>
      <w:r>
        <w:rPr>
          <w:rFonts w:ascii="Arial" w:cs="Arial" w:eastAsia="Arial" w:hAnsi="Arial"/>
          <w:sz w:val="13"/>
          <w:szCs w:val="13"/>
          <w:color w:val="auto"/>
        </w:rPr>
        <w:t>any transfer made in connection with the sale or other bona fide transfer in a single transaction of all or substantially all of the undersigned’s capital stock, partnership interests, membership interests or other similar equity interests, as the case may be, or all or substantially all of the undersigned’s assets, in any such case not undertaken for the purpose of avoiding the restrictions imposed by the agreement;</w:t>
      </w:r>
    </w:p>
    <w:p>
      <w:pPr>
        <w:ind w:left="620" w:right="160" w:hanging="309"/>
        <w:spacing w:after="0" w:line="251" w:lineRule="auto"/>
        <w:tabs>
          <w:tab w:leader="none" w:pos="620" w:val="left"/>
        </w:tabs>
        <w:numPr>
          <w:ilvl w:val="0"/>
          <w:numId w:val="34"/>
        </w:numPr>
        <w:rPr>
          <w:rFonts w:ascii="Arial" w:cs="Arial" w:eastAsia="Arial" w:hAnsi="Arial"/>
          <w:sz w:val="13"/>
          <w:szCs w:val="13"/>
          <w:color w:val="auto"/>
        </w:rPr>
      </w:pPr>
      <w:r>
        <w:rPr>
          <w:rFonts w:ascii="Arial" w:cs="Arial" w:eastAsia="Arial" w:hAnsi="Arial"/>
          <w:sz w:val="13"/>
          <w:szCs w:val="13"/>
          <w:color w:val="auto"/>
        </w:rPr>
        <w:t>the establishment of a trading plan pursuant to Rule 10b5-1 under the Exchange Act, for the transfer of shares of our Class A Common Stock, provided that such plan does not provide for the transfer of our Class A Common Stock during the lock-up period;</w:t>
      </w:r>
    </w:p>
    <w:p>
      <w:pPr>
        <w:ind w:left="620" w:hanging="309"/>
        <w:spacing w:after="0"/>
        <w:tabs>
          <w:tab w:leader="none" w:pos="620" w:val="left"/>
        </w:tabs>
        <w:numPr>
          <w:ilvl w:val="0"/>
          <w:numId w:val="34"/>
        </w:numPr>
        <w:rPr>
          <w:rFonts w:ascii="Arial" w:cs="Arial" w:eastAsia="Arial" w:hAnsi="Arial"/>
          <w:sz w:val="13"/>
          <w:szCs w:val="13"/>
          <w:color w:val="auto"/>
        </w:rPr>
      </w:pPr>
      <w:r>
        <w:rPr>
          <w:rFonts w:ascii="Arial" w:cs="Arial" w:eastAsia="Arial" w:hAnsi="Arial"/>
          <w:sz w:val="13"/>
          <w:szCs w:val="13"/>
          <w:color w:val="auto"/>
        </w:rPr>
        <w:t>transfers to any investment fund or other entity controlled by, or under common control or management with, the party to the agreement;</w:t>
      </w:r>
    </w:p>
    <w:p>
      <w:pPr>
        <w:spacing w:after="0" w:line="6" w:lineRule="exact"/>
        <w:rPr>
          <w:rFonts w:ascii="Arial" w:cs="Arial" w:eastAsia="Arial" w:hAnsi="Arial"/>
          <w:sz w:val="13"/>
          <w:szCs w:val="13"/>
          <w:color w:val="auto"/>
        </w:rPr>
      </w:pPr>
    </w:p>
    <w:p>
      <w:pPr>
        <w:ind w:left="620" w:right="40" w:hanging="309"/>
        <w:spacing w:after="0" w:line="262" w:lineRule="auto"/>
        <w:tabs>
          <w:tab w:leader="none" w:pos="620" w:val="left"/>
        </w:tabs>
        <w:numPr>
          <w:ilvl w:val="0"/>
          <w:numId w:val="34"/>
        </w:numPr>
        <w:rPr>
          <w:rFonts w:ascii="Arial" w:cs="Arial" w:eastAsia="Arial" w:hAnsi="Arial"/>
          <w:sz w:val="13"/>
          <w:szCs w:val="13"/>
          <w:color w:val="auto"/>
        </w:rPr>
      </w:pPr>
      <w:r>
        <w:rPr>
          <w:rFonts w:ascii="Arial" w:cs="Arial" w:eastAsia="Arial" w:hAnsi="Arial"/>
          <w:sz w:val="13"/>
          <w:szCs w:val="13"/>
          <w:color w:val="auto"/>
        </w:rPr>
        <w:t>transfers of shares of our Class A Common Stock or any security convertible into or exercisable or exchangeable for our Class A Common Stock pursuant to a qualifying bona fide third party tender offer, merger, consolidation or other similar transaction made to all holders of our Class A Common Stock.</w:t>
      </w:r>
    </w:p>
    <w:p>
      <w:pPr>
        <w:spacing w:after="0" w:line="131"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Exchange Listing</w:t>
      </w:r>
    </w:p>
    <w:p>
      <w:pPr>
        <w:spacing w:after="0" w:line="167" w:lineRule="exact"/>
        <w:rPr>
          <w:sz w:val="20"/>
          <w:szCs w:val="20"/>
          <w:color w:val="auto"/>
        </w:rPr>
      </w:pPr>
    </w:p>
    <w:p>
      <w:pPr>
        <w:spacing w:after="0" w:line="254" w:lineRule="auto"/>
        <w:rPr>
          <w:sz w:val="20"/>
          <w:szCs w:val="20"/>
          <w:color w:val="auto"/>
        </w:rPr>
      </w:pPr>
      <w:r>
        <w:rPr>
          <w:rFonts w:ascii="Arial" w:cs="Arial" w:eastAsia="Arial" w:hAnsi="Arial"/>
          <w:sz w:val="13"/>
          <w:szCs w:val="13"/>
          <w:color w:val="auto"/>
        </w:rPr>
        <w:t>We have applied to Nasdaq to list shares of our Class A Common Stock under the symbol “KSCP.” In order to meet one of the requirements for listing our Class A Common Stock on Nasdaq, Digital Offering and other soliciting dealers intend to sell lots of 100 or more shares to a minimum of 400 beneficial holders. Our Class A Common Stock will not commence trading on Nasdaq until each of the following conditions are met: (i) this offering is terminated; (ii) we have filed a post-qualification amendment to the Offering Statement, which post-qualification amendment is qualified by the Commission; and (iii) we have filed a registration statement on Form 8-A, which Form 8-A has been declared effective by the Commission. Pursuant to applicable rules under Regulation A, the Form 8-A will not become effective until the Commission qualifies the post-qualification amendment. We intend to file the post-qualification amendment and request its qualification immediately prior to the termination of this offering in order that the Form 8-A may become effective as soon as practicable. Even if we meet the minimum requirements for listing on Nasdaq, we may wait before terminating this offering and commencing the trading of our Class A Common Stock on Nasdaq in order to raise additional proceeds. As a result, you may experience a delay between the closing of your purchase of shares of our Class A Common Stock and the commencement of exchange trading of our Class A Common Stock on Nasdaq.</w:t>
      </w:r>
    </w:p>
    <w:p>
      <w:pPr>
        <w:spacing w:after="0" w:line="298"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53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57" w:name="page58"/>
    <w:bookmarkEnd w:id="57"/>
    <w:p>
      <w:pPr>
        <w:spacing w:after="0"/>
        <w:rPr>
          <w:sz w:val="20"/>
          <w:szCs w:val="20"/>
          <w:color w:val="auto"/>
        </w:rPr>
      </w:pPr>
      <w:r>
        <w:rPr>
          <w:rFonts w:ascii="Arial" w:cs="Arial" w:eastAsia="Arial" w:hAnsi="Arial"/>
          <w:sz w:val="13"/>
          <w:szCs w:val="13"/>
          <w:b w:val="1"/>
          <w:bCs w:val="1"/>
          <w:color w:val="auto"/>
        </w:rPr>
        <w:t>Pricing of the Offering</w:t>
      </w:r>
    </w:p>
    <w:p>
      <w:pPr>
        <w:spacing w:after="0" w:line="167" w:lineRule="exact"/>
        <w:rPr>
          <w:sz w:val="20"/>
          <w:szCs w:val="20"/>
          <w:color w:val="auto"/>
        </w:rPr>
      </w:pPr>
    </w:p>
    <w:p>
      <w:pPr>
        <w:ind w:right="240"/>
        <w:spacing w:after="0" w:line="274" w:lineRule="auto"/>
        <w:rPr>
          <w:sz w:val="20"/>
          <w:szCs w:val="20"/>
          <w:color w:val="auto"/>
        </w:rPr>
      </w:pPr>
      <w:r>
        <w:rPr>
          <w:rFonts w:ascii="Arial" w:cs="Arial" w:eastAsia="Arial" w:hAnsi="Arial"/>
          <w:sz w:val="13"/>
          <w:szCs w:val="13"/>
          <w:color w:val="auto"/>
        </w:rPr>
        <w:t>Prior to the offering, there has been no public market for the shares of Class A Common Stock. The initial public offering price has been determined by negotiation between us and Digital Offering. The principal factors considered in determining the initial public offering price include:</w:t>
      </w:r>
    </w:p>
    <w:p>
      <w:pPr>
        <w:spacing w:after="0" w:line="128" w:lineRule="exact"/>
        <w:rPr>
          <w:sz w:val="20"/>
          <w:szCs w:val="20"/>
          <w:color w:val="auto"/>
        </w:rPr>
      </w:pPr>
    </w:p>
    <w:p>
      <w:pPr>
        <w:ind w:left="620" w:hanging="309"/>
        <w:spacing w:after="0"/>
        <w:tabs>
          <w:tab w:leader="none" w:pos="620" w:val="left"/>
        </w:tabs>
        <w:numPr>
          <w:ilvl w:val="0"/>
          <w:numId w:val="35"/>
        </w:numPr>
        <w:rPr>
          <w:rFonts w:ascii="Arial" w:cs="Arial" w:eastAsia="Arial" w:hAnsi="Arial"/>
          <w:sz w:val="13"/>
          <w:szCs w:val="13"/>
          <w:color w:val="auto"/>
        </w:rPr>
      </w:pPr>
      <w:r>
        <w:rPr>
          <w:rFonts w:ascii="Arial" w:cs="Arial" w:eastAsia="Arial" w:hAnsi="Arial"/>
          <w:sz w:val="13"/>
          <w:szCs w:val="13"/>
          <w:color w:val="auto"/>
        </w:rPr>
        <w:t>the information set forth in this Offering Circular and otherwise available to Digital Offering;</w:t>
      </w:r>
    </w:p>
    <w:p>
      <w:pPr>
        <w:spacing w:after="0" w:line="14" w:lineRule="exact"/>
        <w:rPr>
          <w:rFonts w:ascii="Arial" w:cs="Arial" w:eastAsia="Arial" w:hAnsi="Arial"/>
          <w:sz w:val="13"/>
          <w:szCs w:val="13"/>
          <w:color w:val="auto"/>
        </w:rPr>
      </w:pPr>
    </w:p>
    <w:p>
      <w:pPr>
        <w:ind w:left="620" w:hanging="309"/>
        <w:spacing w:after="0"/>
        <w:tabs>
          <w:tab w:leader="none" w:pos="620" w:val="left"/>
        </w:tabs>
        <w:numPr>
          <w:ilvl w:val="0"/>
          <w:numId w:val="35"/>
        </w:numPr>
        <w:rPr>
          <w:rFonts w:ascii="Arial" w:cs="Arial" w:eastAsia="Arial" w:hAnsi="Arial"/>
          <w:sz w:val="13"/>
          <w:szCs w:val="13"/>
          <w:color w:val="auto"/>
        </w:rPr>
      </w:pPr>
      <w:r>
        <w:rPr>
          <w:rFonts w:ascii="Arial" w:cs="Arial" w:eastAsia="Arial" w:hAnsi="Arial"/>
          <w:sz w:val="13"/>
          <w:szCs w:val="13"/>
          <w:color w:val="auto"/>
        </w:rPr>
        <w:t>our history and prospects and the history of and prospects for the industry in which we compete;</w:t>
      </w:r>
    </w:p>
    <w:p>
      <w:pPr>
        <w:spacing w:after="0" w:line="6" w:lineRule="exact"/>
        <w:rPr>
          <w:rFonts w:ascii="Arial" w:cs="Arial" w:eastAsia="Arial" w:hAnsi="Arial"/>
          <w:sz w:val="13"/>
          <w:szCs w:val="13"/>
          <w:color w:val="auto"/>
        </w:rPr>
      </w:pPr>
    </w:p>
    <w:p>
      <w:pPr>
        <w:ind w:left="620" w:hanging="309"/>
        <w:spacing w:after="0"/>
        <w:tabs>
          <w:tab w:leader="none" w:pos="620" w:val="left"/>
        </w:tabs>
        <w:numPr>
          <w:ilvl w:val="0"/>
          <w:numId w:val="35"/>
        </w:numPr>
        <w:rPr>
          <w:rFonts w:ascii="Arial" w:cs="Arial" w:eastAsia="Arial" w:hAnsi="Arial"/>
          <w:sz w:val="13"/>
          <w:szCs w:val="13"/>
          <w:color w:val="auto"/>
        </w:rPr>
      </w:pPr>
      <w:r>
        <w:rPr>
          <w:rFonts w:ascii="Arial" w:cs="Arial" w:eastAsia="Arial" w:hAnsi="Arial"/>
          <w:sz w:val="13"/>
          <w:szCs w:val="13"/>
          <w:color w:val="auto"/>
        </w:rPr>
        <w:t>our past and present financial performance;</w:t>
      </w:r>
    </w:p>
    <w:p>
      <w:pPr>
        <w:spacing w:after="0" w:line="6" w:lineRule="exact"/>
        <w:rPr>
          <w:rFonts w:ascii="Arial" w:cs="Arial" w:eastAsia="Arial" w:hAnsi="Arial"/>
          <w:sz w:val="13"/>
          <w:szCs w:val="13"/>
          <w:color w:val="auto"/>
        </w:rPr>
      </w:pPr>
    </w:p>
    <w:p>
      <w:pPr>
        <w:ind w:left="620" w:hanging="309"/>
        <w:spacing w:after="0"/>
        <w:tabs>
          <w:tab w:leader="none" w:pos="620" w:val="left"/>
        </w:tabs>
        <w:numPr>
          <w:ilvl w:val="0"/>
          <w:numId w:val="35"/>
        </w:numPr>
        <w:rPr>
          <w:rFonts w:ascii="Arial" w:cs="Arial" w:eastAsia="Arial" w:hAnsi="Arial"/>
          <w:sz w:val="13"/>
          <w:szCs w:val="13"/>
          <w:color w:val="auto"/>
        </w:rPr>
      </w:pPr>
      <w:r>
        <w:rPr>
          <w:rFonts w:ascii="Arial" w:cs="Arial" w:eastAsia="Arial" w:hAnsi="Arial"/>
          <w:sz w:val="13"/>
          <w:szCs w:val="13"/>
          <w:color w:val="auto"/>
        </w:rPr>
        <w:t>our prospects for future earnings and the present state of our development;</w:t>
      </w:r>
    </w:p>
    <w:p>
      <w:pPr>
        <w:spacing w:after="0" w:line="6" w:lineRule="exact"/>
        <w:rPr>
          <w:rFonts w:ascii="Arial" w:cs="Arial" w:eastAsia="Arial" w:hAnsi="Arial"/>
          <w:sz w:val="13"/>
          <w:szCs w:val="13"/>
          <w:color w:val="auto"/>
        </w:rPr>
      </w:pPr>
    </w:p>
    <w:p>
      <w:pPr>
        <w:ind w:left="620" w:hanging="309"/>
        <w:spacing w:after="0"/>
        <w:tabs>
          <w:tab w:leader="none" w:pos="620" w:val="left"/>
        </w:tabs>
        <w:numPr>
          <w:ilvl w:val="0"/>
          <w:numId w:val="35"/>
        </w:numPr>
        <w:rPr>
          <w:rFonts w:ascii="Arial" w:cs="Arial" w:eastAsia="Arial" w:hAnsi="Arial"/>
          <w:sz w:val="13"/>
          <w:szCs w:val="13"/>
          <w:color w:val="auto"/>
        </w:rPr>
      </w:pPr>
      <w:r>
        <w:rPr>
          <w:rFonts w:ascii="Arial" w:cs="Arial" w:eastAsia="Arial" w:hAnsi="Arial"/>
          <w:sz w:val="13"/>
          <w:szCs w:val="13"/>
          <w:color w:val="auto"/>
        </w:rPr>
        <w:t>an assessment of our management;</w:t>
      </w:r>
    </w:p>
    <w:p>
      <w:pPr>
        <w:spacing w:after="0" w:line="6" w:lineRule="exact"/>
        <w:rPr>
          <w:rFonts w:ascii="Arial" w:cs="Arial" w:eastAsia="Arial" w:hAnsi="Arial"/>
          <w:sz w:val="13"/>
          <w:szCs w:val="13"/>
          <w:color w:val="auto"/>
        </w:rPr>
      </w:pPr>
    </w:p>
    <w:p>
      <w:pPr>
        <w:ind w:left="620" w:hanging="309"/>
        <w:spacing w:after="0"/>
        <w:tabs>
          <w:tab w:leader="none" w:pos="620" w:val="left"/>
        </w:tabs>
        <w:numPr>
          <w:ilvl w:val="0"/>
          <w:numId w:val="35"/>
        </w:numPr>
        <w:rPr>
          <w:rFonts w:ascii="Arial" w:cs="Arial" w:eastAsia="Arial" w:hAnsi="Arial"/>
          <w:sz w:val="13"/>
          <w:szCs w:val="13"/>
          <w:color w:val="auto"/>
        </w:rPr>
      </w:pPr>
      <w:r>
        <w:rPr>
          <w:rFonts w:ascii="Arial" w:cs="Arial" w:eastAsia="Arial" w:hAnsi="Arial"/>
          <w:sz w:val="13"/>
          <w:szCs w:val="13"/>
          <w:color w:val="auto"/>
        </w:rPr>
        <w:t>the general condition of the securities markets at the time of this offering;</w:t>
      </w:r>
    </w:p>
    <w:p>
      <w:pPr>
        <w:spacing w:after="0" w:line="6" w:lineRule="exact"/>
        <w:rPr>
          <w:rFonts w:ascii="Arial" w:cs="Arial" w:eastAsia="Arial" w:hAnsi="Arial"/>
          <w:sz w:val="13"/>
          <w:szCs w:val="13"/>
          <w:color w:val="auto"/>
        </w:rPr>
      </w:pPr>
    </w:p>
    <w:p>
      <w:pPr>
        <w:ind w:left="620" w:hanging="309"/>
        <w:spacing w:after="0"/>
        <w:tabs>
          <w:tab w:leader="none" w:pos="620" w:val="left"/>
        </w:tabs>
        <w:numPr>
          <w:ilvl w:val="0"/>
          <w:numId w:val="35"/>
        </w:numPr>
        <w:rPr>
          <w:rFonts w:ascii="Arial" w:cs="Arial" w:eastAsia="Arial" w:hAnsi="Arial"/>
          <w:sz w:val="13"/>
          <w:szCs w:val="13"/>
          <w:color w:val="auto"/>
        </w:rPr>
      </w:pPr>
      <w:r>
        <w:rPr>
          <w:rFonts w:ascii="Arial" w:cs="Arial" w:eastAsia="Arial" w:hAnsi="Arial"/>
          <w:sz w:val="13"/>
          <w:szCs w:val="13"/>
          <w:color w:val="auto"/>
        </w:rPr>
        <w:t>the recent market prices of, and demand for, publicly traded common stock of generally comparable companies; and</w:t>
      </w:r>
    </w:p>
    <w:p>
      <w:pPr>
        <w:spacing w:after="0" w:line="6" w:lineRule="exact"/>
        <w:rPr>
          <w:rFonts w:ascii="Arial" w:cs="Arial" w:eastAsia="Arial" w:hAnsi="Arial"/>
          <w:sz w:val="13"/>
          <w:szCs w:val="13"/>
          <w:color w:val="auto"/>
        </w:rPr>
      </w:pPr>
    </w:p>
    <w:p>
      <w:pPr>
        <w:ind w:left="620" w:hanging="309"/>
        <w:spacing w:after="0"/>
        <w:tabs>
          <w:tab w:leader="none" w:pos="620" w:val="left"/>
        </w:tabs>
        <w:numPr>
          <w:ilvl w:val="0"/>
          <w:numId w:val="35"/>
        </w:numPr>
        <w:rPr>
          <w:rFonts w:ascii="Arial" w:cs="Arial" w:eastAsia="Arial" w:hAnsi="Arial"/>
          <w:sz w:val="13"/>
          <w:szCs w:val="13"/>
          <w:color w:val="auto"/>
        </w:rPr>
      </w:pPr>
      <w:r>
        <w:rPr>
          <w:rFonts w:ascii="Arial" w:cs="Arial" w:eastAsia="Arial" w:hAnsi="Arial"/>
          <w:sz w:val="13"/>
          <w:szCs w:val="13"/>
          <w:color w:val="auto"/>
        </w:rPr>
        <w:t>other factors deemed relevant by Digital Offering and us.</w:t>
      </w:r>
    </w:p>
    <w:p>
      <w:pPr>
        <w:spacing w:after="0" w:line="156" w:lineRule="exact"/>
        <w:rPr>
          <w:sz w:val="20"/>
          <w:szCs w:val="20"/>
          <w:color w:val="auto"/>
        </w:rPr>
      </w:pPr>
    </w:p>
    <w:p>
      <w:pPr>
        <w:spacing w:after="0"/>
        <w:rPr>
          <w:sz w:val="20"/>
          <w:szCs w:val="20"/>
          <w:color w:val="auto"/>
        </w:rPr>
      </w:pPr>
      <w:r>
        <w:rPr>
          <w:rFonts w:ascii="Arial" w:cs="Arial" w:eastAsia="Arial" w:hAnsi="Arial"/>
          <w:sz w:val="13"/>
          <w:szCs w:val="13"/>
          <w:color w:val="auto"/>
        </w:rPr>
        <w:t>We intend to price the offering prior to its qualification pursuant to Rule 253(b).</w:t>
      </w:r>
    </w:p>
    <w:p>
      <w:pPr>
        <w:spacing w:after="0" w:line="159"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Indemnification and Control</w:t>
      </w:r>
    </w:p>
    <w:p>
      <w:pPr>
        <w:spacing w:after="0" w:line="167" w:lineRule="exact"/>
        <w:rPr>
          <w:sz w:val="20"/>
          <w:szCs w:val="20"/>
          <w:color w:val="auto"/>
        </w:rPr>
      </w:pPr>
    </w:p>
    <w:p>
      <w:pPr>
        <w:ind w:right="40"/>
        <w:spacing w:after="0" w:line="317" w:lineRule="auto"/>
        <w:rPr>
          <w:sz w:val="20"/>
          <w:szCs w:val="20"/>
          <w:color w:val="auto"/>
        </w:rPr>
      </w:pPr>
      <w:r>
        <w:rPr>
          <w:rFonts w:ascii="Arial" w:cs="Arial" w:eastAsia="Arial" w:hAnsi="Arial"/>
          <w:sz w:val="12"/>
          <w:szCs w:val="12"/>
          <w:color w:val="auto"/>
        </w:rPr>
        <w:t>We have agreed to indemnify the Lead Selling Agent, its affiliates and controlling persons and members of the selling group against certain liabilities, including liabilities under the Securities Act. If we are unable to provide this indemnification, we will contribute to the payments the Lead Selling Agent, its affiliates and controlling persons as may be required to make in respect of these liabilities.</w:t>
      </w:r>
    </w:p>
    <w:p>
      <w:pPr>
        <w:spacing w:after="0" w:line="105"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The Lead Selling Agent and its affiliates are engaged in various activities, which may include securities trading, commercial and investment banking, financial advisory, investment management, investment research, principal investment, hedging, financing and brokerage activities. The Lead Selling Agent and its affiliates may in the future perform various financial advisory and investment banking services for us, for which they received or will receive customary fees and expenses.</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Our Relationship with the Lead Selling Agent</w:t>
      </w:r>
    </w:p>
    <w:p>
      <w:pPr>
        <w:spacing w:after="0" w:line="167" w:lineRule="exact"/>
        <w:rPr>
          <w:sz w:val="20"/>
          <w:szCs w:val="20"/>
          <w:color w:val="auto"/>
        </w:rPr>
      </w:pPr>
    </w:p>
    <w:p>
      <w:pPr>
        <w:spacing w:after="0" w:line="258" w:lineRule="auto"/>
        <w:rPr>
          <w:sz w:val="20"/>
          <w:szCs w:val="20"/>
          <w:color w:val="auto"/>
        </w:rPr>
      </w:pPr>
      <w:r>
        <w:rPr>
          <w:rFonts w:ascii="Arial" w:cs="Arial" w:eastAsia="Arial" w:hAnsi="Arial"/>
          <w:sz w:val="13"/>
          <w:szCs w:val="13"/>
          <w:color w:val="auto"/>
        </w:rPr>
        <w:t>In the ordinary course of their various business activities, Digital Offering and its affiliates may make or hold a broad array of investments and actively trade debt and equity securities (or related derivative securities) and financial instruments (including bank loans) for their own account and for the accounts of their customers, and such investment and securities activities may involve securities and/or instruments of the Company. Digital Offering and its affiliates may also make investment recommendations and/or publish or express independent research views in respect of such securities or instruments, or recommend to clients that they acquire, long and/or short positions in such securities and instruments.</w:t>
      </w:r>
    </w:p>
    <w:p>
      <w:pPr>
        <w:spacing w:after="0" w:line="13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Investment Limitations if We Do Not Obtain a Listing on a National Securities Exchange</w:t>
      </w:r>
    </w:p>
    <w:p>
      <w:pPr>
        <w:spacing w:after="0" w:line="167" w:lineRule="exact"/>
        <w:rPr>
          <w:sz w:val="20"/>
          <w:szCs w:val="20"/>
          <w:color w:val="auto"/>
        </w:rPr>
      </w:pPr>
    </w:p>
    <w:p>
      <w:pPr>
        <w:ind w:right="20"/>
        <w:spacing w:after="0" w:line="274" w:lineRule="auto"/>
        <w:rPr>
          <w:sz w:val="20"/>
          <w:szCs w:val="20"/>
          <w:color w:val="auto"/>
        </w:rPr>
      </w:pPr>
      <w:r>
        <w:rPr>
          <w:rFonts w:ascii="Arial" w:cs="Arial" w:eastAsia="Arial" w:hAnsi="Arial"/>
          <w:sz w:val="13"/>
          <w:szCs w:val="13"/>
          <w:color w:val="auto"/>
        </w:rPr>
        <w:t>As set forth in Title IV of the JOBS Act, there would be no limit on how many shares an investor may purchase if this offering results in a listing of our Class A Common Stock on Nasdaq or other national securities exchange. However, our Class A Common Stock will not be listed on Nasdaq upon the initial qualification of this offering by the Commission.</w:t>
      </w:r>
    </w:p>
    <w:p>
      <w:pPr>
        <w:spacing w:after="0" w:line="284" w:lineRule="exact"/>
        <w:rPr>
          <w:sz w:val="20"/>
          <w:szCs w:val="20"/>
          <w:color w:val="auto"/>
        </w:rPr>
      </w:pPr>
    </w:p>
    <w:p>
      <w:pPr>
        <w:jc w:val="center"/>
        <w:ind w:right="-99"/>
        <w:spacing w:after="0"/>
        <w:rPr>
          <w:sz w:val="20"/>
          <w:szCs w:val="20"/>
          <w:color w:val="auto"/>
        </w:rPr>
      </w:pPr>
      <w:r>
        <w:rPr>
          <w:rFonts w:ascii="Arial" w:cs="Arial" w:eastAsia="Arial" w:hAnsi="Arial"/>
          <w:sz w:val="13"/>
          <w:szCs w:val="13"/>
          <w:color w:val="auto"/>
        </w:rPr>
        <w:t>54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20"/>
          </w:cols>
          <w:pgMar w:left="300" w:top="694" w:right="379" w:bottom="1440" w:gutter="0" w:footer="0" w:header="0"/>
        </w:sectPr>
      </w:pPr>
    </w:p>
    <w:bookmarkStart w:id="58" w:name="page59"/>
    <w:bookmarkEnd w:id="58"/>
    <w:p>
      <w:pPr>
        <w:ind w:right="80"/>
        <w:spacing w:after="0" w:line="294" w:lineRule="auto"/>
        <w:rPr>
          <w:sz w:val="20"/>
          <w:szCs w:val="20"/>
          <w:color w:val="auto"/>
        </w:rPr>
      </w:pPr>
      <w:r>
        <w:rPr>
          <w:rFonts w:ascii="Arial" w:cs="Arial" w:eastAsia="Arial" w:hAnsi="Arial"/>
          <w:sz w:val="12"/>
          <w:szCs w:val="12"/>
          <w:color w:val="auto"/>
        </w:rPr>
        <w:t xml:space="preserve">For individuals who are not accredited investors, no sale may be made to you in this offering if the aggregate purchase price you pay is more than 10% of the greater of your annual income or net worth (please see under “— Procedures for Subscribing — How to Calculate Net Worth”). Different rules apply to accredited investors and non-natural persons. Before making any representation that your investment does not exceed applicable thresholds, we encourage you to review Rule 251(d)(2)(i)(C) of Regulation A. For general information on investing, we encourage you to refer to </w:t>
      </w:r>
      <w:r>
        <w:rPr>
          <w:rFonts w:ascii="Arial" w:cs="Arial" w:eastAsia="Arial" w:hAnsi="Arial"/>
          <w:sz w:val="12"/>
          <w:szCs w:val="12"/>
          <w:i w:val="1"/>
          <w:iCs w:val="1"/>
          <w:color w:val="auto"/>
        </w:rPr>
        <w:t>www.investor.gov</w:t>
      </w:r>
      <w:r>
        <w:rPr>
          <w:rFonts w:ascii="Arial" w:cs="Arial" w:eastAsia="Arial" w:hAnsi="Arial"/>
          <w:sz w:val="12"/>
          <w:szCs w:val="12"/>
          <w:color w:val="auto"/>
        </w:rPr>
        <w:t>.</w:t>
      </w:r>
    </w:p>
    <w:p>
      <w:pPr>
        <w:spacing w:after="0" w:line="119" w:lineRule="exact"/>
        <w:rPr>
          <w:sz w:val="20"/>
          <w:szCs w:val="20"/>
          <w:color w:val="auto"/>
        </w:rPr>
      </w:pPr>
    </w:p>
    <w:p>
      <w:pPr>
        <w:spacing w:after="0" w:line="262" w:lineRule="auto"/>
        <w:rPr>
          <w:sz w:val="20"/>
          <w:szCs w:val="20"/>
          <w:color w:val="auto"/>
        </w:rPr>
      </w:pPr>
      <w:r>
        <w:rPr>
          <w:rFonts w:ascii="Arial" w:cs="Arial" w:eastAsia="Arial" w:hAnsi="Arial"/>
          <w:sz w:val="13"/>
          <w:szCs w:val="13"/>
          <w:color w:val="auto"/>
        </w:rPr>
        <w:t>Because this is a Tier 2, Regulation A offering, most investors in the case of trading on the over-the-counter markets must comply with the 10% limitation on investment in this offering. The only investors in this offering exempt from this limitation are “accredited investors” as defined under Rule 501 of Regulation D under the Securities Act (an “Accredited Investor”). If you meet one of the following tests you should qualify as an Accredited Investor:</w:t>
      </w:r>
    </w:p>
    <w:p>
      <w:pPr>
        <w:spacing w:after="0" w:line="136" w:lineRule="exact"/>
        <w:rPr>
          <w:sz w:val="20"/>
          <w:szCs w:val="20"/>
          <w:color w:val="auto"/>
        </w:rPr>
      </w:pPr>
    </w:p>
    <w:p>
      <w:pPr>
        <w:ind w:left="620" w:hanging="309"/>
        <w:spacing w:after="0" w:line="257" w:lineRule="auto"/>
        <w:tabs>
          <w:tab w:leader="none" w:pos="620" w:val="left"/>
        </w:tabs>
        <w:numPr>
          <w:ilvl w:val="0"/>
          <w:numId w:val="36"/>
        </w:numPr>
        <w:rPr>
          <w:rFonts w:ascii="Arial" w:cs="Arial" w:eastAsia="Arial" w:hAnsi="Arial"/>
          <w:sz w:val="13"/>
          <w:szCs w:val="13"/>
          <w:color w:val="auto"/>
        </w:rPr>
      </w:pPr>
      <w:r>
        <w:rPr>
          <w:rFonts w:ascii="Arial" w:cs="Arial" w:eastAsia="Arial" w:hAnsi="Arial"/>
          <w:sz w:val="13"/>
          <w:szCs w:val="13"/>
          <w:color w:val="auto"/>
        </w:rPr>
        <w:t>You are a natural person who has had individual income in excess of $200,000 in each of the two most recent years, or joint income with your spouse in excess of $300,000 in each of these years, and have a reasonable expectation of reaching the same income level in the current year;</w:t>
      </w:r>
    </w:p>
    <w:p>
      <w:pPr>
        <w:ind w:left="620" w:right="460" w:hanging="309"/>
        <w:spacing w:after="0" w:line="251" w:lineRule="auto"/>
        <w:tabs>
          <w:tab w:leader="none" w:pos="620" w:val="left"/>
        </w:tabs>
        <w:numPr>
          <w:ilvl w:val="0"/>
          <w:numId w:val="36"/>
        </w:numPr>
        <w:rPr>
          <w:rFonts w:ascii="Arial" w:cs="Arial" w:eastAsia="Arial" w:hAnsi="Arial"/>
          <w:sz w:val="13"/>
          <w:szCs w:val="13"/>
          <w:color w:val="auto"/>
        </w:rPr>
      </w:pPr>
      <w:r>
        <w:rPr>
          <w:rFonts w:ascii="Arial" w:cs="Arial" w:eastAsia="Arial" w:hAnsi="Arial"/>
          <w:sz w:val="13"/>
          <w:szCs w:val="13"/>
          <w:color w:val="auto"/>
        </w:rPr>
        <w:t>You are a natural person and your individual net worth, or joint net worth with your spouse, exceeds $1,000,000 at the time you purchase Shares (please see below under “— How to Calculate Net Worth”);</w:t>
      </w:r>
    </w:p>
    <w:p>
      <w:pPr>
        <w:ind w:left="620" w:hanging="309"/>
        <w:spacing w:after="0"/>
        <w:tabs>
          <w:tab w:leader="none" w:pos="620" w:val="left"/>
        </w:tabs>
        <w:numPr>
          <w:ilvl w:val="0"/>
          <w:numId w:val="36"/>
        </w:numPr>
        <w:rPr>
          <w:rFonts w:ascii="Arial" w:cs="Arial" w:eastAsia="Arial" w:hAnsi="Arial"/>
          <w:sz w:val="13"/>
          <w:szCs w:val="13"/>
          <w:color w:val="auto"/>
        </w:rPr>
      </w:pPr>
      <w:r>
        <w:rPr>
          <w:rFonts w:ascii="Arial" w:cs="Arial" w:eastAsia="Arial" w:hAnsi="Arial"/>
          <w:sz w:val="13"/>
          <w:szCs w:val="13"/>
          <w:color w:val="auto"/>
        </w:rPr>
        <w:t>You are an executive officer or general partner of the issuer or a director, executive officer or general partner of the general partner of the issuer;</w:t>
      </w:r>
    </w:p>
    <w:p>
      <w:pPr>
        <w:spacing w:after="0" w:line="6" w:lineRule="exact"/>
        <w:rPr>
          <w:rFonts w:ascii="Arial" w:cs="Arial" w:eastAsia="Arial" w:hAnsi="Arial"/>
          <w:sz w:val="13"/>
          <w:szCs w:val="13"/>
          <w:color w:val="auto"/>
        </w:rPr>
      </w:pPr>
    </w:p>
    <w:p>
      <w:pPr>
        <w:ind w:left="620" w:right="320" w:hanging="309"/>
        <w:spacing w:after="0" w:line="251" w:lineRule="auto"/>
        <w:tabs>
          <w:tab w:leader="none" w:pos="620" w:val="left"/>
        </w:tabs>
        <w:numPr>
          <w:ilvl w:val="0"/>
          <w:numId w:val="36"/>
        </w:numPr>
        <w:rPr>
          <w:rFonts w:ascii="Arial" w:cs="Arial" w:eastAsia="Arial" w:hAnsi="Arial"/>
          <w:sz w:val="13"/>
          <w:szCs w:val="13"/>
          <w:color w:val="auto"/>
        </w:rPr>
      </w:pPr>
      <w:r>
        <w:rPr>
          <w:rFonts w:ascii="Arial" w:cs="Arial" w:eastAsia="Arial" w:hAnsi="Arial"/>
          <w:sz w:val="13"/>
          <w:szCs w:val="13"/>
          <w:color w:val="auto"/>
        </w:rPr>
        <w:t>You are a holder in good standing of the General Securities Representative license (Series 7), the Private Securities Offerings Representative license (Series 82), and the Licensed Investment Adviser Representative (Series 65), each as issued by FINRA;</w:t>
      </w:r>
    </w:p>
    <w:p>
      <w:pPr>
        <w:ind w:left="620" w:right="60" w:hanging="309"/>
        <w:spacing w:after="0" w:line="251" w:lineRule="auto"/>
        <w:tabs>
          <w:tab w:leader="none" w:pos="620" w:val="left"/>
        </w:tabs>
        <w:numPr>
          <w:ilvl w:val="0"/>
          <w:numId w:val="36"/>
        </w:numPr>
        <w:rPr>
          <w:rFonts w:ascii="Arial" w:cs="Arial" w:eastAsia="Arial" w:hAnsi="Arial"/>
          <w:sz w:val="13"/>
          <w:szCs w:val="13"/>
          <w:color w:val="auto"/>
        </w:rPr>
      </w:pPr>
      <w:r>
        <w:rPr>
          <w:rFonts w:ascii="Arial" w:cs="Arial" w:eastAsia="Arial" w:hAnsi="Arial"/>
          <w:sz w:val="13"/>
          <w:szCs w:val="13"/>
          <w:color w:val="auto"/>
        </w:rPr>
        <w:t>You a corporation, limited liability company, partnership or are an organization described in Section 501(c)(3) of the Internal Revenue Code of 1986, as amended, a corporation or similar business trust or a partnership, not formed for the specific purpose of acquiring the Shares, with total assets in excess of $5,000,000;</w:t>
      </w:r>
    </w:p>
    <w:p>
      <w:pPr>
        <w:ind w:left="620" w:right="100" w:hanging="309"/>
        <w:spacing w:after="0" w:line="296" w:lineRule="auto"/>
        <w:tabs>
          <w:tab w:leader="none" w:pos="620" w:val="left"/>
        </w:tabs>
        <w:numPr>
          <w:ilvl w:val="0"/>
          <w:numId w:val="36"/>
        </w:numPr>
        <w:rPr>
          <w:rFonts w:ascii="Arial" w:cs="Arial" w:eastAsia="Arial" w:hAnsi="Arial"/>
          <w:sz w:val="11"/>
          <w:szCs w:val="11"/>
          <w:color w:val="auto"/>
        </w:rPr>
      </w:pPr>
      <w:r>
        <w:rPr>
          <w:rFonts w:ascii="Arial" w:cs="Arial" w:eastAsia="Arial" w:hAnsi="Arial"/>
          <w:sz w:val="11"/>
          <w:szCs w:val="11"/>
          <w:color w:val="auto"/>
        </w:rPr>
        <w:t>You are a bank or a savings and loan association or other institution as defined in the Securities Act, a broker or dealer registered pursuant to Section 15 of the Exchange Act, an insurance company as defined by the Securities Act, an investment company registered under the Investment Company Act of 1940 (the “Investment Company Act”), or a business development company as defined in that act, any Small Business Investment Company licensed by the Small Business Investment Act of 1958 or a private business development company as defined in the Investment Advisers Act of 1940;</w:t>
      </w:r>
    </w:p>
    <w:p>
      <w:pPr>
        <w:spacing w:after="0" w:line="1" w:lineRule="exact"/>
        <w:rPr>
          <w:rFonts w:ascii="Arial" w:cs="Arial" w:eastAsia="Arial" w:hAnsi="Arial"/>
          <w:sz w:val="11"/>
          <w:szCs w:val="11"/>
          <w:color w:val="auto"/>
        </w:rPr>
      </w:pPr>
    </w:p>
    <w:p>
      <w:pPr>
        <w:ind w:left="620" w:hanging="309"/>
        <w:spacing w:after="0"/>
        <w:tabs>
          <w:tab w:leader="none" w:pos="620" w:val="left"/>
        </w:tabs>
        <w:numPr>
          <w:ilvl w:val="0"/>
          <w:numId w:val="36"/>
        </w:numPr>
        <w:rPr>
          <w:rFonts w:ascii="Arial" w:cs="Arial" w:eastAsia="Arial" w:hAnsi="Arial"/>
          <w:sz w:val="13"/>
          <w:szCs w:val="13"/>
          <w:color w:val="auto"/>
        </w:rPr>
      </w:pPr>
      <w:r>
        <w:rPr>
          <w:rFonts w:ascii="Arial" w:cs="Arial" w:eastAsia="Arial" w:hAnsi="Arial"/>
          <w:sz w:val="13"/>
          <w:szCs w:val="13"/>
          <w:color w:val="auto"/>
        </w:rPr>
        <w:t>You are an entity (including an Individual Retirement Account trust) in which each equity owner is an accredited investor;</w:t>
      </w:r>
    </w:p>
    <w:p>
      <w:pPr>
        <w:spacing w:after="0" w:line="6" w:lineRule="exact"/>
        <w:rPr>
          <w:rFonts w:ascii="Arial" w:cs="Arial" w:eastAsia="Arial" w:hAnsi="Arial"/>
          <w:sz w:val="13"/>
          <w:szCs w:val="13"/>
          <w:color w:val="auto"/>
        </w:rPr>
      </w:pPr>
    </w:p>
    <w:p>
      <w:pPr>
        <w:ind w:left="620" w:right="80" w:hanging="309"/>
        <w:spacing w:after="0" w:line="251" w:lineRule="auto"/>
        <w:tabs>
          <w:tab w:leader="none" w:pos="620" w:val="left"/>
        </w:tabs>
        <w:numPr>
          <w:ilvl w:val="0"/>
          <w:numId w:val="36"/>
        </w:numPr>
        <w:rPr>
          <w:rFonts w:ascii="Arial" w:cs="Arial" w:eastAsia="Arial" w:hAnsi="Arial"/>
          <w:sz w:val="13"/>
          <w:szCs w:val="13"/>
          <w:color w:val="auto"/>
        </w:rPr>
      </w:pPr>
      <w:r>
        <w:rPr>
          <w:rFonts w:ascii="Arial" w:cs="Arial" w:eastAsia="Arial" w:hAnsi="Arial"/>
          <w:sz w:val="13"/>
          <w:szCs w:val="13"/>
          <w:color w:val="auto"/>
        </w:rPr>
        <w:t>You are a trust with total assets in excess of $5,000,000, your purchase of Shares is directed by a person who either alone or with his purchaser representative(s) (as defined in Regulation D promulgated under the Securities Act) has such knowledge and experience in financial and business matters that he is capable of evaluating the merits and risks of the prospective investment, and you were not formed for the specific purpose of investing in the Shares;</w:t>
      </w:r>
    </w:p>
    <w:p>
      <w:pPr>
        <w:ind w:left="620" w:hanging="309"/>
        <w:spacing w:after="0" w:line="251" w:lineRule="auto"/>
        <w:tabs>
          <w:tab w:leader="none" w:pos="620" w:val="left"/>
        </w:tabs>
        <w:numPr>
          <w:ilvl w:val="0"/>
          <w:numId w:val="36"/>
        </w:numPr>
        <w:rPr>
          <w:rFonts w:ascii="Arial" w:cs="Arial" w:eastAsia="Arial" w:hAnsi="Arial"/>
          <w:sz w:val="13"/>
          <w:szCs w:val="13"/>
          <w:color w:val="auto"/>
        </w:rPr>
      </w:pPr>
      <w:r>
        <w:rPr>
          <w:rFonts w:ascii="Arial" w:cs="Arial" w:eastAsia="Arial" w:hAnsi="Arial"/>
          <w:sz w:val="13"/>
          <w:szCs w:val="13"/>
          <w:color w:val="auto"/>
        </w:rPr>
        <w:t>You are a plan established and maintained by a state, its political subdivisions, or any agency or instrumentality of a state or its political subdivisions, for the benefit of its employees, if such plan has assets in excess of $5,000,000;</w:t>
      </w:r>
    </w:p>
    <w:p>
      <w:pPr>
        <w:ind w:left="620" w:hanging="309"/>
        <w:spacing w:after="0"/>
        <w:tabs>
          <w:tab w:leader="none" w:pos="620" w:val="left"/>
        </w:tabs>
        <w:numPr>
          <w:ilvl w:val="0"/>
          <w:numId w:val="36"/>
        </w:numPr>
        <w:rPr>
          <w:rFonts w:ascii="Arial" w:cs="Arial" w:eastAsia="Arial" w:hAnsi="Arial"/>
          <w:sz w:val="13"/>
          <w:szCs w:val="13"/>
          <w:color w:val="auto"/>
        </w:rPr>
      </w:pPr>
      <w:r>
        <w:rPr>
          <w:rFonts w:ascii="Arial" w:cs="Arial" w:eastAsia="Arial" w:hAnsi="Arial"/>
          <w:sz w:val="13"/>
          <w:szCs w:val="13"/>
          <w:color w:val="auto"/>
        </w:rPr>
        <w:t>You are a Commission or state-registered investment adviser or a federally exempt reporting adviser;</w:t>
      </w:r>
    </w:p>
    <w:p>
      <w:pPr>
        <w:spacing w:after="0" w:line="6" w:lineRule="exact"/>
        <w:rPr>
          <w:rFonts w:ascii="Arial" w:cs="Arial" w:eastAsia="Arial" w:hAnsi="Arial"/>
          <w:sz w:val="13"/>
          <w:szCs w:val="13"/>
          <w:color w:val="auto"/>
        </w:rPr>
      </w:pPr>
    </w:p>
    <w:p>
      <w:pPr>
        <w:ind w:left="620" w:hanging="309"/>
        <w:spacing w:after="0"/>
        <w:tabs>
          <w:tab w:leader="none" w:pos="620" w:val="left"/>
        </w:tabs>
        <w:numPr>
          <w:ilvl w:val="0"/>
          <w:numId w:val="36"/>
        </w:numPr>
        <w:rPr>
          <w:rFonts w:ascii="Arial" w:cs="Arial" w:eastAsia="Arial" w:hAnsi="Arial"/>
          <w:sz w:val="13"/>
          <w:szCs w:val="13"/>
          <w:color w:val="auto"/>
        </w:rPr>
      </w:pPr>
      <w:r>
        <w:rPr>
          <w:rFonts w:ascii="Arial" w:cs="Arial" w:eastAsia="Arial" w:hAnsi="Arial"/>
          <w:sz w:val="13"/>
          <w:szCs w:val="13"/>
          <w:color w:val="auto"/>
        </w:rPr>
        <w:t>You are a Rural Business Investment Company as defined in section 384A of the Consolidated Farm and Rural Development Act;</w:t>
      </w:r>
    </w:p>
    <w:p>
      <w:pPr>
        <w:spacing w:after="0" w:line="6" w:lineRule="exact"/>
        <w:rPr>
          <w:rFonts w:ascii="Arial" w:cs="Arial" w:eastAsia="Arial" w:hAnsi="Arial"/>
          <w:sz w:val="13"/>
          <w:szCs w:val="13"/>
          <w:color w:val="auto"/>
        </w:rPr>
      </w:pPr>
    </w:p>
    <w:p>
      <w:pPr>
        <w:ind w:left="620" w:hanging="309"/>
        <w:spacing w:after="0"/>
        <w:tabs>
          <w:tab w:leader="none" w:pos="620" w:val="left"/>
        </w:tabs>
        <w:numPr>
          <w:ilvl w:val="0"/>
          <w:numId w:val="36"/>
        </w:numPr>
        <w:rPr>
          <w:rFonts w:ascii="Arial" w:cs="Arial" w:eastAsia="Arial" w:hAnsi="Arial"/>
          <w:sz w:val="13"/>
          <w:szCs w:val="13"/>
          <w:color w:val="auto"/>
        </w:rPr>
      </w:pPr>
      <w:r>
        <w:rPr>
          <w:rFonts w:ascii="Arial" w:cs="Arial" w:eastAsia="Arial" w:hAnsi="Arial"/>
          <w:sz w:val="13"/>
          <w:szCs w:val="13"/>
          <w:color w:val="auto"/>
        </w:rPr>
        <w:t>You are an entity not listed above that that owns “investments,” in excess of $5 million and that was not formed for the specific purpose of investing in the securities offered; or</w:t>
      </w:r>
    </w:p>
    <w:p>
      <w:pPr>
        <w:spacing w:after="0" w:line="6" w:lineRule="exact"/>
        <w:rPr>
          <w:rFonts w:ascii="Arial" w:cs="Arial" w:eastAsia="Arial" w:hAnsi="Arial"/>
          <w:sz w:val="13"/>
          <w:szCs w:val="13"/>
          <w:color w:val="auto"/>
        </w:rPr>
      </w:pPr>
    </w:p>
    <w:p>
      <w:pPr>
        <w:ind w:left="620" w:right="20" w:hanging="309"/>
        <w:spacing w:after="0" w:line="254" w:lineRule="auto"/>
        <w:tabs>
          <w:tab w:leader="none" w:pos="620" w:val="left"/>
        </w:tabs>
        <w:numPr>
          <w:ilvl w:val="0"/>
          <w:numId w:val="36"/>
        </w:numPr>
        <w:rPr>
          <w:rFonts w:ascii="Arial" w:cs="Arial" w:eastAsia="Arial" w:hAnsi="Arial"/>
          <w:sz w:val="13"/>
          <w:szCs w:val="13"/>
          <w:color w:val="auto"/>
        </w:rPr>
      </w:pPr>
      <w:r>
        <w:rPr>
          <w:rFonts w:ascii="Arial" w:cs="Arial" w:eastAsia="Arial" w:hAnsi="Arial"/>
          <w:sz w:val="13"/>
          <w:szCs w:val="13"/>
          <w:color w:val="auto"/>
        </w:rPr>
        <w:t>You are an Investor certifies that (A) it is a “family office” as defined in Rule 202(a)(11)(G)-1 under the Investment Advisers Act of 1940 (i) with at least $5 million in assets under management, (ii) not formed for the specific purpose of acquiring the securities offered and (iii) whose investment is directed by a person who has such knowledge and experience in financial and business matters that such family office is capable of evaluating the merits and risks of the prospective investment or (B) that it is a “family client” as defined in Rule 202(a)(11)(G)-1, of a family office meeting the criteria specified above.</w:t>
      </w:r>
    </w:p>
    <w:p>
      <w:pPr>
        <w:spacing w:after="0" w:line="142" w:lineRule="exact"/>
        <w:rPr>
          <w:sz w:val="20"/>
          <w:szCs w:val="20"/>
          <w:color w:val="auto"/>
        </w:rPr>
      </w:pPr>
    </w:p>
    <w:p>
      <w:pPr>
        <w:spacing w:after="0"/>
        <w:rPr>
          <w:sz w:val="20"/>
          <w:szCs w:val="20"/>
          <w:color w:val="auto"/>
        </w:rPr>
      </w:pPr>
      <w:r>
        <w:rPr>
          <w:rFonts w:ascii="Arial" w:cs="Arial" w:eastAsia="Arial" w:hAnsi="Arial"/>
          <w:sz w:val="13"/>
          <w:szCs w:val="13"/>
          <w:color w:val="auto"/>
        </w:rPr>
        <w:t>This offering will start on or after the date that the offering is qualified by the Commission and will terminate on the Termination Date.</w:t>
      </w:r>
    </w:p>
    <w:p>
      <w:pPr>
        <w:spacing w:after="0" w:line="320"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55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59" w:name="page60"/>
    <w:bookmarkEnd w:id="59"/>
    <w:p>
      <w:pPr>
        <w:spacing w:after="0"/>
        <w:rPr>
          <w:sz w:val="20"/>
          <w:szCs w:val="20"/>
          <w:color w:val="auto"/>
        </w:rPr>
      </w:pPr>
      <w:r>
        <w:rPr>
          <w:rFonts w:ascii="Arial" w:cs="Arial" w:eastAsia="Arial" w:hAnsi="Arial"/>
          <w:sz w:val="13"/>
          <w:szCs w:val="13"/>
          <w:b w:val="1"/>
          <w:bCs w:val="1"/>
          <w:color w:val="auto"/>
        </w:rPr>
        <w:t>Procedures for Subscribing through Cambria Capital’s My IPO Platform</w:t>
      </w:r>
    </w:p>
    <w:p>
      <w:pPr>
        <w:spacing w:after="0" w:line="167"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Cambria Capital is a registered broker-dealer and member of FINRA and SIPC. Cambria Capital has been appointed by us and Digital Offering, as a soliciting dealer for this offering. Cambria Capital operates the My IPO platform as a separate unincorporated business division.</w:t>
      </w:r>
    </w:p>
    <w:p>
      <w:pPr>
        <w:spacing w:after="0" w:line="128" w:lineRule="exact"/>
        <w:rPr>
          <w:sz w:val="20"/>
          <w:szCs w:val="20"/>
          <w:color w:val="auto"/>
        </w:rPr>
      </w:pPr>
    </w:p>
    <w:p>
      <w:pPr>
        <w:ind w:right="80"/>
        <w:spacing w:after="0" w:line="294" w:lineRule="auto"/>
        <w:rPr>
          <w:sz w:val="20"/>
          <w:szCs w:val="20"/>
          <w:color w:val="auto"/>
        </w:rPr>
      </w:pPr>
      <w:r>
        <w:rPr>
          <w:rFonts w:ascii="Arial" w:cs="Arial" w:eastAsia="Arial" w:hAnsi="Arial"/>
          <w:sz w:val="12"/>
          <w:szCs w:val="12"/>
          <w:color w:val="auto"/>
        </w:rPr>
        <w:t>In order to subscribe to purchase the shares of Class A Common Stock through My IPO, a prospective investor must electronically complete and execute a subscription agreement and provide payment to the Wilmington Trust, N.A. escrow account (“Wilmington Trust Escrow Account”). When submitting the subscription request through My IPO, a prospective investor is required to agree to various terms and conditions by checking boxes and to review and electronically sign any necessary documents. We will not accept any subscription agreements prior to the Commission’s qualification of this offering.</w:t>
      </w:r>
    </w:p>
    <w:p>
      <w:pPr>
        <w:spacing w:after="0" w:line="119"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Escrow Account</w:t>
      </w:r>
    </w:p>
    <w:p>
      <w:pPr>
        <w:spacing w:after="0" w:line="163" w:lineRule="exact"/>
        <w:rPr>
          <w:sz w:val="20"/>
          <w:szCs w:val="20"/>
          <w:color w:val="auto"/>
        </w:rPr>
      </w:pPr>
    </w:p>
    <w:p>
      <w:pPr>
        <w:ind w:right="20"/>
        <w:spacing w:after="0" w:line="258" w:lineRule="auto"/>
        <w:rPr>
          <w:sz w:val="20"/>
          <w:szCs w:val="20"/>
          <w:color w:val="auto"/>
        </w:rPr>
      </w:pPr>
      <w:r>
        <w:rPr>
          <w:rFonts w:ascii="Arial" w:cs="Arial" w:eastAsia="Arial" w:hAnsi="Arial"/>
          <w:sz w:val="13"/>
          <w:szCs w:val="13"/>
          <w:color w:val="auto"/>
        </w:rPr>
        <w:t>Except with respect to investors who are clients of StartEngine Primary or Other Broker-Dealers (as defined below) with clearing agreements in place, investors will be required to deposit their funds to the Wilmington Trust Escrow Account. The Company intends to complete one closing of this offering. Any such funds that Wilmington Trust receives shall be held in escrow until the applicable closing of the offering or such other time as mutually agreed between the Company and Digital Offering, and then used to complete securities purchases, or returned if this offering fails to close. All subscribers will be instructed by the Company or its agents to transfer funds by wire or ACH transfer directly to the escrow account established for this offering.</w:t>
      </w:r>
    </w:p>
    <w:p>
      <w:pPr>
        <w:spacing w:after="0" w:line="13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Other Procedures for Subscribing</w:t>
      </w:r>
    </w:p>
    <w:p>
      <w:pPr>
        <w:spacing w:after="0" w:line="167" w:lineRule="exact"/>
        <w:rPr>
          <w:sz w:val="20"/>
          <w:szCs w:val="20"/>
          <w:color w:val="auto"/>
        </w:rPr>
      </w:pPr>
    </w:p>
    <w:p>
      <w:pPr>
        <w:jc w:val="both"/>
        <w:ind w:right="80"/>
        <w:spacing w:after="0" w:line="258" w:lineRule="auto"/>
        <w:rPr>
          <w:sz w:val="20"/>
          <w:szCs w:val="20"/>
          <w:color w:val="auto"/>
        </w:rPr>
      </w:pPr>
      <w:r>
        <w:rPr>
          <w:rFonts w:ascii="Arial" w:cs="Arial" w:eastAsia="Arial" w:hAnsi="Arial"/>
          <w:sz w:val="13"/>
          <w:szCs w:val="13"/>
          <w:color w:val="auto"/>
        </w:rPr>
        <w:t>Cambria Capital clears through various clearing firms as do other broker-dealers who may participate in this offering. We refer to such other broker-dealers that clear through their respective clearing firms and who may participate in this offering as Other Broker-Dealers. Other Broker-Dealers with clearing agreements shall provide the Selling Agents with executed indications and delivery sheets from their customers and shall settle the transaction with the Selling Agents through DTC on closing. In the event that the Company does not qualify or list on Nasdaq, soliciting dealers who are unable to participate in an over the counter security may withdraw their subscriptions prior to closing.</w:t>
      </w:r>
    </w:p>
    <w:p>
      <w:pPr>
        <w:spacing w:after="0" w:line="139" w:lineRule="exact"/>
        <w:rPr>
          <w:sz w:val="20"/>
          <w:szCs w:val="20"/>
          <w:color w:val="auto"/>
        </w:rPr>
      </w:pPr>
    </w:p>
    <w:p>
      <w:pPr>
        <w:ind w:right="20"/>
        <w:spacing w:after="0" w:line="256" w:lineRule="auto"/>
        <w:rPr>
          <w:sz w:val="20"/>
          <w:szCs w:val="20"/>
          <w:color w:val="auto"/>
        </w:rPr>
      </w:pPr>
      <w:r>
        <w:rPr>
          <w:rFonts w:ascii="Arial" w:cs="Arial" w:eastAsia="Arial" w:hAnsi="Arial"/>
          <w:sz w:val="13"/>
          <w:szCs w:val="13"/>
          <w:color w:val="auto"/>
        </w:rPr>
        <w:t>Prospective investors investing through Cambria Capital or Other Broker-Dealers will acquire shares of our Class A Common Stock through book-entry order by opening an account with Cambria Capital or an Other Broker-Dealer, or by utilizing an existing Cambria Capital account or account with an Other Broker-Dealer. In each such case, the account will be an account owned by the investor and held at the clearing firm of such Other Broker-Dealer, as the clearing firm for the exclusive benefit of such investor. The investor will also be required to complete and submit a subscription agreement. Subscriptions for shares of Class A Common Stock acquired through an account at Cambria Capital, or an Other Broker-Dealer are all processed online at https://form.jotform.com/212715919525056. Subscriptions will be effective only upon our acceptance, and we reserve the right to reject any subscription in whole or in part.</w:t>
      </w:r>
    </w:p>
    <w:p>
      <w:pPr>
        <w:spacing w:after="0" w:line="141" w:lineRule="exact"/>
        <w:rPr>
          <w:sz w:val="20"/>
          <w:szCs w:val="20"/>
          <w:color w:val="auto"/>
        </w:rPr>
      </w:pPr>
    </w:p>
    <w:p>
      <w:pPr>
        <w:ind w:right="80"/>
        <w:spacing w:after="0" w:line="256" w:lineRule="auto"/>
        <w:rPr>
          <w:sz w:val="20"/>
          <w:szCs w:val="20"/>
          <w:color w:val="auto"/>
        </w:rPr>
      </w:pPr>
      <w:r>
        <w:rPr>
          <w:rFonts w:ascii="Arial" w:cs="Arial" w:eastAsia="Arial" w:hAnsi="Arial"/>
          <w:sz w:val="13"/>
          <w:szCs w:val="13"/>
          <w:color w:val="auto"/>
        </w:rPr>
        <w:t>Our transfer agent is Computershare. Our transfer agent will record and maintain records of the shares of Class A Common Stock issued of record by us, including shares issued of record to the Depositary Trust Corporation, which we refer to as the DTC, or its nominee, Cede &amp; Co., for the benefit of broker-dealers, including the clearing firms. The clearing firm, as the clearing firm, will maintain the individual stockholder beneficial records for accounts at Cambria Capital or Other Broker-Dealers. All other investors that participate through the Wilmington Trust Escrow Account, shall have their shares held at Computershare in digital book entry. Such shares may be transferred to the investor’s outside brokerage account by requesting their outside broker dealer to effect such transfer. Request for transfer may only be made by the outside broker dealer of the investor.</w:t>
      </w:r>
    </w:p>
    <w:p>
      <w:pPr>
        <w:spacing w:after="0" w:line="141" w:lineRule="exact"/>
        <w:rPr>
          <w:sz w:val="20"/>
          <w:szCs w:val="20"/>
          <w:color w:val="auto"/>
        </w:rPr>
      </w:pPr>
    </w:p>
    <w:p>
      <w:pPr>
        <w:ind w:right="80"/>
        <w:spacing w:after="0" w:line="258" w:lineRule="auto"/>
        <w:rPr>
          <w:sz w:val="20"/>
          <w:szCs w:val="20"/>
          <w:color w:val="auto"/>
        </w:rPr>
      </w:pPr>
      <w:r>
        <w:rPr>
          <w:rFonts w:ascii="Arial" w:cs="Arial" w:eastAsia="Arial" w:hAnsi="Arial"/>
          <w:sz w:val="13"/>
          <w:szCs w:val="13"/>
          <w:color w:val="auto"/>
        </w:rPr>
        <w:t>You may not subscribe to this offering prior to the date this offering is qualified by the Commission, which we will refer to as the qualification date. Before the qualification date, you may only make non-binding indications of your interest to purchase securities in the offering. For any subscription agreements received after the qualification date, we have the right to review and accept or reject the subscription in whole or in part, for any reason or for no reason. If rejected, we will return all funds to the rejected investor within ten business days. If accepted, the funds will remain in the escrow account until we determine to have an initial closing of the offering and the funds in escrow will then be transferred into our general account.</w:t>
      </w:r>
    </w:p>
    <w:p>
      <w:pPr>
        <w:spacing w:after="0" w:line="139" w:lineRule="exact"/>
        <w:rPr>
          <w:sz w:val="20"/>
          <w:szCs w:val="20"/>
          <w:color w:val="auto"/>
        </w:rPr>
      </w:pPr>
    </w:p>
    <w:p>
      <w:pPr>
        <w:ind w:right="260"/>
        <w:spacing w:after="0" w:line="368" w:lineRule="auto"/>
        <w:rPr>
          <w:sz w:val="20"/>
          <w:szCs w:val="20"/>
          <w:color w:val="auto"/>
        </w:rPr>
      </w:pPr>
      <w:r>
        <w:rPr>
          <w:rFonts w:ascii="Arial" w:cs="Arial" w:eastAsia="Arial" w:hAnsi="Arial"/>
          <w:sz w:val="11"/>
          <w:szCs w:val="11"/>
          <w:color w:val="auto"/>
        </w:rPr>
        <w:t>Non-U.S. investors may participate in this offering by depositing their funds in the escrow account held at Wilmington Trust, N.A.; any such funds that Wilmington Trust receives shall be held in escrow until the applicable closing of this offering or such other time as mutually agreed between the Company and the Selling Agents, and then used to complete securities purchases, or returned if this offering fails to close.</w:t>
      </w:r>
    </w:p>
    <w:p>
      <w:pPr>
        <w:spacing w:after="0" w:line="238" w:lineRule="exact"/>
        <w:rPr>
          <w:sz w:val="20"/>
          <w:szCs w:val="20"/>
          <w:color w:val="auto"/>
        </w:rPr>
      </w:pPr>
    </w:p>
    <w:p>
      <w:pPr>
        <w:jc w:val="center"/>
        <w:ind w:right="-79"/>
        <w:spacing w:after="0"/>
        <w:rPr>
          <w:sz w:val="20"/>
          <w:szCs w:val="20"/>
          <w:color w:val="auto"/>
        </w:rPr>
      </w:pPr>
      <w:r>
        <w:rPr>
          <w:rFonts w:ascii="Arial" w:cs="Arial" w:eastAsia="Arial" w:hAnsi="Arial"/>
          <w:sz w:val="13"/>
          <w:szCs w:val="13"/>
          <w:color w:val="auto"/>
        </w:rPr>
        <w:t>56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60"/>
          </w:cols>
          <w:pgMar w:left="300" w:top="694" w:right="339" w:bottom="1440" w:gutter="0" w:footer="0" w:header="0"/>
        </w:sectPr>
      </w:pPr>
    </w:p>
    <w:bookmarkStart w:id="60" w:name="page61"/>
    <w:bookmarkEnd w:id="60"/>
    <w:p>
      <w:pPr>
        <w:spacing w:after="0"/>
        <w:rPr>
          <w:sz w:val="20"/>
          <w:szCs w:val="20"/>
          <w:color w:val="auto"/>
        </w:rPr>
      </w:pPr>
      <w:r>
        <w:rPr>
          <w:rFonts w:ascii="Arial" w:cs="Arial" w:eastAsia="Arial" w:hAnsi="Arial"/>
          <w:sz w:val="13"/>
          <w:szCs w:val="13"/>
          <w:b w:val="1"/>
          <w:bCs w:val="1"/>
          <w:i w:val="1"/>
          <w:iCs w:val="1"/>
          <w:color w:val="auto"/>
        </w:rPr>
        <w:t>StartEngine Primary, LLC</w:t>
      </w:r>
    </w:p>
    <w:p>
      <w:pPr>
        <w:spacing w:after="0" w:line="163" w:lineRule="exact"/>
        <w:rPr>
          <w:sz w:val="20"/>
          <w:szCs w:val="20"/>
          <w:color w:val="auto"/>
        </w:rPr>
      </w:pPr>
    </w:p>
    <w:p>
      <w:pPr>
        <w:ind w:right="120"/>
        <w:spacing w:after="0" w:line="262" w:lineRule="auto"/>
        <w:rPr>
          <w:sz w:val="20"/>
          <w:szCs w:val="20"/>
          <w:color w:val="auto"/>
        </w:rPr>
      </w:pPr>
      <w:r>
        <w:rPr>
          <w:rFonts w:ascii="Arial" w:cs="Arial" w:eastAsia="Arial" w:hAnsi="Arial"/>
          <w:sz w:val="13"/>
          <w:szCs w:val="13"/>
          <w:color w:val="auto"/>
        </w:rPr>
        <w:t xml:space="preserve">The Lead Selling Agent has engaged StartEngine Primary as a Selling Agent to assist in the placement of the Company’s securities in those states it is registered to undertake such activities, including soliciting potential investors on a best efforts basis. StartEngine Primary clients who desire information about the offering may find it at </w:t>
      </w:r>
      <w:r>
        <w:rPr>
          <w:rFonts w:ascii="Arial" w:cs="Arial" w:eastAsia="Arial" w:hAnsi="Arial"/>
          <w:sz w:val="13"/>
          <w:szCs w:val="13"/>
          <w:u w:val="single" w:color="auto"/>
          <w:color w:val="auto"/>
        </w:rPr>
        <w:t>www.startengine.com</w:t>
      </w:r>
      <w:r>
        <w:rPr>
          <w:rFonts w:ascii="Arial" w:cs="Arial" w:eastAsia="Arial" w:hAnsi="Arial"/>
          <w:sz w:val="13"/>
          <w:szCs w:val="13"/>
          <w:color w:val="auto"/>
        </w:rPr>
        <w:t>. This Offering Circular will be furnished to prospective investors via download 24 hours per day, 7 days per week on the startengine.com website.</w:t>
      </w:r>
    </w:p>
    <w:p>
      <w:pPr>
        <w:spacing w:after="0" w:line="136" w:lineRule="exact"/>
        <w:rPr>
          <w:sz w:val="20"/>
          <w:szCs w:val="20"/>
          <w:color w:val="auto"/>
        </w:rPr>
      </w:pPr>
    </w:p>
    <w:p>
      <w:pPr>
        <w:ind w:right="1000"/>
        <w:spacing w:after="0" w:line="274" w:lineRule="auto"/>
        <w:rPr>
          <w:sz w:val="20"/>
          <w:szCs w:val="20"/>
          <w:color w:val="auto"/>
        </w:rPr>
      </w:pPr>
      <w:r>
        <w:rPr>
          <w:rFonts w:ascii="Arial" w:cs="Arial" w:eastAsia="Arial" w:hAnsi="Arial"/>
          <w:sz w:val="13"/>
          <w:szCs w:val="13"/>
          <w:color w:val="auto"/>
        </w:rPr>
        <w:t>StartEngine Primary clients who choose to invest will be required to subscribe to the offering via an online platform provided by StartEngine Crowdfunding, Inc., an affiliate of StartEngine Primary (</w:t>
      </w:r>
      <w:r>
        <w:rPr>
          <w:rFonts w:ascii="Arial" w:cs="Arial" w:eastAsia="Arial" w:hAnsi="Arial"/>
          <w:sz w:val="13"/>
          <w:szCs w:val="13"/>
          <w:u w:val="single" w:color="auto"/>
          <w:color w:val="auto"/>
        </w:rPr>
        <w:t>www.startengine.com)</w:t>
      </w:r>
      <w:r>
        <w:rPr>
          <w:rFonts w:ascii="Arial" w:cs="Arial" w:eastAsia="Arial" w:hAnsi="Arial"/>
          <w:sz w:val="13"/>
          <w:szCs w:val="13"/>
          <w:color w:val="auto"/>
        </w:rPr>
        <w:t xml:space="preserve"> and agree to the terms of the offering, Subscription Agreement, and any other relevant exhibit attached thereto.</w:t>
      </w:r>
    </w:p>
    <w:p>
      <w:pPr>
        <w:spacing w:after="0" w:line="128" w:lineRule="exact"/>
        <w:rPr>
          <w:sz w:val="20"/>
          <w:szCs w:val="20"/>
          <w:color w:val="auto"/>
        </w:rPr>
      </w:pPr>
    </w:p>
    <w:p>
      <w:pPr>
        <w:spacing w:after="0" w:line="258" w:lineRule="auto"/>
        <w:rPr>
          <w:sz w:val="20"/>
          <w:szCs w:val="20"/>
          <w:color w:val="auto"/>
        </w:rPr>
      </w:pPr>
      <w:r>
        <w:rPr>
          <w:rFonts w:ascii="Arial" w:cs="Arial" w:eastAsia="Arial" w:hAnsi="Arial"/>
          <w:sz w:val="13"/>
          <w:szCs w:val="13"/>
          <w:color w:val="auto"/>
        </w:rPr>
        <w:t>For StartEngine Primary clients, the Company has entered into an Escrow Services Agreement with Prime Trust LLC (“Prime Trust”), Digital Offering and StartEngine Primary. Investor funds will be held by the Prime Trust escrow account pending closing or termination of the offering. All subscribers will be instructed by the Company or its agents to transfer funds by wire, credit or debit card, or ACH transfer directly to the escrow account established for this offering. The Company may terminate the offering at any time for any reason at its sole discretion. Investors should understand that acceptance of their funds into escrow does not necessarily result in their receiving shares; escrowed funds may be returned.</w:t>
      </w:r>
    </w:p>
    <w:p>
      <w:pPr>
        <w:spacing w:after="0" w:line="139" w:lineRule="exact"/>
        <w:rPr>
          <w:sz w:val="20"/>
          <w:szCs w:val="20"/>
          <w:color w:val="auto"/>
        </w:rPr>
      </w:pPr>
    </w:p>
    <w:p>
      <w:pPr>
        <w:ind w:right="40"/>
        <w:spacing w:after="0" w:line="262" w:lineRule="auto"/>
        <w:rPr>
          <w:sz w:val="20"/>
          <w:szCs w:val="20"/>
          <w:color w:val="auto"/>
        </w:rPr>
      </w:pPr>
      <w:r>
        <w:rPr>
          <w:rFonts w:ascii="Arial" w:cs="Arial" w:eastAsia="Arial" w:hAnsi="Arial"/>
          <w:sz w:val="13"/>
          <w:szCs w:val="13"/>
          <w:color w:val="auto"/>
        </w:rPr>
        <w:t>Prime Trust is not participating as an underwriter or placement agent or sales agent of this offering and will not solicit any investment in the Company, recommend the Company’s securities or provide investment advice to any prospective investor, and no communication through any medium, including any website, should be construed as such, or distribute this Offering Circular or other offering materials to investors. The use of Prime Trust’s technology should not be interpreted and is not intended as an endorsement or recommendation by it of the Company or this offering.</w:t>
      </w:r>
    </w:p>
    <w:p>
      <w:pPr>
        <w:spacing w:after="0" w:line="136" w:lineRule="exact"/>
        <w:rPr>
          <w:sz w:val="20"/>
          <w:szCs w:val="20"/>
          <w:color w:val="auto"/>
        </w:rPr>
      </w:pPr>
    </w:p>
    <w:p>
      <w:pPr>
        <w:ind w:right="120"/>
        <w:spacing w:after="0" w:line="274" w:lineRule="auto"/>
        <w:rPr>
          <w:sz w:val="20"/>
          <w:szCs w:val="20"/>
          <w:color w:val="auto"/>
        </w:rPr>
      </w:pPr>
      <w:r>
        <w:rPr>
          <w:rFonts w:ascii="Arial" w:cs="Arial" w:eastAsia="Arial" w:hAnsi="Arial"/>
          <w:sz w:val="13"/>
          <w:szCs w:val="13"/>
          <w:color w:val="auto"/>
        </w:rPr>
        <w:t>In the event that the Company terminates the offering while investor funds are held in escrow, those funds will promptly be refunded to each investor without deduction or interest and in accordance with Rule 10b-9 under the Exchange Act.</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Right to Reject Subscriptions</w:t>
      </w:r>
    </w:p>
    <w:p>
      <w:pPr>
        <w:spacing w:after="0" w:line="163" w:lineRule="exact"/>
        <w:rPr>
          <w:sz w:val="20"/>
          <w:szCs w:val="20"/>
          <w:color w:val="auto"/>
        </w:rPr>
      </w:pPr>
    </w:p>
    <w:p>
      <w:pPr>
        <w:ind w:right="100"/>
        <w:spacing w:after="0" w:line="262" w:lineRule="auto"/>
        <w:rPr>
          <w:sz w:val="20"/>
          <w:szCs w:val="20"/>
          <w:color w:val="auto"/>
        </w:rPr>
      </w:pPr>
      <w:r>
        <w:rPr>
          <w:rFonts w:ascii="Arial" w:cs="Arial" w:eastAsia="Arial" w:hAnsi="Arial"/>
          <w:sz w:val="13"/>
          <w:szCs w:val="13"/>
          <w:color w:val="auto"/>
        </w:rPr>
        <w:t>After we receive your complete, executed subscription agreement (forms of which are attached to the Offering Statement as Exhibits 4.1 and 4.2) and the funds required under the subscription agreement have been transferred to the Wilmington Trust Escrow Account or the Prime Trust escrow account, we have the right to review and accept or reject your subscription in whole or in part, for any reason or for no reason. We will return all monies from rejected subscriptions immediately to you, without interest or deduction.</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Acceptance of Subscriptions</w:t>
      </w:r>
    </w:p>
    <w:p>
      <w:pPr>
        <w:spacing w:after="0" w:line="163" w:lineRule="exact"/>
        <w:rPr>
          <w:sz w:val="20"/>
          <w:szCs w:val="20"/>
          <w:color w:val="auto"/>
        </w:rPr>
      </w:pPr>
    </w:p>
    <w:p>
      <w:pPr>
        <w:ind w:right="140"/>
        <w:spacing w:after="0" w:line="274" w:lineRule="auto"/>
        <w:rPr>
          <w:sz w:val="20"/>
          <w:szCs w:val="20"/>
          <w:color w:val="auto"/>
        </w:rPr>
      </w:pPr>
      <w:r>
        <w:rPr>
          <w:rFonts w:ascii="Arial" w:cs="Arial" w:eastAsia="Arial" w:hAnsi="Arial"/>
          <w:sz w:val="13"/>
          <w:szCs w:val="13"/>
          <w:color w:val="auto"/>
        </w:rPr>
        <w:t>Upon our acceptance of a subscription agreement, we will countersign the subscription agreement and issue the shares subscribed at closing. Once you submit the subscription agreement and it is accepted, you may not revoke or change your subscription or request your subscription funds. All accepted subscription agreements are irrevocable.</w:t>
      </w:r>
    </w:p>
    <w:p>
      <w:pPr>
        <w:spacing w:after="0" w:line="128" w:lineRule="exact"/>
        <w:rPr>
          <w:sz w:val="20"/>
          <w:szCs w:val="20"/>
          <w:color w:val="auto"/>
        </w:rPr>
      </w:pPr>
    </w:p>
    <w:p>
      <w:pPr>
        <w:ind w:right="60"/>
        <w:spacing w:after="0" w:line="262" w:lineRule="auto"/>
        <w:rPr>
          <w:sz w:val="20"/>
          <w:szCs w:val="20"/>
          <w:color w:val="auto"/>
        </w:rPr>
      </w:pPr>
      <w:r>
        <w:rPr>
          <w:rFonts w:ascii="Arial" w:cs="Arial" w:eastAsia="Arial" w:hAnsi="Arial"/>
          <w:sz w:val="13"/>
          <w:szCs w:val="13"/>
          <w:color w:val="auto"/>
        </w:rPr>
        <w:t>Under Rule 251 of Regulation A, non-accredited, non-natural person investors are subject to the investment limitation and may only invest funds which do not exceed 10% of the greater of the purchaser’s revenue or net assets (as of the purchaser’s most recent fiscal year end). As a result, non-accredited, natural person may only invest funds which do not exceed 10% of the greater of the purchaser’s annual income or net worth (please see below on how to calculate your net worth).</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How to Calculate Net Worth</w:t>
      </w:r>
    </w:p>
    <w:p>
      <w:pPr>
        <w:spacing w:after="0" w:line="167" w:lineRule="exact"/>
        <w:rPr>
          <w:sz w:val="20"/>
          <w:szCs w:val="20"/>
          <w:color w:val="auto"/>
        </w:rPr>
      </w:pPr>
    </w:p>
    <w:p>
      <w:pPr>
        <w:ind w:right="60"/>
        <w:spacing w:after="0" w:line="262" w:lineRule="auto"/>
        <w:rPr>
          <w:sz w:val="20"/>
          <w:szCs w:val="20"/>
          <w:color w:val="auto"/>
        </w:rPr>
      </w:pPr>
      <w:r>
        <w:rPr>
          <w:rFonts w:ascii="Arial" w:cs="Arial" w:eastAsia="Arial" w:hAnsi="Arial"/>
          <w:sz w:val="13"/>
          <w:szCs w:val="13"/>
          <w:color w:val="auto"/>
        </w:rPr>
        <w:t>For the purposes of calculating your net worth, it is defined as the difference between total assets and total liabilities. This calculation must exclude the value of your primary residence and may exclude any indebtedness secured by your primary residence (up to an amount equal to the value of your primary residence). In the case of fiduciary accounts, net worth and/or income suitability requirements may be satisfied by the beneficiary of the account or by the fiduciary, if the fiduciary directly or indirectly provides funds for the purchase of the shares of Class A Common Stock.</w:t>
      </w:r>
    </w:p>
    <w:p>
      <w:pPr>
        <w:spacing w:after="0" w:line="136" w:lineRule="exact"/>
        <w:rPr>
          <w:sz w:val="20"/>
          <w:szCs w:val="20"/>
          <w:color w:val="auto"/>
        </w:rPr>
      </w:pPr>
    </w:p>
    <w:p>
      <w:pPr>
        <w:ind w:right="120"/>
        <w:spacing w:after="0" w:line="274" w:lineRule="auto"/>
        <w:rPr>
          <w:sz w:val="20"/>
          <w:szCs w:val="20"/>
          <w:color w:val="auto"/>
        </w:rPr>
      </w:pPr>
      <w:r>
        <w:rPr>
          <w:rFonts w:ascii="Arial" w:cs="Arial" w:eastAsia="Arial" w:hAnsi="Arial"/>
          <w:sz w:val="13"/>
          <w:szCs w:val="13"/>
          <w:color w:val="auto"/>
        </w:rPr>
        <w:t>In order to purchase the shares of Class A Common Stock and prior to the acceptance of any funds from an investor, an investor will be required to represent, to the Company’s satisfaction, that he or she is either an accredited investor or is in compliance with the 10% of net worth or annual income limitation on investment in this offering.</w:t>
      </w:r>
    </w:p>
    <w:p>
      <w:pPr>
        <w:spacing w:after="0" w:line="128"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57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61" w:name="page62"/>
    <w:bookmarkEnd w:id="61"/>
    <w:p>
      <w:pPr>
        <w:spacing w:after="0"/>
        <w:rPr>
          <w:sz w:val="20"/>
          <w:szCs w:val="20"/>
          <w:color w:val="auto"/>
        </w:rPr>
      </w:pPr>
      <w:r>
        <w:rPr>
          <w:rFonts w:ascii="Arial" w:cs="Arial" w:eastAsia="Arial" w:hAnsi="Arial"/>
          <w:sz w:val="13"/>
          <w:szCs w:val="13"/>
          <w:b w:val="1"/>
          <w:bCs w:val="1"/>
          <w:color w:val="auto"/>
        </w:rPr>
        <w:t>DISCLOSURE OF COMMISSION POSITION ON INDEMNIFICATION FOR SECURITIES LIABILITIES</w:t>
      </w:r>
    </w:p>
    <w:p>
      <w:pPr>
        <w:spacing w:after="0" w:line="167" w:lineRule="exact"/>
        <w:rPr>
          <w:sz w:val="20"/>
          <w:szCs w:val="20"/>
          <w:color w:val="auto"/>
        </w:rPr>
      </w:pPr>
    </w:p>
    <w:p>
      <w:pPr>
        <w:spacing w:after="0" w:line="258" w:lineRule="auto"/>
        <w:rPr>
          <w:sz w:val="20"/>
          <w:szCs w:val="20"/>
          <w:color w:val="auto"/>
        </w:rPr>
      </w:pPr>
      <w:r>
        <w:rPr>
          <w:rFonts w:ascii="Arial" w:cs="Arial" w:eastAsia="Arial" w:hAnsi="Arial"/>
          <w:sz w:val="13"/>
          <w:szCs w:val="13"/>
          <w:color w:val="auto"/>
        </w:rPr>
        <w:t>Our certificate of incorporation and bylaws, subject to the provisions of Delaware law, contain provisions that allow the Company to indemnify any person against liabilities and other expenses incurred as the result of defending or administering any pending or anticipated legal issue in connection with service to us if it is determined that person acted in good faith and in a manner which he reasonably believed was in the best interest of the Company. Insofar as indemnification for liabilities arising under the Securities Act may be permitted to our director and officers, we have been advised that in the opinion of the Commission such indemnification is against public policy as expressed in the Securities Act and is, therefore, unenforceable.</w:t>
      </w:r>
    </w:p>
    <w:p>
      <w:pPr>
        <w:spacing w:after="0" w:line="13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WHERE YOU CAN FIND MORE INFORMATION</w:t>
      </w:r>
    </w:p>
    <w:p>
      <w:pPr>
        <w:spacing w:after="0" w:line="167" w:lineRule="exact"/>
        <w:rPr>
          <w:sz w:val="20"/>
          <w:szCs w:val="20"/>
          <w:color w:val="auto"/>
        </w:rPr>
      </w:pPr>
    </w:p>
    <w:p>
      <w:pPr>
        <w:jc w:val="both"/>
        <w:ind w:right="20"/>
        <w:spacing w:after="0" w:line="281" w:lineRule="auto"/>
        <w:rPr>
          <w:sz w:val="20"/>
          <w:szCs w:val="20"/>
          <w:color w:val="auto"/>
        </w:rPr>
      </w:pPr>
      <w:r>
        <w:rPr>
          <w:rFonts w:ascii="Arial" w:cs="Arial" w:eastAsia="Arial" w:hAnsi="Arial"/>
          <w:sz w:val="12"/>
          <w:szCs w:val="12"/>
          <w:color w:val="auto"/>
        </w:rPr>
        <w:t xml:space="preserve">We have filed with the Commission an Offering Statement on Form 1-A under the Securities Act with respect to the shares of Class A Common Stock that we are offering. This Offering Circular, which constitutes a part of the Offering Statement, does not contain all the information set forth in the Offering Statement or the exhibits and schedules filed with the Offering Statement. For further information about us and the Class A Common Stock, we refer you to the Offering Statement and the exhibits and schedules filed with the Offering Statement. Statements contained in this Offering Circular regarding the contents of any contract or other document that is filed as an exhibit to the Offering Statement are not necessarily complete, and each such statement is qualified in all respects by reference to the full text of such contract or other document filed as an exhibit to the Offering Statement. You can read our Commission filings, including the Offering Statement, at the Commission’s website which contains reports, proxy and information statements and other information about issuers, like us, that file electronically with the Commission. The address of the website is </w:t>
      </w:r>
      <w:r>
        <w:rPr>
          <w:rFonts w:ascii="Arial" w:cs="Arial" w:eastAsia="Arial" w:hAnsi="Arial"/>
          <w:sz w:val="12"/>
          <w:szCs w:val="12"/>
          <w:i w:val="1"/>
          <w:iCs w:val="1"/>
          <w:color w:val="auto"/>
        </w:rPr>
        <w:t>www.sec.gov</w:t>
      </w:r>
      <w:r>
        <w:rPr>
          <w:rFonts w:ascii="Arial" w:cs="Arial" w:eastAsia="Arial" w:hAnsi="Arial"/>
          <w:sz w:val="12"/>
          <w:szCs w:val="12"/>
          <w:color w:val="auto"/>
        </w:rPr>
        <w:t>.</w:t>
      </w:r>
    </w:p>
    <w:p>
      <w:pPr>
        <w:spacing w:after="0" w:line="126" w:lineRule="exact"/>
        <w:rPr>
          <w:sz w:val="20"/>
          <w:szCs w:val="20"/>
          <w:color w:val="auto"/>
        </w:rPr>
      </w:pPr>
    </w:p>
    <w:p>
      <w:pPr>
        <w:ind w:right="60"/>
        <w:spacing w:after="0" w:line="256" w:lineRule="auto"/>
        <w:rPr>
          <w:sz w:val="20"/>
          <w:szCs w:val="20"/>
          <w:color w:val="auto"/>
        </w:rPr>
      </w:pPr>
      <w:r>
        <w:rPr>
          <w:rFonts w:ascii="Arial" w:cs="Arial" w:eastAsia="Arial" w:hAnsi="Arial"/>
          <w:sz w:val="13"/>
          <w:szCs w:val="13"/>
          <w:color w:val="auto"/>
        </w:rPr>
        <w:t xml:space="preserve">Upon the consummation of this offering, we will be required to file periodic reports, proxy statements, and other information with the Commission pursuant to the Exchange Act. These periodic reports, proxy and other information will be available for inspection at the website of the Commission referred to above. You may access these materials free of charge as soon as reasonably practicable after they are filed electronically with, or furnished to, the Commission. We also maintain a website at </w:t>
      </w:r>
      <w:r>
        <w:rPr>
          <w:rFonts w:ascii="Arial" w:cs="Arial" w:eastAsia="Arial" w:hAnsi="Arial"/>
          <w:sz w:val="13"/>
          <w:szCs w:val="13"/>
          <w:i w:val="1"/>
          <w:iCs w:val="1"/>
          <w:color w:val="auto"/>
        </w:rPr>
        <w:t>www.knightscope.com</w:t>
      </w:r>
      <w:r>
        <w:rPr>
          <w:rFonts w:ascii="Arial" w:cs="Arial" w:eastAsia="Arial" w:hAnsi="Arial"/>
          <w:sz w:val="13"/>
          <w:szCs w:val="13"/>
          <w:color w:val="auto"/>
        </w:rPr>
        <w:t>. The inclusion of our website address in this Offering Circular is an inactive textual reference only. The information contained on, or that can be accessed through, our website is not incorporated by reference into, and is not a part of, this Offering Circular or the Offering Statement of which this Offering Circular forms a part. Investors should not rely on any such information in deciding whether to purchase our Class A Common Stock.</w:t>
      </w:r>
    </w:p>
    <w:p>
      <w:pPr>
        <w:spacing w:after="0" w:line="298" w:lineRule="exact"/>
        <w:rPr>
          <w:sz w:val="20"/>
          <w:szCs w:val="20"/>
          <w:color w:val="auto"/>
        </w:rPr>
      </w:pPr>
    </w:p>
    <w:p>
      <w:pPr>
        <w:jc w:val="center"/>
        <w:ind w:right="-39"/>
        <w:spacing w:after="0"/>
        <w:rPr>
          <w:sz w:val="20"/>
          <w:szCs w:val="20"/>
          <w:color w:val="auto"/>
        </w:rPr>
      </w:pPr>
      <w:r>
        <w:rPr>
          <w:rFonts w:ascii="Arial" w:cs="Arial" w:eastAsia="Arial" w:hAnsi="Arial"/>
          <w:sz w:val="13"/>
          <w:szCs w:val="13"/>
          <w:color w:val="auto"/>
        </w:rPr>
        <w:t>58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62" w:name="page63"/>
    <w:bookmarkEnd w:id="62"/>
    <w:tbl>
      <w:tblPr>
        <w:tblLayout w:type="fixed"/>
        <w:tblInd w:w="0" w:type="dxa"/>
        <w:tblCellMar>
          <w:top w:w="0" w:type="dxa"/>
          <w:left w:w="0" w:type="dxa"/>
          <w:bottom w:w="0" w:type="dxa"/>
          <w:right w:w="0" w:type="dxa"/>
        </w:tblCellMar>
      </w:tblPr>
      <w:tr>
        <w:trPr>
          <w:trHeight w:val="168"/>
        </w:trPr>
        <w:tc>
          <w:tcPr>
            <w:tcW w:w="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780" w:type="dxa"/>
            <w:vAlign w:val="bottom"/>
          </w:tcPr>
          <w:p>
            <w:pPr>
              <w:spacing w:after="0"/>
              <w:rPr>
                <w:sz w:val="14"/>
                <w:szCs w:val="14"/>
                <w:color w:val="auto"/>
              </w:rPr>
            </w:pPr>
          </w:p>
        </w:tc>
        <w:tc>
          <w:tcPr>
            <w:tcW w:w="54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700" w:type="dxa"/>
            <w:vAlign w:val="bottom"/>
          </w:tcPr>
          <w:p>
            <w:pPr>
              <w:spacing w:after="0"/>
              <w:rPr>
                <w:sz w:val="14"/>
                <w:szCs w:val="14"/>
                <w:color w:val="auto"/>
              </w:rPr>
            </w:pPr>
          </w:p>
        </w:tc>
        <w:tc>
          <w:tcPr>
            <w:tcW w:w="680" w:type="dxa"/>
            <w:vAlign w:val="bottom"/>
          </w:tcPr>
          <w:p>
            <w:pPr>
              <w:spacing w:after="0"/>
              <w:rPr>
                <w:sz w:val="14"/>
                <w:szCs w:val="14"/>
                <w:color w:val="auto"/>
              </w:rPr>
            </w:pPr>
          </w:p>
        </w:tc>
        <w:tc>
          <w:tcPr>
            <w:tcW w:w="6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6700" w:type="dxa"/>
            <w:vAlign w:val="bottom"/>
            <w:gridSpan w:val="5"/>
          </w:tcPr>
          <w:p>
            <w:pPr>
              <w:jc w:val="center"/>
              <w:ind w:right="4560"/>
              <w:spacing w:after="0"/>
              <w:rPr>
                <w:sz w:val="20"/>
                <w:szCs w:val="20"/>
                <w:color w:val="auto"/>
              </w:rPr>
            </w:pPr>
            <w:r>
              <w:rPr>
                <w:rFonts w:ascii="Arial" w:cs="Arial" w:eastAsia="Arial" w:hAnsi="Arial"/>
                <w:sz w:val="13"/>
                <w:szCs w:val="13"/>
                <w:b w:val="1"/>
                <w:bCs w:val="1"/>
                <w:color w:val="auto"/>
              </w:rPr>
              <w:t>KNIGHTSCOPE, INC.</w:t>
            </w:r>
          </w:p>
        </w:tc>
        <w:tc>
          <w:tcPr>
            <w:tcW w:w="0" w:type="dxa"/>
            <w:vAlign w:val="bottom"/>
          </w:tcPr>
          <w:p>
            <w:pPr>
              <w:spacing w:after="0"/>
              <w:rPr>
                <w:sz w:val="1"/>
                <w:szCs w:val="1"/>
                <w:color w:val="auto"/>
              </w:rPr>
            </w:pPr>
          </w:p>
        </w:tc>
      </w:tr>
      <w:tr>
        <w:trPr>
          <w:trHeight w:val="313"/>
        </w:trPr>
        <w:tc>
          <w:tcPr>
            <w:tcW w:w="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700" w:type="dxa"/>
            <w:vAlign w:val="bottom"/>
            <w:gridSpan w:val="5"/>
          </w:tcPr>
          <w:p>
            <w:pPr>
              <w:jc w:val="center"/>
              <w:ind w:right="4580"/>
              <w:spacing w:after="0"/>
              <w:rPr>
                <w:sz w:val="20"/>
                <w:szCs w:val="20"/>
                <w:color w:val="auto"/>
              </w:rPr>
            </w:pPr>
            <w:r>
              <w:rPr>
                <w:rFonts w:ascii="Arial" w:cs="Arial" w:eastAsia="Arial" w:hAnsi="Arial"/>
                <w:sz w:val="13"/>
                <w:szCs w:val="13"/>
                <w:b w:val="1"/>
                <w:bCs w:val="1"/>
                <w:color w:val="auto"/>
              </w:rPr>
              <w:t>FINANCIAL STATEMENTS</w:t>
            </w:r>
          </w:p>
        </w:tc>
        <w:tc>
          <w:tcPr>
            <w:tcW w:w="0" w:type="dxa"/>
            <w:vAlign w:val="bottom"/>
          </w:tcPr>
          <w:p>
            <w:pPr>
              <w:spacing w:after="0"/>
              <w:rPr>
                <w:sz w:val="1"/>
                <w:szCs w:val="1"/>
                <w:color w:val="auto"/>
              </w:rPr>
            </w:pPr>
          </w:p>
        </w:tc>
      </w:tr>
      <w:tr>
        <w:trPr>
          <w:trHeight w:val="313"/>
        </w:trPr>
        <w:tc>
          <w:tcPr>
            <w:tcW w:w="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700" w:type="dxa"/>
            <w:vAlign w:val="bottom"/>
            <w:gridSpan w:val="5"/>
          </w:tcPr>
          <w:p>
            <w:pPr>
              <w:jc w:val="center"/>
              <w:ind w:left="5535"/>
              <w:spacing w:after="0"/>
              <w:rPr>
                <w:sz w:val="20"/>
                <w:szCs w:val="20"/>
                <w:color w:val="auto"/>
              </w:rPr>
            </w:pPr>
            <w:r>
              <w:rPr>
                <w:rFonts w:ascii="Arial" w:cs="Arial" w:eastAsia="Arial" w:hAnsi="Arial"/>
                <w:sz w:val="13"/>
                <w:szCs w:val="13"/>
                <w:b w:val="1"/>
                <w:bCs w:val="1"/>
                <w:color w:val="auto"/>
                <w:w w:val="83"/>
              </w:rPr>
              <w:t>Page</w:t>
            </w:r>
          </w:p>
        </w:tc>
        <w:tc>
          <w:tcPr>
            <w:tcW w:w="0" w:type="dxa"/>
            <w:vAlign w:val="bottom"/>
          </w:tcPr>
          <w:p>
            <w:pPr>
              <w:spacing w:after="0"/>
              <w:rPr>
                <w:sz w:val="1"/>
                <w:szCs w:val="1"/>
                <w:color w:val="auto"/>
              </w:rPr>
            </w:pPr>
          </w:p>
        </w:tc>
      </w:tr>
      <w:tr>
        <w:trPr>
          <w:trHeight w:val="158"/>
        </w:trPr>
        <w:tc>
          <w:tcPr>
            <w:tcW w:w="20" w:type="dxa"/>
            <w:vAlign w:val="bottom"/>
            <w:vMerge w:val="restart"/>
          </w:tcPr>
          <w:p>
            <w:pPr>
              <w:spacing w:after="0"/>
              <w:rPr>
                <w:sz w:val="13"/>
                <w:szCs w:val="13"/>
                <w:color w:val="auto"/>
              </w:rPr>
            </w:pPr>
          </w:p>
        </w:tc>
        <w:tc>
          <w:tcPr>
            <w:tcW w:w="180" w:type="dxa"/>
            <w:vAlign w:val="bottom"/>
          </w:tcPr>
          <w:p>
            <w:pPr>
              <w:spacing w:after="0"/>
              <w:rPr>
                <w:sz w:val="13"/>
                <w:szCs w:val="13"/>
                <w:color w:val="auto"/>
              </w:rPr>
            </w:pPr>
          </w:p>
        </w:tc>
        <w:tc>
          <w:tcPr>
            <w:tcW w:w="78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6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602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36"/>
        </w:trPr>
        <w:tc>
          <w:tcPr>
            <w:tcW w:w="20" w:type="dxa"/>
            <w:vAlign w:val="bottom"/>
            <w:vMerge w:val="continue"/>
          </w:tcPr>
          <w:p>
            <w:pPr>
              <w:spacing w:after="0"/>
              <w:rPr>
                <w:sz w:val="11"/>
                <w:szCs w:val="11"/>
                <w:color w:val="auto"/>
              </w:rPr>
            </w:pPr>
          </w:p>
        </w:tc>
        <w:tc>
          <w:tcPr>
            <w:tcW w:w="4560" w:type="dxa"/>
            <w:vAlign w:val="bottom"/>
            <w:gridSpan w:val="13"/>
            <w:shd w:val="clear" w:color="auto" w:fill="CCEEFF"/>
          </w:tcPr>
          <w:p>
            <w:pPr>
              <w:spacing w:after="0" w:line="128" w:lineRule="exact"/>
              <w:rPr>
                <w:rFonts w:ascii="Arial" w:cs="Arial" w:eastAsia="Arial" w:hAnsi="Arial"/>
                <w:sz w:val="13"/>
                <w:szCs w:val="13"/>
                <w:color w:val="0000FF"/>
              </w:rPr>
            </w:pPr>
            <w:hyperlink w:anchor="page64">
              <w:r>
                <w:rPr>
                  <w:rFonts w:ascii="Arial" w:cs="Arial" w:eastAsia="Arial" w:hAnsi="Arial"/>
                  <w:sz w:val="13"/>
                  <w:szCs w:val="13"/>
                  <w:color w:val="0000FF"/>
                </w:rPr>
                <w:t>Report of Independent Registered Public Accounting Firm</w:t>
              </w:r>
            </w:hyperlink>
          </w:p>
        </w:tc>
        <w:tc>
          <w:tcPr>
            <w:tcW w:w="6020" w:type="dxa"/>
            <w:vAlign w:val="bottom"/>
            <w:shd w:val="clear" w:color="auto" w:fill="CCEEFF"/>
          </w:tcPr>
          <w:p>
            <w:pPr>
              <w:spacing w:after="0"/>
              <w:rPr>
                <w:sz w:val="11"/>
                <w:szCs w:val="11"/>
                <w:color w:val="auto"/>
              </w:rPr>
            </w:pPr>
          </w:p>
        </w:tc>
        <w:tc>
          <w:tcPr>
            <w:tcW w:w="680" w:type="dxa"/>
            <w:vAlign w:val="bottom"/>
            <w:gridSpan w:val="4"/>
            <w:shd w:val="clear" w:color="auto" w:fill="CCEEFF"/>
          </w:tcPr>
          <w:p>
            <w:pPr>
              <w:jc w:val="center"/>
              <w:ind w:right="420"/>
              <w:spacing w:after="0" w:line="128" w:lineRule="exact"/>
              <w:rPr>
                <w:rFonts w:ascii="Arial" w:cs="Arial" w:eastAsia="Arial" w:hAnsi="Arial"/>
                <w:sz w:val="13"/>
                <w:szCs w:val="13"/>
                <w:color w:val="0000EE"/>
                <w:w w:val="92"/>
              </w:rPr>
            </w:pPr>
            <w:hyperlink w:anchor="page64">
              <w:r>
                <w:rPr>
                  <w:rFonts w:ascii="Arial" w:cs="Arial" w:eastAsia="Arial" w:hAnsi="Arial"/>
                  <w:sz w:val="13"/>
                  <w:szCs w:val="13"/>
                  <w:color w:val="0000EE"/>
                  <w:w w:val="92"/>
                </w:rPr>
                <w:t>F-2</w:t>
              </w:r>
            </w:hyperlink>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180" w:type="dxa"/>
            <w:vAlign w:val="bottom"/>
            <w:tcBorders>
              <w:top w:val="single" w:sz="8" w:color="0000FF"/>
            </w:tcBorders>
          </w:tcPr>
          <w:p>
            <w:pPr>
              <w:spacing w:after="0"/>
              <w:rPr>
                <w:sz w:val="13"/>
                <w:szCs w:val="13"/>
                <w:color w:val="auto"/>
              </w:rPr>
            </w:pPr>
          </w:p>
        </w:tc>
        <w:tc>
          <w:tcPr>
            <w:tcW w:w="780" w:type="dxa"/>
            <w:vAlign w:val="bottom"/>
            <w:tcBorders>
              <w:top w:val="single" w:sz="8" w:color="0000FF"/>
            </w:tcBorders>
          </w:tcPr>
          <w:p>
            <w:pPr>
              <w:spacing w:after="0"/>
              <w:rPr>
                <w:sz w:val="13"/>
                <w:szCs w:val="13"/>
                <w:color w:val="auto"/>
              </w:rPr>
            </w:pPr>
          </w:p>
        </w:tc>
        <w:tc>
          <w:tcPr>
            <w:tcW w:w="5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160" w:type="dxa"/>
            <w:vAlign w:val="bottom"/>
            <w:tcBorders>
              <w:top w:val="single" w:sz="8" w:color="0000FF"/>
            </w:tcBorders>
          </w:tcPr>
          <w:p>
            <w:pPr>
              <w:spacing w:after="0"/>
              <w:rPr>
                <w:sz w:val="13"/>
                <w:szCs w:val="13"/>
                <w:color w:val="auto"/>
              </w:rPr>
            </w:pPr>
          </w:p>
        </w:tc>
        <w:tc>
          <w:tcPr>
            <w:tcW w:w="36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200" w:type="dxa"/>
            <w:vAlign w:val="bottom"/>
            <w:tcBorders>
              <w:top w:val="single" w:sz="8" w:color="0000FF"/>
            </w:tcBorders>
          </w:tcPr>
          <w:p>
            <w:pPr>
              <w:spacing w:after="0"/>
              <w:rPr>
                <w:sz w:val="13"/>
                <w:szCs w:val="13"/>
                <w:color w:val="auto"/>
              </w:rPr>
            </w:pPr>
          </w:p>
        </w:tc>
        <w:tc>
          <w:tcPr>
            <w:tcW w:w="700" w:type="dxa"/>
            <w:vAlign w:val="bottom"/>
            <w:tcBorders>
              <w:top w:val="single" w:sz="8" w:color="0000FF"/>
            </w:tcBorders>
          </w:tcPr>
          <w:p>
            <w:pPr>
              <w:spacing w:after="0"/>
              <w:rPr>
                <w:sz w:val="13"/>
                <w:szCs w:val="13"/>
                <w:color w:val="auto"/>
              </w:rPr>
            </w:pPr>
          </w:p>
        </w:tc>
        <w:tc>
          <w:tcPr>
            <w:tcW w:w="680" w:type="dxa"/>
            <w:vAlign w:val="bottom"/>
            <w:tcBorders>
              <w:top w:val="single" w:sz="8" w:color="CCEEFF"/>
            </w:tcBorders>
          </w:tcPr>
          <w:p>
            <w:pPr>
              <w:spacing w:after="0"/>
              <w:rPr>
                <w:sz w:val="13"/>
                <w:szCs w:val="13"/>
                <w:color w:val="auto"/>
              </w:rPr>
            </w:pPr>
          </w:p>
        </w:tc>
        <w:tc>
          <w:tcPr>
            <w:tcW w:w="62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6020" w:type="dxa"/>
            <w:vAlign w:val="bottom"/>
            <w:tcBorders>
              <w:top w:val="single" w:sz="8" w:color="CCEE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180" w:type="dxa"/>
            <w:vAlign w:val="bottom"/>
            <w:tcBorders>
              <w:top w:val="single" w:sz="8" w:color="0000EE"/>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420" w:type="dxa"/>
            <w:vAlign w:val="bottom"/>
            <w:tcBorders>
              <w:top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4560" w:type="dxa"/>
            <w:vAlign w:val="bottom"/>
            <w:gridSpan w:val="13"/>
            <w:shd w:val="clear" w:color="auto" w:fill="CCEEFF"/>
          </w:tcPr>
          <w:p>
            <w:pPr>
              <w:spacing w:after="0"/>
              <w:rPr>
                <w:sz w:val="20"/>
                <w:szCs w:val="20"/>
                <w:color w:val="auto"/>
              </w:rPr>
            </w:pPr>
            <w:r>
              <w:rPr>
                <w:rFonts w:ascii="Arial" w:cs="Arial" w:eastAsia="Arial" w:hAnsi="Arial"/>
                <w:sz w:val="13"/>
                <w:szCs w:val="13"/>
                <w:b w:val="1"/>
                <w:bCs w:val="1"/>
                <w:color w:val="auto"/>
              </w:rPr>
              <w:t>Financial Statements for the Years ended December 31, 2020 and 2019:</w:t>
            </w:r>
          </w:p>
        </w:tc>
        <w:tc>
          <w:tcPr>
            <w:tcW w:w="6020" w:type="dxa"/>
            <w:vAlign w:val="bottom"/>
            <w:shd w:val="clear" w:color="auto" w:fill="CCEEFF"/>
          </w:tcPr>
          <w:p>
            <w:pPr>
              <w:spacing w:after="0"/>
              <w:rPr>
                <w:sz w:val="13"/>
                <w:szCs w:val="13"/>
                <w:color w:val="auto"/>
              </w:rPr>
            </w:pPr>
          </w:p>
        </w:tc>
        <w:tc>
          <w:tcPr>
            <w:tcW w:w="4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40" w:type="dxa"/>
            <w:vAlign w:val="bottom"/>
            <w:shd w:val="clear" w:color="auto" w:fill="CCEEFF"/>
          </w:tcPr>
          <w:p>
            <w:pPr>
              <w:spacing w:after="0"/>
              <w:rPr>
                <w:sz w:val="13"/>
                <w:szCs w:val="13"/>
                <w:color w:val="auto"/>
              </w:rPr>
            </w:pPr>
          </w:p>
        </w:tc>
        <w:tc>
          <w:tcPr>
            <w:tcW w:w="42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78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6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602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36"/>
        </w:trPr>
        <w:tc>
          <w:tcPr>
            <w:tcW w:w="20" w:type="dxa"/>
            <w:vAlign w:val="bottom"/>
          </w:tcPr>
          <w:p>
            <w:pPr>
              <w:spacing w:after="0"/>
              <w:rPr>
                <w:sz w:val="11"/>
                <w:szCs w:val="11"/>
                <w:color w:val="auto"/>
              </w:rPr>
            </w:pPr>
          </w:p>
        </w:tc>
        <w:tc>
          <w:tcPr>
            <w:tcW w:w="180" w:type="dxa"/>
            <w:vAlign w:val="bottom"/>
            <w:shd w:val="clear" w:color="auto" w:fill="CCEEFF"/>
          </w:tcPr>
          <w:p>
            <w:pPr>
              <w:spacing w:after="0"/>
              <w:rPr>
                <w:sz w:val="11"/>
                <w:szCs w:val="11"/>
                <w:color w:val="auto"/>
              </w:rPr>
            </w:pPr>
          </w:p>
        </w:tc>
        <w:tc>
          <w:tcPr>
            <w:tcW w:w="4380" w:type="dxa"/>
            <w:vAlign w:val="bottom"/>
            <w:gridSpan w:val="12"/>
            <w:shd w:val="clear" w:color="auto" w:fill="CCEEFF"/>
          </w:tcPr>
          <w:p>
            <w:pPr>
              <w:spacing w:after="0" w:line="128" w:lineRule="exact"/>
              <w:rPr>
                <w:rFonts w:ascii="Arial" w:cs="Arial" w:eastAsia="Arial" w:hAnsi="Arial"/>
                <w:sz w:val="13"/>
                <w:szCs w:val="13"/>
                <w:color w:val="0000FF"/>
              </w:rPr>
            </w:pPr>
            <w:hyperlink w:anchor="page65">
              <w:r>
                <w:rPr>
                  <w:rFonts w:ascii="Arial" w:cs="Arial" w:eastAsia="Arial" w:hAnsi="Arial"/>
                  <w:sz w:val="13"/>
                  <w:szCs w:val="13"/>
                  <w:color w:val="0000FF"/>
                </w:rPr>
                <w:t>Balance Sheets</w:t>
              </w:r>
            </w:hyperlink>
          </w:p>
        </w:tc>
        <w:tc>
          <w:tcPr>
            <w:tcW w:w="6020" w:type="dxa"/>
            <w:vAlign w:val="bottom"/>
            <w:shd w:val="clear" w:color="auto" w:fill="CCEEFF"/>
          </w:tcPr>
          <w:p>
            <w:pPr>
              <w:spacing w:after="0"/>
              <w:rPr>
                <w:sz w:val="11"/>
                <w:szCs w:val="11"/>
                <w:color w:val="auto"/>
              </w:rPr>
            </w:pPr>
          </w:p>
        </w:tc>
        <w:tc>
          <w:tcPr>
            <w:tcW w:w="680" w:type="dxa"/>
            <w:vAlign w:val="bottom"/>
            <w:gridSpan w:val="4"/>
            <w:shd w:val="clear" w:color="auto" w:fill="CCEEFF"/>
          </w:tcPr>
          <w:p>
            <w:pPr>
              <w:jc w:val="center"/>
              <w:ind w:right="420"/>
              <w:spacing w:after="0" w:line="128" w:lineRule="exact"/>
              <w:rPr>
                <w:rFonts w:ascii="Arial" w:cs="Arial" w:eastAsia="Arial" w:hAnsi="Arial"/>
                <w:sz w:val="13"/>
                <w:szCs w:val="13"/>
                <w:color w:val="0000EE"/>
                <w:w w:val="92"/>
              </w:rPr>
            </w:pPr>
            <w:hyperlink w:anchor="page65">
              <w:r>
                <w:rPr>
                  <w:rFonts w:ascii="Arial" w:cs="Arial" w:eastAsia="Arial" w:hAnsi="Arial"/>
                  <w:sz w:val="13"/>
                  <w:szCs w:val="13"/>
                  <w:color w:val="0000EE"/>
                  <w:w w:val="92"/>
                </w:rPr>
                <w:t>F-3</w:t>
              </w:r>
            </w:hyperlink>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180" w:type="dxa"/>
            <w:vAlign w:val="bottom"/>
            <w:tcBorders>
              <w:top w:val="single" w:sz="8" w:color="CCEEFF"/>
            </w:tcBorders>
          </w:tcPr>
          <w:p>
            <w:pPr>
              <w:spacing w:after="0"/>
              <w:rPr>
                <w:sz w:val="13"/>
                <w:szCs w:val="13"/>
                <w:color w:val="auto"/>
              </w:rPr>
            </w:pPr>
          </w:p>
        </w:tc>
        <w:tc>
          <w:tcPr>
            <w:tcW w:w="780" w:type="dxa"/>
            <w:vAlign w:val="bottom"/>
            <w:tcBorders>
              <w:top w:val="single" w:sz="8" w:color="0000FF"/>
            </w:tcBorders>
          </w:tcPr>
          <w:p>
            <w:pPr>
              <w:spacing w:after="0"/>
              <w:rPr>
                <w:sz w:val="13"/>
                <w:szCs w:val="13"/>
                <w:color w:val="auto"/>
              </w:rPr>
            </w:pPr>
          </w:p>
        </w:tc>
        <w:tc>
          <w:tcPr>
            <w:tcW w:w="540" w:type="dxa"/>
            <w:vAlign w:val="bottom"/>
            <w:tcBorders>
              <w:top w:val="single" w:sz="8" w:color="CCEE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160" w:type="dxa"/>
            <w:vAlign w:val="bottom"/>
            <w:tcBorders>
              <w:top w:val="single" w:sz="8" w:color="CCEEFF"/>
            </w:tcBorders>
          </w:tcPr>
          <w:p>
            <w:pPr>
              <w:spacing w:after="0"/>
              <w:rPr>
                <w:sz w:val="13"/>
                <w:szCs w:val="13"/>
                <w:color w:val="auto"/>
              </w:rPr>
            </w:pPr>
          </w:p>
        </w:tc>
        <w:tc>
          <w:tcPr>
            <w:tcW w:w="360" w:type="dxa"/>
            <w:vAlign w:val="bottom"/>
            <w:tcBorders>
              <w:top w:val="single" w:sz="8" w:color="CCEE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200" w:type="dxa"/>
            <w:vAlign w:val="bottom"/>
            <w:tcBorders>
              <w:top w:val="single" w:sz="8" w:color="CCEEFF"/>
            </w:tcBorders>
          </w:tcPr>
          <w:p>
            <w:pPr>
              <w:spacing w:after="0"/>
              <w:rPr>
                <w:sz w:val="13"/>
                <w:szCs w:val="13"/>
                <w:color w:val="auto"/>
              </w:rPr>
            </w:pPr>
          </w:p>
        </w:tc>
        <w:tc>
          <w:tcPr>
            <w:tcW w:w="700" w:type="dxa"/>
            <w:vAlign w:val="bottom"/>
            <w:tcBorders>
              <w:top w:val="single" w:sz="8" w:color="CCEEFF"/>
            </w:tcBorders>
          </w:tcPr>
          <w:p>
            <w:pPr>
              <w:spacing w:after="0"/>
              <w:rPr>
                <w:sz w:val="13"/>
                <w:szCs w:val="13"/>
                <w:color w:val="auto"/>
              </w:rPr>
            </w:pPr>
          </w:p>
        </w:tc>
        <w:tc>
          <w:tcPr>
            <w:tcW w:w="680" w:type="dxa"/>
            <w:vAlign w:val="bottom"/>
            <w:tcBorders>
              <w:top w:val="single" w:sz="8" w:color="CCEEFF"/>
            </w:tcBorders>
          </w:tcPr>
          <w:p>
            <w:pPr>
              <w:spacing w:after="0"/>
              <w:rPr>
                <w:sz w:val="13"/>
                <w:szCs w:val="13"/>
                <w:color w:val="auto"/>
              </w:rPr>
            </w:pPr>
          </w:p>
        </w:tc>
        <w:tc>
          <w:tcPr>
            <w:tcW w:w="62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6020" w:type="dxa"/>
            <w:vAlign w:val="bottom"/>
            <w:tcBorders>
              <w:top w:val="single" w:sz="8" w:color="CCEE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180" w:type="dxa"/>
            <w:vAlign w:val="bottom"/>
            <w:tcBorders>
              <w:top w:val="single" w:sz="8" w:color="0000EE"/>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420" w:type="dxa"/>
            <w:vAlign w:val="bottom"/>
            <w:tcBorders>
              <w:top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36"/>
        </w:trPr>
        <w:tc>
          <w:tcPr>
            <w:tcW w:w="20" w:type="dxa"/>
            <w:vAlign w:val="bottom"/>
          </w:tcPr>
          <w:p>
            <w:pPr>
              <w:spacing w:after="0"/>
              <w:rPr>
                <w:sz w:val="11"/>
                <w:szCs w:val="11"/>
                <w:color w:val="auto"/>
              </w:rPr>
            </w:pPr>
          </w:p>
        </w:tc>
        <w:tc>
          <w:tcPr>
            <w:tcW w:w="180" w:type="dxa"/>
            <w:vAlign w:val="bottom"/>
            <w:shd w:val="clear" w:color="auto" w:fill="CCEEFF"/>
          </w:tcPr>
          <w:p>
            <w:pPr>
              <w:spacing w:after="0"/>
              <w:rPr>
                <w:sz w:val="11"/>
                <w:szCs w:val="11"/>
                <w:color w:val="auto"/>
              </w:rPr>
            </w:pPr>
          </w:p>
        </w:tc>
        <w:tc>
          <w:tcPr>
            <w:tcW w:w="4380" w:type="dxa"/>
            <w:vAlign w:val="bottom"/>
            <w:gridSpan w:val="12"/>
            <w:shd w:val="clear" w:color="auto" w:fill="CCEEFF"/>
          </w:tcPr>
          <w:p>
            <w:pPr>
              <w:spacing w:after="0" w:line="128" w:lineRule="exact"/>
              <w:rPr>
                <w:rFonts w:ascii="Arial" w:cs="Arial" w:eastAsia="Arial" w:hAnsi="Arial"/>
                <w:sz w:val="13"/>
                <w:szCs w:val="13"/>
                <w:color w:val="0000FF"/>
              </w:rPr>
            </w:pPr>
            <w:hyperlink w:anchor="page66">
              <w:r>
                <w:rPr>
                  <w:rFonts w:ascii="Arial" w:cs="Arial" w:eastAsia="Arial" w:hAnsi="Arial"/>
                  <w:sz w:val="13"/>
                  <w:szCs w:val="13"/>
                  <w:color w:val="0000FF"/>
                </w:rPr>
                <w:t>Statements of Operations</w:t>
              </w:r>
            </w:hyperlink>
          </w:p>
        </w:tc>
        <w:tc>
          <w:tcPr>
            <w:tcW w:w="6020" w:type="dxa"/>
            <w:vAlign w:val="bottom"/>
            <w:shd w:val="clear" w:color="auto" w:fill="CCEEFF"/>
          </w:tcPr>
          <w:p>
            <w:pPr>
              <w:spacing w:after="0"/>
              <w:rPr>
                <w:sz w:val="11"/>
                <w:szCs w:val="11"/>
                <w:color w:val="auto"/>
              </w:rPr>
            </w:pPr>
          </w:p>
        </w:tc>
        <w:tc>
          <w:tcPr>
            <w:tcW w:w="680" w:type="dxa"/>
            <w:vAlign w:val="bottom"/>
            <w:gridSpan w:val="4"/>
            <w:shd w:val="clear" w:color="auto" w:fill="CCEEFF"/>
          </w:tcPr>
          <w:p>
            <w:pPr>
              <w:jc w:val="center"/>
              <w:ind w:right="420"/>
              <w:spacing w:after="0" w:line="128" w:lineRule="exact"/>
              <w:rPr>
                <w:rFonts w:ascii="Arial" w:cs="Arial" w:eastAsia="Arial" w:hAnsi="Arial"/>
                <w:sz w:val="13"/>
                <w:szCs w:val="13"/>
                <w:color w:val="0000EE"/>
                <w:w w:val="92"/>
              </w:rPr>
            </w:pPr>
            <w:hyperlink w:anchor="page66">
              <w:r>
                <w:rPr>
                  <w:rFonts w:ascii="Arial" w:cs="Arial" w:eastAsia="Arial" w:hAnsi="Arial"/>
                  <w:sz w:val="13"/>
                  <w:szCs w:val="13"/>
                  <w:color w:val="0000EE"/>
                  <w:w w:val="92"/>
                </w:rPr>
                <w:t>F-4</w:t>
              </w:r>
            </w:hyperlink>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180" w:type="dxa"/>
            <w:vAlign w:val="bottom"/>
            <w:tcBorders>
              <w:top w:val="single" w:sz="8" w:color="CCEEFF"/>
            </w:tcBorders>
          </w:tcPr>
          <w:p>
            <w:pPr>
              <w:spacing w:after="0"/>
              <w:rPr>
                <w:sz w:val="13"/>
                <w:szCs w:val="13"/>
                <w:color w:val="auto"/>
              </w:rPr>
            </w:pPr>
          </w:p>
        </w:tc>
        <w:tc>
          <w:tcPr>
            <w:tcW w:w="780" w:type="dxa"/>
            <w:vAlign w:val="bottom"/>
            <w:tcBorders>
              <w:top w:val="single" w:sz="8" w:color="0000FF"/>
            </w:tcBorders>
          </w:tcPr>
          <w:p>
            <w:pPr>
              <w:spacing w:after="0"/>
              <w:rPr>
                <w:sz w:val="13"/>
                <w:szCs w:val="13"/>
                <w:color w:val="auto"/>
              </w:rPr>
            </w:pPr>
          </w:p>
        </w:tc>
        <w:tc>
          <w:tcPr>
            <w:tcW w:w="540" w:type="dxa"/>
            <w:vAlign w:val="bottom"/>
            <w:tcBorders>
              <w:top w:val="single" w:sz="8" w:color="0000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160" w:type="dxa"/>
            <w:vAlign w:val="bottom"/>
            <w:tcBorders>
              <w:top w:val="single" w:sz="8" w:color="CCEEFF"/>
            </w:tcBorders>
          </w:tcPr>
          <w:p>
            <w:pPr>
              <w:spacing w:after="0"/>
              <w:rPr>
                <w:sz w:val="13"/>
                <w:szCs w:val="13"/>
                <w:color w:val="auto"/>
              </w:rPr>
            </w:pPr>
          </w:p>
        </w:tc>
        <w:tc>
          <w:tcPr>
            <w:tcW w:w="360" w:type="dxa"/>
            <w:vAlign w:val="bottom"/>
            <w:tcBorders>
              <w:top w:val="single" w:sz="8" w:color="CCEE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200" w:type="dxa"/>
            <w:vAlign w:val="bottom"/>
            <w:tcBorders>
              <w:top w:val="single" w:sz="8" w:color="CCEEFF"/>
            </w:tcBorders>
          </w:tcPr>
          <w:p>
            <w:pPr>
              <w:spacing w:after="0"/>
              <w:rPr>
                <w:sz w:val="13"/>
                <w:szCs w:val="13"/>
                <w:color w:val="auto"/>
              </w:rPr>
            </w:pPr>
          </w:p>
        </w:tc>
        <w:tc>
          <w:tcPr>
            <w:tcW w:w="700" w:type="dxa"/>
            <w:vAlign w:val="bottom"/>
            <w:tcBorders>
              <w:top w:val="single" w:sz="8" w:color="CCEEFF"/>
            </w:tcBorders>
          </w:tcPr>
          <w:p>
            <w:pPr>
              <w:spacing w:after="0"/>
              <w:rPr>
                <w:sz w:val="13"/>
                <w:szCs w:val="13"/>
                <w:color w:val="auto"/>
              </w:rPr>
            </w:pPr>
          </w:p>
        </w:tc>
        <w:tc>
          <w:tcPr>
            <w:tcW w:w="680" w:type="dxa"/>
            <w:vAlign w:val="bottom"/>
            <w:tcBorders>
              <w:top w:val="single" w:sz="8" w:color="CCEEFF"/>
            </w:tcBorders>
          </w:tcPr>
          <w:p>
            <w:pPr>
              <w:spacing w:after="0"/>
              <w:rPr>
                <w:sz w:val="13"/>
                <w:szCs w:val="13"/>
                <w:color w:val="auto"/>
              </w:rPr>
            </w:pPr>
          </w:p>
        </w:tc>
        <w:tc>
          <w:tcPr>
            <w:tcW w:w="62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6020" w:type="dxa"/>
            <w:vAlign w:val="bottom"/>
            <w:tcBorders>
              <w:top w:val="single" w:sz="8" w:color="CCEE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180" w:type="dxa"/>
            <w:vAlign w:val="bottom"/>
            <w:tcBorders>
              <w:top w:val="single" w:sz="8" w:color="0000EE"/>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420" w:type="dxa"/>
            <w:vAlign w:val="bottom"/>
            <w:tcBorders>
              <w:top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36"/>
        </w:trPr>
        <w:tc>
          <w:tcPr>
            <w:tcW w:w="20" w:type="dxa"/>
            <w:vAlign w:val="bottom"/>
          </w:tcPr>
          <w:p>
            <w:pPr>
              <w:spacing w:after="0"/>
              <w:rPr>
                <w:sz w:val="11"/>
                <w:szCs w:val="11"/>
                <w:color w:val="auto"/>
              </w:rPr>
            </w:pPr>
          </w:p>
        </w:tc>
        <w:tc>
          <w:tcPr>
            <w:tcW w:w="180" w:type="dxa"/>
            <w:vAlign w:val="bottom"/>
            <w:shd w:val="clear" w:color="auto" w:fill="CCEEFF"/>
          </w:tcPr>
          <w:p>
            <w:pPr>
              <w:spacing w:after="0"/>
              <w:rPr>
                <w:sz w:val="11"/>
                <w:szCs w:val="11"/>
                <w:color w:val="auto"/>
              </w:rPr>
            </w:pPr>
          </w:p>
        </w:tc>
        <w:tc>
          <w:tcPr>
            <w:tcW w:w="4380" w:type="dxa"/>
            <w:vAlign w:val="bottom"/>
            <w:gridSpan w:val="12"/>
            <w:shd w:val="clear" w:color="auto" w:fill="CCEEFF"/>
          </w:tcPr>
          <w:p>
            <w:pPr>
              <w:spacing w:after="0" w:line="128" w:lineRule="exact"/>
              <w:rPr>
                <w:rFonts w:ascii="Arial" w:cs="Arial" w:eastAsia="Arial" w:hAnsi="Arial"/>
                <w:sz w:val="13"/>
                <w:szCs w:val="13"/>
                <w:color w:val="0000FF"/>
              </w:rPr>
            </w:pPr>
            <w:hyperlink w:anchor="page67">
              <w:r>
                <w:rPr>
                  <w:rFonts w:ascii="Arial" w:cs="Arial" w:eastAsia="Arial" w:hAnsi="Arial"/>
                  <w:sz w:val="13"/>
                  <w:szCs w:val="13"/>
                  <w:color w:val="0000FF"/>
                </w:rPr>
                <w:t>Statements of Cash Flows</w:t>
              </w:r>
            </w:hyperlink>
          </w:p>
        </w:tc>
        <w:tc>
          <w:tcPr>
            <w:tcW w:w="6020" w:type="dxa"/>
            <w:vAlign w:val="bottom"/>
            <w:shd w:val="clear" w:color="auto" w:fill="CCEEFF"/>
          </w:tcPr>
          <w:p>
            <w:pPr>
              <w:spacing w:after="0"/>
              <w:rPr>
                <w:sz w:val="11"/>
                <w:szCs w:val="11"/>
                <w:color w:val="auto"/>
              </w:rPr>
            </w:pPr>
          </w:p>
        </w:tc>
        <w:tc>
          <w:tcPr>
            <w:tcW w:w="680" w:type="dxa"/>
            <w:vAlign w:val="bottom"/>
            <w:gridSpan w:val="4"/>
            <w:shd w:val="clear" w:color="auto" w:fill="CCEEFF"/>
          </w:tcPr>
          <w:p>
            <w:pPr>
              <w:jc w:val="center"/>
              <w:ind w:right="420"/>
              <w:spacing w:after="0" w:line="128" w:lineRule="exact"/>
              <w:rPr>
                <w:rFonts w:ascii="Arial" w:cs="Arial" w:eastAsia="Arial" w:hAnsi="Arial"/>
                <w:sz w:val="13"/>
                <w:szCs w:val="13"/>
                <w:color w:val="0000EE"/>
                <w:w w:val="92"/>
              </w:rPr>
            </w:pPr>
            <w:hyperlink w:anchor="page67">
              <w:r>
                <w:rPr>
                  <w:rFonts w:ascii="Arial" w:cs="Arial" w:eastAsia="Arial" w:hAnsi="Arial"/>
                  <w:sz w:val="13"/>
                  <w:szCs w:val="13"/>
                  <w:color w:val="0000EE"/>
                  <w:w w:val="92"/>
                </w:rPr>
                <w:t>F-5</w:t>
              </w:r>
            </w:hyperlink>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180" w:type="dxa"/>
            <w:vAlign w:val="bottom"/>
            <w:tcBorders>
              <w:top w:val="single" w:sz="8" w:color="CCEEFF"/>
            </w:tcBorders>
          </w:tcPr>
          <w:p>
            <w:pPr>
              <w:spacing w:after="0"/>
              <w:rPr>
                <w:sz w:val="13"/>
                <w:szCs w:val="13"/>
                <w:color w:val="auto"/>
              </w:rPr>
            </w:pPr>
          </w:p>
        </w:tc>
        <w:tc>
          <w:tcPr>
            <w:tcW w:w="780" w:type="dxa"/>
            <w:vAlign w:val="bottom"/>
            <w:tcBorders>
              <w:top w:val="single" w:sz="8" w:color="0000FF"/>
            </w:tcBorders>
          </w:tcPr>
          <w:p>
            <w:pPr>
              <w:spacing w:after="0"/>
              <w:rPr>
                <w:sz w:val="13"/>
                <w:szCs w:val="13"/>
                <w:color w:val="auto"/>
              </w:rPr>
            </w:pPr>
          </w:p>
        </w:tc>
        <w:tc>
          <w:tcPr>
            <w:tcW w:w="5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160" w:type="dxa"/>
            <w:vAlign w:val="bottom"/>
            <w:tcBorders>
              <w:top w:val="single" w:sz="8" w:color="CCEEFF"/>
            </w:tcBorders>
          </w:tcPr>
          <w:p>
            <w:pPr>
              <w:spacing w:after="0"/>
              <w:rPr>
                <w:sz w:val="13"/>
                <w:szCs w:val="13"/>
                <w:color w:val="auto"/>
              </w:rPr>
            </w:pPr>
          </w:p>
        </w:tc>
        <w:tc>
          <w:tcPr>
            <w:tcW w:w="360" w:type="dxa"/>
            <w:vAlign w:val="bottom"/>
            <w:tcBorders>
              <w:top w:val="single" w:sz="8" w:color="CCEE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200" w:type="dxa"/>
            <w:vAlign w:val="bottom"/>
            <w:tcBorders>
              <w:top w:val="single" w:sz="8" w:color="CCEEFF"/>
            </w:tcBorders>
          </w:tcPr>
          <w:p>
            <w:pPr>
              <w:spacing w:after="0"/>
              <w:rPr>
                <w:sz w:val="13"/>
                <w:szCs w:val="13"/>
                <w:color w:val="auto"/>
              </w:rPr>
            </w:pPr>
          </w:p>
        </w:tc>
        <w:tc>
          <w:tcPr>
            <w:tcW w:w="700" w:type="dxa"/>
            <w:vAlign w:val="bottom"/>
            <w:tcBorders>
              <w:top w:val="single" w:sz="8" w:color="CCEEFF"/>
            </w:tcBorders>
          </w:tcPr>
          <w:p>
            <w:pPr>
              <w:spacing w:after="0"/>
              <w:rPr>
                <w:sz w:val="13"/>
                <w:szCs w:val="13"/>
                <w:color w:val="auto"/>
              </w:rPr>
            </w:pPr>
          </w:p>
        </w:tc>
        <w:tc>
          <w:tcPr>
            <w:tcW w:w="680" w:type="dxa"/>
            <w:vAlign w:val="bottom"/>
            <w:tcBorders>
              <w:top w:val="single" w:sz="8" w:color="CCEEFF"/>
            </w:tcBorders>
          </w:tcPr>
          <w:p>
            <w:pPr>
              <w:spacing w:after="0"/>
              <w:rPr>
                <w:sz w:val="13"/>
                <w:szCs w:val="13"/>
                <w:color w:val="auto"/>
              </w:rPr>
            </w:pPr>
          </w:p>
        </w:tc>
        <w:tc>
          <w:tcPr>
            <w:tcW w:w="62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6020" w:type="dxa"/>
            <w:vAlign w:val="bottom"/>
            <w:tcBorders>
              <w:top w:val="single" w:sz="8" w:color="CCEE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180" w:type="dxa"/>
            <w:vAlign w:val="bottom"/>
            <w:tcBorders>
              <w:top w:val="single" w:sz="8" w:color="0000EE"/>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420" w:type="dxa"/>
            <w:vAlign w:val="bottom"/>
            <w:tcBorders>
              <w:top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36"/>
        </w:trPr>
        <w:tc>
          <w:tcPr>
            <w:tcW w:w="20" w:type="dxa"/>
            <w:vAlign w:val="bottom"/>
          </w:tcPr>
          <w:p>
            <w:pPr>
              <w:spacing w:after="0"/>
              <w:rPr>
                <w:sz w:val="11"/>
                <w:szCs w:val="11"/>
                <w:color w:val="auto"/>
              </w:rPr>
            </w:pPr>
          </w:p>
        </w:tc>
        <w:tc>
          <w:tcPr>
            <w:tcW w:w="180" w:type="dxa"/>
            <w:vAlign w:val="bottom"/>
            <w:shd w:val="clear" w:color="auto" w:fill="CCEEFF"/>
          </w:tcPr>
          <w:p>
            <w:pPr>
              <w:spacing w:after="0"/>
              <w:rPr>
                <w:sz w:val="11"/>
                <w:szCs w:val="11"/>
                <w:color w:val="auto"/>
              </w:rPr>
            </w:pPr>
          </w:p>
        </w:tc>
        <w:tc>
          <w:tcPr>
            <w:tcW w:w="4380" w:type="dxa"/>
            <w:vAlign w:val="bottom"/>
            <w:gridSpan w:val="12"/>
            <w:shd w:val="clear" w:color="auto" w:fill="CCEEFF"/>
          </w:tcPr>
          <w:p>
            <w:pPr>
              <w:spacing w:after="0" w:line="128" w:lineRule="exact"/>
              <w:rPr>
                <w:rFonts w:ascii="Arial" w:cs="Arial" w:eastAsia="Arial" w:hAnsi="Arial"/>
                <w:sz w:val="13"/>
                <w:szCs w:val="13"/>
                <w:color w:val="0000FF"/>
              </w:rPr>
            </w:pPr>
            <w:hyperlink w:anchor="page68">
              <w:r>
                <w:rPr>
                  <w:rFonts w:ascii="Arial" w:cs="Arial" w:eastAsia="Arial" w:hAnsi="Arial"/>
                  <w:sz w:val="13"/>
                  <w:szCs w:val="13"/>
                  <w:color w:val="0000FF"/>
                </w:rPr>
                <w:t>Statements of Preferred Stock and Changes in Stockholders’ Deficit</w:t>
              </w:r>
            </w:hyperlink>
          </w:p>
        </w:tc>
        <w:tc>
          <w:tcPr>
            <w:tcW w:w="6020" w:type="dxa"/>
            <w:vAlign w:val="bottom"/>
            <w:shd w:val="clear" w:color="auto" w:fill="CCEEFF"/>
          </w:tcPr>
          <w:p>
            <w:pPr>
              <w:spacing w:after="0"/>
              <w:rPr>
                <w:sz w:val="11"/>
                <w:szCs w:val="11"/>
                <w:color w:val="auto"/>
              </w:rPr>
            </w:pPr>
          </w:p>
        </w:tc>
        <w:tc>
          <w:tcPr>
            <w:tcW w:w="680" w:type="dxa"/>
            <w:vAlign w:val="bottom"/>
            <w:gridSpan w:val="4"/>
            <w:shd w:val="clear" w:color="auto" w:fill="CCEEFF"/>
          </w:tcPr>
          <w:p>
            <w:pPr>
              <w:jc w:val="center"/>
              <w:ind w:right="420"/>
              <w:spacing w:after="0" w:line="128" w:lineRule="exact"/>
              <w:rPr>
                <w:rFonts w:ascii="Arial" w:cs="Arial" w:eastAsia="Arial" w:hAnsi="Arial"/>
                <w:sz w:val="13"/>
                <w:szCs w:val="13"/>
                <w:color w:val="0000EE"/>
                <w:w w:val="92"/>
              </w:rPr>
            </w:pPr>
            <w:hyperlink w:anchor="page68">
              <w:r>
                <w:rPr>
                  <w:rFonts w:ascii="Arial" w:cs="Arial" w:eastAsia="Arial" w:hAnsi="Arial"/>
                  <w:sz w:val="13"/>
                  <w:szCs w:val="13"/>
                  <w:color w:val="0000EE"/>
                  <w:w w:val="92"/>
                </w:rPr>
                <w:t>F-6</w:t>
              </w:r>
            </w:hyperlink>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180" w:type="dxa"/>
            <w:vAlign w:val="bottom"/>
            <w:tcBorders>
              <w:top w:val="single" w:sz="8" w:color="CCEEFF"/>
            </w:tcBorders>
          </w:tcPr>
          <w:p>
            <w:pPr>
              <w:spacing w:after="0"/>
              <w:rPr>
                <w:sz w:val="13"/>
                <w:szCs w:val="13"/>
                <w:color w:val="auto"/>
              </w:rPr>
            </w:pPr>
          </w:p>
        </w:tc>
        <w:tc>
          <w:tcPr>
            <w:tcW w:w="780" w:type="dxa"/>
            <w:vAlign w:val="bottom"/>
            <w:tcBorders>
              <w:top w:val="single" w:sz="8" w:color="0000FF"/>
            </w:tcBorders>
          </w:tcPr>
          <w:p>
            <w:pPr>
              <w:spacing w:after="0"/>
              <w:rPr>
                <w:sz w:val="13"/>
                <w:szCs w:val="13"/>
                <w:color w:val="auto"/>
              </w:rPr>
            </w:pPr>
          </w:p>
        </w:tc>
        <w:tc>
          <w:tcPr>
            <w:tcW w:w="5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160" w:type="dxa"/>
            <w:vAlign w:val="bottom"/>
            <w:tcBorders>
              <w:top w:val="single" w:sz="8" w:color="0000FF"/>
            </w:tcBorders>
          </w:tcPr>
          <w:p>
            <w:pPr>
              <w:spacing w:after="0"/>
              <w:rPr>
                <w:sz w:val="13"/>
                <w:szCs w:val="13"/>
                <w:color w:val="auto"/>
              </w:rPr>
            </w:pPr>
          </w:p>
        </w:tc>
        <w:tc>
          <w:tcPr>
            <w:tcW w:w="36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200" w:type="dxa"/>
            <w:vAlign w:val="bottom"/>
            <w:tcBorders>
              <w:top w:val="single" w:sz="8" w:color="0000FF"/>
            </w:tcBorders>
          </w:tcPr>
          <w:p>
            <w:pPr>
              <w:spacing w:after="0"/>
              <w:rPr>
                <w:sz w:val="13"/>
                <w:szCs w:val="13"/>
                <w:color w:val="auto"/>
              </w:rPr>
            </w:pPr>
          </w:p>
        </w:tc>
        <w:tc>
          <w:tcPr>
            <w:tcW w:w="700" w:type="dxa"/>
            <w:vAlign w:val="bottom"/>
            <w:tcBorders>
              <w:top w:val="single" w:sz="8" w:color="0000FF"/>
            </w:tcBorders>
          </w:tcPr>
          <w:p>
            <w:pPr>
              <w:spacing w:after="0"/>
              <w:rPr>
                <w:sz w:val="13"/>
                <w:szCs w:val="13"/>
                <w:color w:val="auto"/>
              </w:rPr>
            </w:pPr>
          </w:p>
        </w:tc>
        <w:tc>
          <w:tcPr>
            <w:tcW w:w="680" w:type="dxa"/>
            <w:vAlign w:val="bottom"/>
            <w:tcBorders>
              <w:top w:val="single" w:sz="8" w:color="0000FF"/>
            </w:tcBorders>
          </w:tcPr>
          <w:p>
            <w:pPr>
              <w:spacing w:after="0"/>
              <w:rPr>
                <w:sz w:val="13"/>
                <w:szCs w:val="13"/>
                <w:color w:val="auto"/>
              </w:rPr>
            </w:pPr>
          </w:p>
        </w:tc>
        <w:tc>
          <w:tcPr>
            <w:tcW w:w="62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6020" w:type="dxa"/>
            <w:vAlign w:val="bottom"/>
            <w:tcBorders>
              <w:top w:val="single" w:sz="8" w:color="CCEE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180" w:type="dxa"/>
            <w:vAlign w:val="bottom"/>
            <w:tcBorders>
              <w:top w:val="single" w:sz="8" w:color="0000EE"/>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420" w:type="dxa"/>
            <w:vAlign w:val="bottom"/>
            <w:tcBorders>
              <w:top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36"/>
        </w:trPr>
        <w:tc>
          <w:tcPr>
            <w:tcW w:w="20" w:type="dxa"/>
            <w:vAlign w:val="bottom"/>
          </w:tcPr>
          <w:p>
            <w:pPr>
              <w:spacing w:after="0"/>
              <w:rPr>
                <w:sz w:val="11"/>
                <w:szCs w:val="11"/>
                <w:color w:val="auto"/>
              </w:rPr>
            </w:pPr>
          </w:p>
        </w:tc>
        <w:tc>
          <w:tcPr>
            <w:tcW w:w="180" w:type="dxa"/>
            <w:vAlign w:val="bottom"/>
            <w:shd w:val="clear" w:color="auto" w:fill="CCEEFF"/>
          </w:tcPr>
          <w:p>
            <w:pPr>
              <w:spacing w:after="0"/>
              <w:rPr>
                <w:sz w:val="11"/>
                <w:szCs w:val="11"/>
                <w:color w:val="auto"/>
              </w:rPr>
            </w:pPr>
          </w:p>
        </w:tc>
        <w:tc>
          <w:tcPr>
            <w:tcW w:w="4380" w:type="dxa"/>
            <w:vAlign w:val="bottom"/>
            <w:gridSpan w:val="12"/>
            <w:shd w:val="clear" w:color="auto" w:fill="CCEEFF"/>
          </w:tcPr>
          <w:p>
            <w:pPr>
              <w:spacing w:after="0" w:line="128" w:lineRule="exact"/>
              <w:rPr>
                <w:rFonts w:ascii="Arial" w:cs="Arial" w:eastAsia="Arial" w:hAnsi="Arial"/>
                <w:sz w:val="13"/>
                <w:szCs w:val="13"/>
                <w:color w:val="0000FF"/>
              </w:rPr>
            </w:pPr>
            <w:hyperlink w:anchor="page69">
              <w:r>
                <w:rPr>
                  <w:rFonts w:ascii="Arial" w:cs="Arial" w:eastAsia="Arial" w:hAnsi="Arial"/>
                  <w:sz w:val="13"/>
                  <w:szCs w:val="13"/>
                  <w:color w:val="0000FF"/>
                </w:rPr>
                <w:t>Notes to Financial Statements</w:t>
              </w:r>
            </w:hyperlink>
          </w:p>
        </w:tc>
        <w:tc>
          <w:tcPr>
            <w:tcW w:w="6020" w:type="dxa"/>
            <w:vAlign w:val="bottom"/>
            <w:shd w:val="clear" w:color="auto" w:fill="CCEEFF"/>
          </w:tcPr>
          <w:p>
            <w:pPr>
              <w:spacing w:after="0"/>
              <w:rPr>
                <w:sz w:val="11"/>
                <w:szCs w:val="11"/>
                <w:color w:val="auto"/>
              </w:rPr>
            </w:pPr>
          </w:p>
        </w:tc>
        <w:tc>
          <w:tcPr>
            <w:tcW w:w="680" w:type="dxa"/>
            <w:vAlign w:val="bottom"/>
            <w:gridSpan w:val="4"/>
            <w:shd w:val="clear" w:color="auto" w:fill="CCEEFF"/>
          </w:tcPr>
          <w:p>
            <w:pPr>
              <w:jc w:val="center"/>
              <w:ind w:right="420"/>
              <w:spacing w:after="0" w:line="128" w:lineRule="exact"/>
              <w:rPr>
                <w:rFonts w:ascii="Arial" w:cs="Arial" w:eastAsia="Arial" w:hAnsi="Arial"/>
                <w:sz w:val="13"/>
                <w:szCs w:val="13"/>
                <w:color w:val="0000EE"/>
                <w:w w:val="92"/>
              </w:rPr>
            </w:pPr>
            <w:hyperlink w:anchor="page69">
              <w:r>
                <w:rPr>
                  <w:rFonts w:ascii="Arial" w:cs="Arial" w:eastAsia="Arial" w:hAnsi="Arial"/>
                  <w:sz w:val="13"/>
                  <w:szCs w:val="13"/>
                  <w:color w:val="0000EE"/>
                  <w:w w:val="92"/>
                </w:rPr>
                <w:t>F-7</w:t>
              </w:r>
            </w:hyperlink>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180" w:type="dxa"/>
            <w:vAlign w:val="bottom"/>
            <w:tcBorders>
              <w:top w:val="single" w:sz="8" w:color="CCEEFF"/>
            </w:tcBorders>
          </w:tcPr>
          <w:p>
            <w:pPr>
              <w:spacing w:after="0"/>
              <w:rPr>
                <w:sz w:val="13"/>
                <w:szCs w:val="13"/>
                <w:color w:val="auto"/>
              </w:rPr>
            </w:pPr>
          </w:p>
        </w:tc>
        <w:tc>
          <w:tcPr>
            <w:tcW w:w="780" w:type="dxa"/>
            <w:vAlign w:val="bottom"/>
            <w:tcBorders>
              <w:top w:val="single" w:sz="8" w:color="0000FF"/>
            </w:tcBorders>
          </w:tcPr>
          <w:p>
            <w:pPr>
              <w:spacing w:after="0"/>
              <w:rPr>
                <w:sz w:val="13"/>
                <w:szCs w:val="13"/>
                <w:color w:val="auto"/>
              </w:rPr>
            </w:pPr>
          </w:p>
        </w:tc>
        <w:tc>
          <w:tcPr>
            <w:tcW w:w="5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160" w:type="dxa"/>
            <w:vAlign w:val="bottom"/>
            <w:tcBorders>
              <w:top w:val="single" w:sz="8" w:color="0000FF"/>
            </w:tcBorders>
          </w:tcPr>
          <w:p>
            <w:pPr>
              <w:spacing w:after="0"/>
              <w:rPr>
                <w:sz w:val="13"/>
                <w:szCs w:val="13"/>
                <w:color w:val="auto"/>
              </w:rPr>
            </w:pPr>
          </w:p>
        </w:tc>
        <w:tc>
          <w:tcPr>
            <w:tcW w:w="360" w:type="dxa"/>
            <w:vAlign w:val="bottom"/>
            <w:tcBorders>
              <w:top w:val="single" w:sz="8" w:color="CCEE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200" w:type="dxa"/>
            <w:vAlign w:val="bottom"/>
            <w:tcBorders>
              <w:top w:val="single" w:sz="8" w:color="CCEEFF"/>
            </w:tcBorders>
          </w:tcPr>
          <w:p>
            <w:pPr>
              <w:spacing w:after="0"/>
              <w:rPr>
                <w:sz w:val="13"/>
                <w:szCs w:val="13"/>
                <w:color w:val="auto"/>
              </w:rPr>
            </w:pPr>
          </w:p>
        </w:tc>
        <w:tc>
          <w:tcPr>
            <w:tcW w:w="700" w:type="dxa"/>
            <w:vAlign w:val="bottom"/>
            <w:tcBorders>
              <w:top w:val="single" w:sz="8" w:color="CCEEFF"/>
            </w:tcBorders>
          </w:tcPr>
          <w:p>
            <w:pPr>
              <w:spacing w:after="0"/>
              <w:rPr>
                <w:sz w:val="13"/>
                <w:szCs w:val="13"/>
                <w:color w:val="auto"/>
              </w:rPr>
            </w:pPr>
          </w:p>
        </w:tc>
        <w:tc>
          <w:tcPr>
            <w:tcW w:w="680" w:type="dxa"/>
            <w:vAlign w:val="bottom"/>
            <w:tcBorders>
              <w:top w:val="single" w:sz="8" w:color="CCEEFF"/>
            </w:tcBorders>
          </w:tcPr>
          <w:p>
            <w:pPr>
              <w:spacing w:after="0"/>
              <w:rPr>
                <w:sz w:val="13"/>
                <w:szCs w:val="13"/>
                <w:color w:val="auto"/>
              </w:rPr>
            </w:pPr>
          </w:p>
        </w:tc>
        <w:tc>
          <w:tcPr>
            <w:tcW w:w="62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6020" w:type="dxa"/>
            <w:vAlign w:val="bottom"/>
            <w:tcBorders>
              <w:top w:val="single" w:sz="8" w:color="CCEE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180" w:type="dxa"/>
            <w:vAlign w:val="bottom"/>
            <w:tcBorders>
              <w:top w:val="single" w:sz="8" w:color="0000EE"/>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420" w:type="dxa"/>
            <w:vAlign w:val="bottom"/>
            <w:tcBorders>
              <w:top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4560" w:type="dxa"/>
            <w:vAlign w:val="bottom"/>
            <w:gridSpan w:val="13"/>
            <w:shd w:val="clear" w:color="auto" w:fill="CCEEFF"/>
          </w:tcPr>
          <w:p>
            <w:pPr>
              <w:spacing w:after="0"/>
              <w:rPr>
                <w:sz w:val="20"/>
                <w:szCs w:val="20"/>
                <w:color w:val="auto"/>
              </w:rPr>
            </w:pPr>
            <w:r>
              <w:rPr>
                <w:rFonts w:ascii="Arial" w:cs="Arial" w:eastAsia="Arial" w:hAnsi="Arial"/>
                <w:sz w:val="13"/>
                <w:szCs w:val="13"/>
                <w:b w:val="1"/>
                <w:bCs w:val="1"/>
                <w:color w:val="auto"/>
              </w:rPr>
              <w:t>Interim Financial Statements (unaudited</w:t>
            </w:r>
            <w:r>
              <w:rPr>
                <w:rFonts w:ascii="Arial" w:cs="Arial" w:eastAsia="Arial" w:hAnsi="Arial"/>
                <w:sz w:val="13"/>
                <w:szCs w:val="13"/>
                <w:color w:val="auto"/>
              </w:rPr>
              <w:t>)</w:t>
            </w:r>
          </w:p>
        </w:tc>
        <w:tc>
          <w:tcPr>
            <w:tcW w:w="6020" w:type="dxa"/>
            <w:vAlign w:val="bottom"/>
            <w:shd w:val="clear" w:color="auto" w:fill="CCEEFF"/>
          </w:tcPr>
          <w:p>
            <w:pPr>
              <w:spacing w:after="0"/>
              <w:rPr>
                <w:sz w:val="13"/>
                <w:szCs w:val="13"/>
                <w:color w:val="auto"/>
              </w:rPr>
            </w:pPr>
          </w:p>
        </w:tc>
        <w:tc>
          <w:tcPr>
            <w:tcW w:w="4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40" w:type="dxa"/>
            <w:vAlign w:val="bottom"/>
            <w:shd w:val="clear" w:color="auto" w:fill="CCEEFF"/>
          </w:tcPr>
          <w:p>
            <w:pPr>
              <w:spacing w:after="0"/>
              <w:rPr>
                <w:sz w:val="13"/>
                <w:szCs w:val="13"/>
                <w:color w:val="auto"/>
              </w:rPr>
            </w:pPr>
          </w:p>
        </w:tc>
        <w:tc>
          <w:tcPr>
            <w:tcW w:w="42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78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700" w:type="dxa"/>
            <w:vAlign w:val="bottom"/>
          </w:tcPr>
          <w:p>
            <w:pPr>
              <w:spacing w:after="0"/>
              <w:rPr>
                <w:sz w:val="13"/>
                <w:szCs w:val="13"/>
                <w:color w:val="auto"/>
              </w:rPr>
            </w:pPr>
          </w:p>
        </w:tc>
        <w:tc>
          <w:tcPr>
            <w:tcW w:w="6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602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36"/>
        </w:trPr>
        <w:tc>
          <w:tcPr>
            <w:tcW w:w="20" w:type="dxa"/>
            <w:vAlign w:val="bottom"/>
          </w:tcPr>
          <w:p>
            <w:pPr>
              <w:spacing w:after="0"/>
              <w:rPr>
                <w:sz w:val="11"/>
                <w:szCs w:val="11"/>
                <w:color w:val="auto"/>
              </w:rPr>
            </w:pPr>
          </w:p>
        </w:tc>
        <w:tc>
          <w:tcPr>
            <w:tcW w:w="180" w:type="dxa"/>
            <w:vAlign w:val="bottom"/>
            <w:shd w:val="clear" w:color="auto" w:fill="CCEEFF"/>
          </w:tcPr>
          <w:p>
            <w:pPr>
              <w:spacing w:after="0"/>
              <w:rPr>
                <w:sz w:val="11"/>
                <w:szCs w:val="11"/>
                <w:color w:val="auto"/>
              </w:rPr>
            </w:pPr>
          </w:p>
        </w:tc>
        <w:tc>
          <w:tcPr>
            <w:tcW w:w="4380" w:type="dxa"/>
            <w:vAlign w:val="bottom"/>
            <w:gridSpan w:val="12"/>
            <w:shd w:val="clear" w:color="auto" w:fill="CCEEFF"/>
          </w:tcPr>
          <w:p>
            <w:pPr>
              <w:spacing w:after="0" w:line="128" w:lineRule="exact"/>
              <w:rPr>
                <w:rFonts w:ascii="Arial" w:cs="Arial" w:eastAsia="Arial" w:hAnsi="Arial"/>
                <w:sz w:val="13"/>
                <w:szCs w:val="13"/>
                <w:color w:val="0000FF"/>
              </w:rPr>
            </w:pPr>
            <w:hyperlink w:anchor="page91">
              <w:r>
                <w:rPr>
                  <w:rFonts w:ascii="Arial" w:cs="Arial" w:eastAsia="Arial" w:hAnsi="Arial"/>
                  <w:sz w:val="13"/>
                  <w:szCs w:val="13"/>
                  <w:color w:val="0000FF"/>
                </w:rPr>
                <w:t>Condensed Balance Sheets</w:t>
              </w:r>
            </w:hyperlink>
          </w:p>
        </w:tc>
        <w:tc>
          <w:tcPr>
            <w:tcW w:w="6020" w:type="dxa"/>
            <w:vAlign w:val="bottom"/>
            <w:shd w:val="clear" w:color="auto" w:fill="CCEEFF"/>
          </w:tcPr>
          <w:p>
            <w:pPr>
              <w:spacing w:after="0"/>
              <w:rPr>
                <w:sz w:val="11"/>
                <w:szCs w:val="11"/>
                <w:color w:val="auto"/>
              </w:rPr>
            </w:pPr>
          </w:p>
        </w:tc>
        <w:tc>
          <w:tcPr>
            <w:tcW w:w="680" w:type="dxa"/>
            <w:vAlign w:val="bottom"/>
            <w:gridSpan w:val="4"/>
            <w:shd w:val="clear" w:color="auto" w:fill="CCEEFF"/>
          </w:tcPr>
          <w:p>
            <w:pPr>
              <w:jc w:val="center"/>
              <w:ind w:right="420"/>
              <w:spacing w:after="0" w:line="128" w:lineRule="exact"/>
              <w:rPr>
                <w:rFonts w:ascii="Arial" w:cs="Arial" w:eastAsia="Arial" w:hAnsi="Arial"/>
                <w:sz w:val="13"/>
                <w:szCs w:val="13"/>
                <w:color w:val="0000EE"/>
                <w:w w:val="97"/>
              </w:rPr>
            </w:pPr>
            <w:hyperlink w:anchor="page91">
              <w:r>
                <w:rPr>
                  <w:rFonts w:ascii="Arial" w:cs="Arial" w:eastAsia="Arial" w:hAnsi="Arial"/>
                  <w:sz w:val="13"/>
                  <w:szCs w:val="13"/>
                  <w:color w:val="0000EE"/>
                  <w:w w:val="97"/>
                </w:rPr>
                <w:t>F-29</w:t>
              </w:r>
            </w:hyperlink>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180" w:type="dxa"/>
            <w:vAlign w:val="bottom"/>
            <w:tcBorders>
              <w:top w:val="single" w:sz="8" w:color="CCEEFF"/>
            </w:tcBorders>
          </w:tcPr>
          <w:p>
            <w:pPr>
              <w:spacing w:after="0"/>
              <w:rPr>
                <w:sz w:val="13"/>
                <w:szCs w:val="13"/>
                <w:color w:val="auto"/>
              </w:rPr>
            </w:pPr>
          </w:p>
        </w:tc>
        <w:tc>
          <w:tcPr>
            <w:tcW w:w="780" w:type="dxa"/>
            <w:vAlign w:val="bottom"/>
            <w:tcBorders>
              <w:top w:val="single" w:sz="8" w:color="0000FF"/>
            </w:tcBorders>
          </w:tcPr>
          <w:p>
            <w:pPr>
              <w:spacing w:after="0"/>
              <w:rPr>
                <w:sz w:val="13"/>
                <w:szCs w:val="13"/>
                <w:color w:val="auto"/>
              </w:rPr>
            </w:pPr>
          </w:p>
        </w:tc>
        <w:tc>
          <w:tcPr>
            <w:tcW w:w="5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160" w:type="dxa"/>
            <w:vAlign w:val="bottom"/>
            <w:tcBorders>
              <w:top w:val="single" w:sz="8" w:color="CCEEFF"/>
            </w:tcBorders>
          </w:tcPr>
          <w:p>
            <w:pPr>
              <w:spacing w:after="0"/>
              <w:rPr>
                <w:sz w:val="13"/>
                <w:szCs w:val="13"/>
                <w:color w:val="auto"/>
              </w:rPr>
            </w:pPr>
          </w:p>
        </w:tc>
        <w:tc>
          <w:tcPr>
            <w:tcW w:w="360" w:type="dxa"/>
            <w:vAlign w:val="bottom"/>
            <w:tcBorders>
              <w:top w:val="single" w:sz="8" w:color="CCEE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200" w:type="dxa"/>
            <w:vAlign w:val="bottom"/>
            <w:tcBorders>
              <w:top w:val="single" w:sz="8" w:color="CCEEFF"/>
            </w:tcBorders>
          </w:tcPr>
          <w:p>
            <w:pPr>
              <w:spacing w:after="0"/>
              <w:rPr>
                <w:sz w:val="13"/>
                <w:szCs w:val="13"/>
                <w:color w:val="auto"/>
              </w:rPr>
            </w:pPr>
          </w:p>
        </w:tc>
        <w:tc>
          <w:tcPr>
            <w:tcW w:w="700" w:type="dxa"/>
            <w:vAlign w:val="bottom"/>
            <w:tcBorders>
              <w:top w:val="single" w:sz="8" w:color="CCEEFF"/>
            </w:tcBorders>
          </w:tcPr>
          <w:p>
            <w:pPr>
              <w:spacing w:after="0"/>
              <w:rPr>
                <w:sz w:val="13"/>
                <w:szCs w:val="13"/>
                <w:color w:val="auto"/>
              </w:rPr>
            </w:pPr>
          </w:p>
        </w:tc>
        <w:tc>
          <w:tcPr>
            <w:tcW w:w="680" w:type="dxa"/>
            <w:vAlign w:val="bottom"/>
            <w:tcBorders>
              <w:top w:val="single" w:sz="8" w:color="CCEEFF"/>
            </w:tcBorders>
          </w:tcPr>
          <w:p>
            <w:pPr>
              <w:spacing w:after="0"/>
              <w:rPr>
                <w:sz w:val="13"/>
                <w:szCs w:val="13"/>
                <w:color w:val="auto"/>
              </w:rPr>
            </w:pPr>
          </w:p>
        </w:tc>
        <w:tc>
          <w:tcPr>
            <w:tcW w:w="62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6020" w:type="dxa"/>
            <w:vAlign w:val="bottom"/>
            <w:tcBorders>
              <w:top w:val="single" w:sz="8" w:color="CCEEFF"/>
            </w:tcBorders>
          </w:tcPr>
          <w:p>
            <w:pPr>
              <w:spacing w:after="0"/>
              <w:rPr>
                <w:sz w:val="13"/>
                <w:szCs w:val="13"/>
                <w:color w:val="auto"/>
              </w:rPr>
            </w:pPr>
          </w:p>
        </w:tc>
        <w:tc>
          <w:tcPr>
            <w:tcW w:w="40" w:type="dxa"/>
            <w:vAlign w:val="bottom"/>
            <w:tcBorders>
              <w:top w:val="single" w:sz="8" w:color="0000EE"/>
            </w:tcBorders>
          </w:tcPr>
          <w:p>
            <w:pPr>
              <w:spacing w:after="0"/>
              <w:rPr>
                <w:sz w:val="13"/>
                <w:szCs w:val="13"/>
                <w:color w:val="auto"/>
              </w:rPr>
            </w:pPr>
          </w:p>
        </w:tc>
        <w:tc>
          <w:tcPr>
            <w:tcW w:w="180" w:type="dxa"/>
            <w:vAlign w:val="bottom"/>
            <w:tcBorders>
              <w:top w:val="single" w:sz="8" w:color="0000EE"/>
            </w:tcBorders>
          </w:tcPr>
          <w:p>
            <w:pPr>
              <w:spacing w:after="0"/>
              <w:rPr>
                <w:sz w:val="13"/>
                <w:szCs w:val="13"/>
                <w:color w:val="auto"/>
              </w:rPr>
            </w:pPr>
          </w:p>
        </w:tc>
        <w:tc>
          <w:tcPr>
            <w:tcW w:w="40" w:type="dxa"/>
            <w:vAlign w:val="bottom"/>
            <w:tcBorders>
              <w:top w:val="single" w:sz="8" w:color="0000EE"/>
            </w:tcBorders>
          </w:tcPr>
          <w:p>
            <w:pPr>
              <w:spacing w:after="0"/>
              <w:rPr>
                <w:sz w:val="13"/>
                <w:szCs w:val="13"/>
                <w:color w:val="auto"/>
              </w:rPr>
            </w:pPr>
          </w:p>
        </w:tc>
        <w:tc>
          <w:tcPr>
            <w:tcW w:w="420" w:type="dxa"/>
            <w:vAlign w:val="bottom"/>
            <w:tcBorders>
              <w:top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36"/>
        </w:trPr>
        <w:tc>
          <w:tcPr>
            <w:tcW w:w="20" w:type="dxa"/>
            <w:vAlign w:val="bottom"/>
          </w:tcPr>
          <w:p>
            <w:pPr>
              <w:spacing w:after="0"/>
              <w:rPr>
                <w:sz w:val="11"/>
                <w:szCs w:val="11"/>
                <w:color w:val="auto"/>
              </w:rPr>
            </w:pPr>
          </w:p>
        </w:tc>
        <w:tc>
          <w:tcPr>
            <w:tcW w:w="180" w:type="dxa"/>
            <w:vAlign w:val="bottom"/>
            <w:shd w:val="clear" w:color="auto" w:fill="CCEEFF"/>
          </w:tcPr>
          <w:p>
            <w:pPr>
              <w:spacing w:after="0"/>
              <w:rPr>
                <w:sz w:val="11"/>
                <w:szCs w:val="11"/>
                <w:color w:val="auto"/>
              </w:rPr>
            </w:pPr>
          </w:p>
        </w:tc>
        <w:tc>
          <w:tcPr>
            <w:tcW w:w="4380" w:type="dxa"/>
            <w:vAlign w:val="bottom"/>
            <w:gridSpan w:val="12"/>
            <w:shd w:val="clear" w:color="auto" w:fill="CCEEFF"/>
          </w:tcPr>
          <w:p>
            <w:pPr>
              <w:spacing w:after="0" w:line="128" w:lineRule="exact"/>
              <w:rPr>
                <w:rFonts w:ascii="Arial" w:cs="Arial" w:eastAsia="Arial" w:hAnsi="Arial"/>
                <w:sz w:val="13"/>
                <w:szCs w:val="13"/>
                <w:color w:val="0000FF"/>
              </w:rPr>
            </w:pPr>
            <w:hyperlink w:anchor="page92">
              <w:r>
                <w:rPr>
                  <w:rFonts w:ascii="Arial" w:cs="Arial" w:eastAsia="Arial" w:hAnsi="Arial"/>
                  <w:sz w:val="13"/>
                  <w:szCs w:val="13"/>
                  <w:color w:val="0000FF"/>
                </w:rPr>
                <w:t>Condensed Statements of Operations</w:t>
              </w:r>
            </w:hyperlink>
          </w:p>
        </w:tc>
        <w:tc>
          <w:tcPr>
            <w:tcW w:w="6020" w:type="dxa"/>
            <w:vAlign w:val="bottom"/>
            <w:shd w:val="clear" w:color="auto" w:fill="CCEEFF"/>
          </w:tcPr>
          <w:p>
            <w:pPr>
              <w:spacing w:after="0"/>
              <w:rPr>
                <w:sz w:val="11"/>
                <w:szCs w:val="11"/>
                <w:color w:val="auto"/>
              </w:rPr>
            </w:pPr>
          </w:p>
        </w:tc>
        <w:tc>
          <w:tcPr>
            <w:tcW w:w="680" w:type="dxa"/>
            <w:vAlign w:val="bottom"/>
            <w:gridSpan w:val="4"/>
            <w:shd w:val="clear" w:color="auto" w:fill="CCEEFF"/>
          </w:tcPr>
          <w:p>
            <w:pPr>
              <w:jc w:val="center"/>
              <w:ind w:right="420"/>
              <w:spacing w:after="0" w:line="128" w:lineRule="exact"/>
              <w:rPr>
                <w:rFonts w:ascii="Arial" w:cs="Arial" w:eastAsia="Arial" w:hAnsi="Arial"/>
                <w:sz w:val="13"/>
                <w:szCs w:val="13"/>
                <w:color w:val="0000EE"/>
                <w:w w:val="97"/>
              </w:rPr>
            </w:pPr>
            <w:hyperlink w:anchor="page92">
              <w:r>
                <w:rPr>
                  <w:rFonts w:ascii="Arial" w:cs="Arial" w:eastAsia="Arial" w:hAnsi="Arial"/>
                  <w:sz w:val="13"/>
                  <w:szCs w:val="13"/>
                  <w:color w:val="0000EE"/>
                  <w:w w:val="97"/>
                </w:rPr>
                <w:t>F-30</w:t>
              </w:r>
            </w:hyperlink>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180" w:type="dxa"/>
            <w:vAlign w:val="bottom"/>
            <w:tcBorders>
              <w:top w:val="single" w:sz="8" w:color="CCEEFF"/>
            </w:tcBorders>
          </w:tcPr>
          <w:p>
            <w:pPr>
              <w:spacing w:after="0"/>
              <w:rPr>
                <w:sz w:val="13"/>
                <w:szCs w:val="13"/>
                <w:color w:val="auto"/>
              </w:rPr>
            </w:pPr>
          </w:p>
        </w:tc>
        <w:tc>
          <w:tcPr>
            <w:tcW w:w="780" w:type="dxa"/>
            <w:vAlign w:val="bottom"/>
            <w:tcBorders>
              <w:top w:val="single" w:sz="8" w:color="0000FF"/>
            </w:tcBorders>
          </w:tcPr>
          <w:p>
            <w:pPr>
              <w:spacing w:after="0"/>
              <w:rPr>
                <w:sz w:val="13"/>
                <w:szCs w:val="13"/>
                <w:color w:val="auto"/>
              </w:rPr>
            </w:pPr>
          </w:p>
        </w:tc>
        <w:tc>
          <w:tcPr>
            <w:tcW w:w="5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160" w:type="dxa"/>
            <w:vAlign w:val="bottom"/>
            <w:tcBorders>
              <w:top w:val="single" w:sz="8" w:color="0000FF"/>
            </w:tcBorders>
          </w:tcPr>
          <w:p>
            <w:pPr>
              <w:spacing w:after="0"/>
              <w:rPr>
                <w:sz w:val="13"/>
                <w:szCs w:val="13"/>
                <w:color w:val="auto"/>
              </w:rPr>
            </w:pPr>
          </w:p>
        </w:tc>
        <w:tc>
          <w:tcPr>
            <w:tcW w:w="360" w:type="dxa"/>
            <w:vAlign w:val="bottom"/>
            <w:tcBorders>
              <w:top w:val="single" w:sz="8" w:color="0000FF"/>
            </w:tcBorders>
          </w:tcPr>
          <w:p>
            <w:pPr>
              <w:spacing w:after="0"/>
              <w:rPr>
                <w:sz w:val="13"/>
                <w:szCs w:val="13"/>
                <w:color w:val="auto"/>
              </w:rPr>
            </w:pPr>
          </w:p>
        </w:tc>
        <w:tc>
          <w:tcPr>
            <w:tcW w:w="40" w:type="dxa"/>
            <w:vAlign w:val="bottom"/>
            <w:tcBorders>
              <w:top w:val="single" w:sz="8" w:color="CCEEFF"/>
            </w:tcBorders>
          </w:tcPr>
          <w:p>
            <w:pPr>
              <w:spacing w:after="0"/>
              <w:rPr>
                <w:sz w:val="13"/>
                <w:szCs w:val="13"/>
                <w:color w:val="auto"/>
              </w:rPr>
            </w:pPr>
          </w:p>
        </w:tc>
        <w:tc>
          <w:tcPr>
            <w:tcW w:w="200" w:type="dxa"/>
            <w:vAlign w:val="bottom"/>
            <w:tcBorders>
              <w:top w:val="single" w:sz="8" w:color="CCEEFF"/>
            </w:tcBorders>
          </w:tcPr>
          <w:p>
            <w:pPr>
              <w:spacing w:after="0"/>
              <w:rPr>
                <w:sz w:val="13"/>
                <w:szCs w:val="13"/>
                <w:color w:val="auto"/>
              </w:rPr>
            </w:pPr>
          </w:p>
        </w:tc>
        <w:tc>
          <w:tcPr>
            <w:tcW w:w="700" w:type="dxa"/>
            <w:vAlign w:val="bottom"/>
            <w:tcBorders>
              <w:top w:val="single" w:sz="8" w:color="CCEEFF"/>
            </w:tcBorders>
          </w:tcPr>
          <w:p>
            <w:pPr>
              <w:spacing w:after="0"/>
              <w:rPr>
                <w:sz w:val="13"/>
                <w:szCs w:val="13"/>
                <w:color w:val="auto"/>
              </w:rPr>
            </w:pPr>
          </w:p>
        </w:tc>
        <w:tc>
          <w:tcPr>
            <w:tcW w:w="680" w:type="dxa"/>
            <w:vAlign w:val="bottom"/>
            <w:tcBorders>
              <w:top w:val="single" w:sz="8" w:color="CCEEFF"/>
            </w:tcBorders>
          </w:tcPr>
          <w:p>
            <w:pPr>
              <w:spacing w:after="0"/>
              <w:rPr>
                <w:sz w:val="13"/>
                <w:szCs w:val="13"/>
                <w:color w:val="auto"/>
              </w:rPr>
            </w:pPr>
          </w:p>
        </w:tc>
        <w:tc>
          <w:tcPr>
            <w:tcW w:w="62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6020" w:type="dxa"/>
            <w:vAlign w:val="bottom"/>
            <w:tcBorders>
              <w:top w:val="single" w:sz="8" w:color="CCEEFF"/>
            </w:tcBorders>
          </w:tcPr>
          <w:p>
            <w:pPr>
              <w:spacing w:after="0"/>
              <w:rPr>
                <w:sz w:val="13"/>
                <w:szCs w:val="13"/>
                <w:color w:val="auto"/>
              </w:rPr>
            </w:pPr>
          </w:p>
        </w:tc>
        <w:tc>
          <w:tcPr>
            <w:tcW w:w="40" w:type="dxa"/>
            <w:vAlign w:val="bottom"/>
            <w:tcBorders>
              <w:top w:val="single" w:sz="8" w:color="0000EE"/>
            </w:tcBorders>
          </w:tcPr>
          <w:p>
            <w:pPr>
              <w:spacing w:after="0"/>
              <w:rPr>
                <w:sz w:val="13"/>
                <w:szCs w:val="13"/>
                <w:color w:val="auto"/>
              </w:rPr>
            </w:pPr>
          </w:p>
        </w:tc>
        <w:tc>
          <w:tcPr>
            <w:tcW w:w="180" w:type="dxa"/>
            <w:vAlign w:val="bottom"/>
            <w:tcBorders>
              <w:top w:val="single" w:sz="8" w:color="0000EE"/>
            </w:tcBorders>
          </w:tcPr>
          <w:p>
            <w:pPr>
              <w:spacing w:after="0"/>
              <w:rPr>
                <w:sz w:val="13"/>
                <w:szCs w:val="13"/>
                <w:color w:val="auto"/>
              </w:rPr>
            </w:pPr>
          </w:p>
        </w:tc>
        <w:tc>
          <w:tcPr>
            <w:tcW w:w="40" w:type="dxa"/>
            <w:vAlign w:val="bottom"/>
            <w:tcBorders>
              <w:top w:val="single" w:sz="8" w:color="0000EE"/>
            </w:tcBorders>
          </w:tcPr>
          <w:p>
            <w:pPr>
              <w:spacing w:after="0"/>
              <w:rPr>
                <w:sz w:val="13"/>
                <w:szCs w:val="13"/>
                <w:color w:val="auto"/>
              </w:rPr>
            </w:pPr>
          </w:p>
        </w:tc>
        <w:tc>
          <w:tcPr>
            <w:tcW w:w="420" w:type="dxa"/>
            <w:vAlign w:val="bottom"/>
            <w:tcBorders>
              <w:top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36"/>
        </w:trPr>
        <w:tc>
          <w:tcPr>
            <w:tcW w:w="20" w:type="dxa"/>
            <w:vAlign w:val="bottom"/>
          </w:tcPr>
          <w:p>
            <w:pPr>
              <w:spacing w:after="0"/>
              <w:rPr>
                <w:sz w:val="11"/>
                <w:szCs w:val="11"/>
                <w:color w:val="auto"/>
              </w:rPr>
            </w:pPr>
          </w:p>
        </w:tc>
        <w:tc>
          <w:tcPr>
            <w:tcW w:w="180" w:type="dxa"/>
            <w:vAlign w:val="bottom"/>
            <w:shd w:val="clear" w:color="auto" w:fill="CCEEFF"/>
          </w:tcPr>
          <w:p>
            <w:pPr>
              <w:spacing w:after="0"/>
              <w:rPr>
                <w:sz w:val="11"/>
                <w:szCs w:val="11"/>
                <w:color w:val="auto"/>
              </w:rPr>
            </w:pPr>
          </w:p>
        </w:tc>
        <w:tc>
          <w:tcPr>
            <w:tcW w:w="4380" w:type="dxa"/>
            <w:vAlign w:val="bottom"/>
            <w:gridSpan w:val="12"/>
            <w:shd w:val="clear" w:color="auto" w:fill="CCEEFF"/>
          </w:tcPr>
          <w:p>
            <w:pPr>
              <w:spacing w:after="0" w:line="128" w:lineRule="exact"/>
              <w:rPr>
                <w:rFonts w:ascii="Arial" w:cs="Arial" w:eastAsia="Arial" w:hAnsi="Arial"/>
                <w:sz w:val="13"/>
                <w:szCs w:val="13"/>
                <w:color w:val="0000FF"/>
              </w:rPr>
            </w:pPr>
            <w:hyperlink w:anchor="page93">
              <w:r>
                <w:rPr>
                  <w:rFonts w:ascii="Arial" w:cs="Arial" w:eastAsia="Arial" w:hAnsi="Arial"/>
                  <w:sz w:val="13"/>
                  <w:szCs w:val="13"/>
                  <w:color w:val="0000FF"/>
                </w:rPr>
                <w:t>Condensed Statements of Cash Flows</w:t>
              </w:r>
            </w:hyperlink>
          </w:p>
        </w:tc>
        <w:tc>
          <w:tcPr>
            <w:tcW w:w="6020" w:type="dxa"/>
            <w:vAlign w:val="bottom"/>
            <w:shd w:val="clear" w:color="auto" w:fill="CCEEFF"/>
          </w:tcPr>
          <w:p>
            <w:pPr>
              <w:spacing w:after="0"/>
              <w:rPr>
                <w:sz w:val="11"/>
                <w:szCs w:val="11"/>
                <w:color w:val="auto"/>
              </w:rPr>
            </w:pPr>
          </w:p>
        </w:tc>
        <w:tc>
          <w:tcPr>
            <w:tcW w:w="680" w:type="dxa"/>
            <w:vAlign w:val="bottom"/>
            <w:gridSpan w:val="4"/>
            <w:shd w:val="clear" w:color="auto" w:fill="CCEEFF"/>
          </w:tcPr>
          <w:p>
            <w:pPr>
              <w:jc w:val="center"/>
              <w:ind w:right="420"/>
              <w:spacing w:after="0" w:line="128" w:lineRule="exact"/>
              <w:rPr>
                <w:rFonts w:ascii="Arial" w:cs="Arial" w:eastAsia="Arial" w:hAnsi="Arial"/>
                <w:sz w:val="13"/>
                <w:szCs w:val="13"/>
                <w:color w:val="0000EE"/>
                <w:w w:val="97"/>
              </w:rPr>
            </w:pPr>
            <w:hyperlink w:anchor="page93">
              <w:r>
                <w:rPr>
                  <w:rFonts w:ascii="Arial" w:cs="Arial" w:eastAsia="Arial" w:hAnsi="Arial"/>
                  <w:sz w:val="13"/>
                  <w:szCs w:val="13"/>
                  <w:color w:val="0000EE"/>
                  <w:w w:val="97"/>
                </w:rPr>
                <w:t>F-31</w:t>
              </w:r>
            </w:hyperlink>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180" w:type="dxa"/>
            <w:vAlign w:val="bottom"/>
            <w:tcBorders>
              <w:top w:val="single" w:sz="8" w:color="CCEEFF"/>
            </w:tcBorders>
          </w:tcPr>
          <w:p>
            <w:pPr>
              <w:spacing w:after="0"/>
              <w:rPr>
                <w:sz w:val="13"/>
                <w:szCs w:val="13"/>
                <w:color w:val="auto"/>
              </w:rPr>
            </w:pPr>
          </w:p>
        </w:tc>
        <w:tc>
          <w:tcPr>
            <w:tcW w:w="780" w:type="dxa"/>
            <w:vAlign w:val="bottom"/>
            <w:tcBorders>
              <w:top w:val="single" w:sz="8" w:color="0000FF"/>
            </w:tcBorders>
          </w:tcPr>
          <w:p>
            <w:pPr>
              <w:spacing w:after="0"/>
              <w:rPr>
                <w:sz w:val="13"/>
                <w:szCs w:val="13"/>
                <w:color w:val="auto"/>
              </w:rPr>
            </w:pPr>
          </w:p>
        </w:tc>
        <w:tc>
          <w:tcPr>
            <w:tcW w:w="5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160" w:type="dxa"/>
            <w:vAlign w:val="bottom"/>
            <w:tcBorders>
              <w:top w:val="single" w:sz="8" w:color="0000FF"/>
            </w:tcBorders>
          </w:tcPr>
          <w:p>
            <w:pPr>
              <w:spacing w:after="0"/>
              <w:rPr>
                <w:sz w:val="13"/>
                <w:szCs w:val="13"/>
                <w:color w:val="auto"/>
              </w:rPr>
            </w:pPr>
          </w:p>
        </w:tc>
        <w:tc>
          <w:tcPr>
            <w:tcW w:w="36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200" w:type="dxa"/>
            <w:vAlign w:val="bottom"/>
            <w:tcBorders>
              <w:top w:val="single" w:sz="8" w:color="CCEEFF"/>
            </w:tcBorders>
          </w:tcPr>
          <w:p>
            <w:pPr>
              <w:spacing w:after="0"/>
              <w:rPr>
                <w:sz w:val="13"/>
                <w:szCs w:val="13"/>
                <w:color w:val="auto"/>
              </w:rPr>
            </w:pPr>
          </w:p>
        </w:tc>
        <w:tc>
          <w:tcPr>
            <w:tcW w:w="700" w:type="dxa"/>
            <w:vAlign w:val="bottom"/>
            <w:tcBorders>
              <w:top w:val="single" w:sz="8" w:color="CCEEFF"/>
            </w:tcBorders>
          </w:tcPr>
          <w:p>
            <w:pPr>
              <w:spacing w:after="0"/>
              <w:rPr>
                <w:sz w:val="13"/>
                <w:szCs w:val="13"/>
                <w:color w:val="auto"/>
              </w:rPr>
            </w:pPr>
          </w:p>
        </w:tc>
        <w:tc>
          <w:tcPr>
            <w:tcW w:w="680" w:type="dxa"/>
            <w:vAlign w:val="bottom"/>
            <w:tcBorders>
              <w:top w:val="single" w:sz="8" w:color="CCEEFF"/>
            </w:tcBorders>
          </w:tcPr>
          <w:p>
            <w:pPr>
              <w:spacing w:after="0"/>
              <w:rPr>
                <w:sz w:val="13"/>
                <w:szCs w:val="13"/>
                <w:color w:val="auto"/>
              </w:rPr>
            </w:pPr>
          </w:p>
        </w:tc>
        <w:tc>
          <w:tcPr>
            <w:tcW w:w="62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6020" w:type="dxa"/>
            <w:vAlign w:val="bottom"/>
            <w:tcBorders>
              <w:top w:val="single" w:sz="8" w:color="CCEEFF"/>
            </w:tcBorders>
          </w:tcPr>
          <w:p>
            <w:pPr>
              <w:spacing w:after="0"/>
              <w:rPr>
                <w:sz w:val="13"/>
                <w:szCs w:val="13"/>
                <w:color w:val="auto"/>
              </w:rPr>
            </w:pPr>
          </w:p>
        </w:tc>
        <w:tc>
          <w:tcPr>
            <w:tcW w:w="40" w:type="dxa"/>
            <w:vAlign w:val="bottom"/>
            <w:tcBorders>
              <w:top w:val="single" w:sz="8" w:color="0000EE"/>
            </w:tcBorders>
          </w:tcPr>
          <w:p>
            <w:pPr>
              <w:spacing w:after="0"/>
              <w:rPr>
                <w:sz w:val="13"/>
                <w:szCs w:val="13"/>
                <w:color w:val="auto"/>
              </w:rPr>
            </w:pPr>
          </w:p>
        </w:tc>
        <w:tc>
          <w:tcPr>
            <w:tcW w:w="180" w:type="dxa"/>
            <w:vAlign w:val="bottom"/>
            <w:tcBorders>
              <w:top w:val="single" w:sz="8" w:color="0000EE"/>
            </w:tcBorders>
          </w:tcPr>
          <w:p>
            <w:pPr>
              <w:spacing w:after="0"/>
              <w:rPr>
                <w:sz w:val="13"/>
                <w:szCs w:val="13"/>
                <w:color w:val="auto"/>
              </w:rPr>
            </w:pPr>
          </w:p>
        </w:tc>
        <w:tc>
          <w:tcPr>
            <w:tcW w:w="40" w:type="dxa"/>
            <w:vAlign w:val="bottom"/>
            <w:tcBorders>
              <w:top w:val="single" w:sz="8" w:color="0000EE"/>
            </w:tcBorders>
          </w:tcPr>
          <w:p>
            <w:pPr>
              <w:spacing w:after="0"/>
              <w:rPr>
                <w:sz w:val="13"/>
                <w:szCs w:val="13"/>
                <w:color w:val="auto"/>
              </w:rPr>
            </w:pPr>
          </w:p>
        </w:tc>
        <w:tc>
          <w:tcPr>
            <w:tcW w:w="420" w:type="dxa"/>
            <w:vAlign w:val="bottom"/>
            <w:tcBorders>
              <w:top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36"/>
        </w:trPr>
        <w:tc>
          <w:tcPr>
            <w:tcW w:w="20" w:type="dxa"/>
            <w:vAlign w:val="bottom"/>
          </w:tcPr>
          <w:p>
            <w:pPr>
              <w:spacing w:after="0"/>
              <w:rPr>
                <w:sz w:val="11"/>
                <w:szCs w:val="11"/>
                <w:color w:val="auto"/>
              </w:rPr>
            </w:pPr>
          </w:p>
        </w:tc>
        <w:tc>
          <w:tcPr>
            <w:tcW w:w="180" w:type="dxa"/>
            <w:vAlign w:val="bottom"/>
            <w:shd w:val="clear" w:color="auto" w:fill="CCEEFF"/>
          </w:tcPr>
          <w:p>
            <w:pPr>
              <w:spacing w:after="0"/>
              <w:rPr>
                <w:sz w:val="11"/>
                <w:szCs w:val="11"/>
                <w:color w:val="auto"/>
              </w:rPr>
            </w:pPr>
          </w:p>
        </w:tc>
        <w:tc>
          <w:tcPr>
            <w:tcW w:w="4380" w:type="dxa"/>
            <w:vAlign w:val="bottom"/>
            <w:gridSpan w:val="12"/>
            <w:shd w:val="clear" w:color="auto" w:fill="CCEEFF"/>
          </w:tcPr>
          <w:p>
            <w:pPr>
              <w:spacing w:after="0" w:line="128" w:lineRule="exact"/>
              <w:rPr>
                <w:rFonts w:ascii="Arial" w:cs="Arial" w:eastAsia="Arial" w:hAnsi="Arial"/>
                <w:sz w:val="13"/>
                <w:szCs w:val="13"/>
                <w:color w:val="0000FF"/>
                <w:w w:val="94"/>
              </w:rPr>
            </w:pPr>
            <w:hyperlink w:anchor="page94">
              <w:r>
                <w:rPr>
                  <w:rFonts w:ascii="Arial" w:cs="Arial" w:eastAsia="Arial" w:hAnsi="Arial"/>
                  <w:sz w:val="13"/>
                  <w:szCs w:val="13"/>
                  <w:color w:val="0000FF"/>
                  <w:w w:val="94"/>
                </w:rPr>
                <w:t>Condensed Statements of Preferred Stock and Changes in Stockholders’ Deficit</w:t>
              </w:r>
            </w:hyperlink>
          </w:p>
        </w:tc>
        <w:tc>
          <w:tcPr>
            <w:tcW w:w="6020" w:type="dxa"/>
            <w:vAlign w:val="bottom"/>
            <w:shd w:val="clear" w:color="auto" w:fill="CCEEFF"/>
          </w:tcPr>
          <w:p>
            <w:pPr>
              <w:spacing w:after="0"/>
              <w:rPr>
                <w:sz w:val="11"/>
                <w:szCs w:val="11"/>
                <w:color w:val="auto"/>
              </w:rPr>
            </w:pPr>
          </w:p>
        </w:tc>
        <w:tc>
          <w:tcPr>
            <w:tcW w:w="680" w:type="dxa"/>
            <w:vAlign w:val="bottom"/>
            <w:gridSpan w:val="4"/>
            <w:shd w:val="clear" w:color="auto" w:fill="CCEEFF"/>
          </w:tcPr>
          <w:p>
            <w:pPr>
              <w:jc w:val="center"/>
              <w:ind w:right="420"/>
              <w:spacing w:after="0" w:line="128" w:lineRule="exact"/>
              <w:rPr>
                <w:rFonts w:ascii="Arial" w:cs="Arial" w:eastAsia="Arial" w:hAnsi="Arial"/>
                <w:sz w:val="13"/>
                <w:szCs w:val="13"/>
                <w:color w:val="0000EE"/>
                <w:w w:val="97"/>
              </w:rPr>
            </w:pPr>
            <w:hyperlink w:anchor="page94">
              <w:r>
                <w:rPr>
                  <w:rFonts w:ascii="Arial" w:cs="Arial" w:eastAsia="Arial" w:hAnsi="Arial"/>
                  <w:sz w:val="13"/>
                  <w:szCs w:val="13"/>
                  <w:color w:val="0000EE"/>
                  <w:w w:val="97"/>
                </w:rPr>
                <w:t>F-32</w:t>
              </w:r>
            </w:hyperlink>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180" w:type="dxa"/>
            <w:vAlign w:val="bottom"/>
            <w:tcBorders>
              <w:top w:val="single" w:sz="8" w:color="CCEEFF"/>
            </w:tcBorders>
          </w:tcPr>
          <w:p>
            <w:pPr>
              <w:spacing w:after="0"/>
              <w:rPr>
                <w:sz w:val="13"/>
                <w:szCs w:val="13"/>
                <w:color w:val="auto"/>
              </w:rPr>
            </w:pPr>
          </w:p>
        </w:tc>
        <w:tc>
          <w:tcPr>
            <w:tcW w:w="780" w:type="dxa"/>
            <w:vAlign w:val="bottom"/>
            <w:tcBorders>
              <w:top w:val="single" w:sz="8" w:color="0000FF"/>
            </w:tcBorders>
          </w:tcPr>
          <w:p>
            <w:pPr>
              <w:spacing w:after="0"/>
              <w:rPr>
                <w:sz w:val="13"/>
                <w:szCs w:val="13"/>
                <w:color w:val="auto"/>
              </w:rPr>
            </w:pPr>
          </w:p>
        </w:tc>
        <w:tc>
          <w:tcPr>
            <w:tcW w:w="5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160" w:type="dxa"/>
            <w:vAlign w:val="bottom"/>
            <w:tcBorders>
              <w:top w:val="single" w:sz="8" w:color="0000FF"/>
            </w:tcBorders>
          </w:tcPr>
          <w:p>
            <w:pPr>
              <w:spacing w:after="0"/>
              <w:rPr>
                <w:sz w:val="13"/>
                <w:szCs w:val="13"/>
                <w:color w:val="auto"/>
              </w:rPr>
            </w:pPr>
          </w:p>
        </w:tc>
        <w:tc>
          <w:tcPr>
            <w:tcW w:w="360" w:type="dxa"/>
            <w:vAlign w:val="bottom"/>
            <w:tcBorders>
              <w:top w:val="single" w:sz="8" w:color="0000FF"/>
            </w:tcBorders>
          </w:tcPr>
          <w:p>
            <w:pPr>
              <w:spacing w:after="0"/>
              <w:rPr>
                <w:sz w:val="13"/>
                <w:szCs w:val="13"/>
                <w:color w:val="auto"/>
              </w:rPr>
            </w:pPr>
          </w:p>
        </w:tc>
        <w:tc>
          <w:tcPr>
            <w:tcW w:w="40" w:type="dxa"/>
            <w:vAlign w:val="bottom"/>
            <w:tcBorders>
              <w:top w:val="single" w:sz="8" w:color="0000FF"/>
            </w:tcBorders>
          </w:tcPr>
          <w:p>
            <w:pPr>
              <w:spacing w:after="0"/>
              <w:rPr>
                <w:sz w:val="13"/>
                <w:szCs w:val="13"/>
                <w:color w:val="auto"/>
              </w:rPr>
            </w:pPr>
          </w:p>
        </w:tc>
        <w:tc>
          <w:tcPr>
            <w:tcW w:w="200" w:type="dxa"/>
            <w:vAlign w:val="bottom"/>
            <w:tcBorders>
              <w:top w:val="single" w:sz="8" w:color="0000FF"/>
            </w:tcBorders>
          </w:tcPr>
          <w:p>
            <w:pPr>
              <w:spacing w:after="0"/>
              <w:rPr>
                <w:sz w:val="13"/>
                <w:szCs w:val="13"/>
                <w:color w:val="auto"/>
              </w:rPr>
            </w:pPr>
          </w:p>
        </w:tc>
        <w:tc>
          <w:tcPr>
            <w:tcW w:w="700" w:type="dxa"/>
            <w:vAlign w:val="bottom"/>
            <w:tcBorders>
              <w:top w:val="single" w:sz="8" w:color="0000FF"/>
            </w:tcBorders>
          </w:tcPr>
          <w:p>
            <w:pPr>
              <w:spacing w:after="0"/>
              <w:rPr>
                <w:sz w:val="13"/>
                <w:szCs w:val="13"/>
                <w:color w:val="auto"/>
              </w:rPr>
            </w:pPr>
          </w:p>
        </w:tc>
        <w:tc>
          <w:tcPr>
            <w:tcW w:w="680" w:type="dxa"/>
            <w:vAlign w:val="bottom"/>
            <w:tcBorders>
              <w:top w:val="single" w:sz="8" w:color="0000FF"/>
            </w:tcBorders>
          </w:tcPr>
          <w:p>
            <w:pPr>
              <w:spacing w:after="0"/>
              <w:rPr>
                <w:sz w:val="13"/>
                <w:szCs w:val="13"/>
                <w:color w:val="auto"/>
              </w:rPr>
            </w:pPr>
          </w:p>
        </w:tc>
        <w:tc>
          <w:tcPr>
            <w:tcW w:w="620" w:type="dxa"/>
            <w:vAlign w:val="bottom"/>
            <w:tcBorders>
              <w:top w:val="single" w:sz="8" w:color="0000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6020" w:type="dxa"/>
            <w:vAlign w:val="bottom"/>
            <w:tcBorders>
              <w:top w:val="single" w:sz="8" w:color="CCEEFF"/>
            </w:tcBorders>
          </w:tcPr>
          <w:p>
            <w:pPr>
              <w:spacing w:after="0"/>
              <w:rPr>
                <w:sz w:val="13"/>
                <w:szCs w:val="13"/>
                <w:color w:val="auto"/>
              </w:rPr>
            </w:pPr>
          </w:p>
        </w:tc>
        <w:tc>
          <w:tcPr>
            <w:tcW w:w="40" w:type="dxa"/>
            <w:vAlign w:val="bottom"/>
            <w:tcBorders>
              <w:top w:val="single" w:sz="8" w:color="0000EE"/>
            </w:tcBorders>
          </w:tcPr>
          <w:p>
            <w:pPr>
              <w:spacing w:after="0"/>
              <w:rPr>
                <w:sz w:val="13"/>
                <w:szCs w:val="13"/>
                <w:color w:val="auto"/>
              </w:rPr>
            </w:pPr>
          </w:p>
        </w:tc>
        <w:tc>
          <w:tcPr>
            <w:tcW w:w="180" w:type="dxa"/>
            <w:vAlign w:val="bottom"/>
            <w:tcBorders>
              <w:top w:val="single" w:sz="8" w:color="0000EE"/>
            </w:tcBorders>
          </w:tcPr>
          <w:p>
            <w:pPr>
              <w:spacing w:after="0"/>
              <w:rPr>
                <w:sz w:val="13"/>
                <w:szCs w:val="13"/>
                <w:color w:val="auto"/>
              </w:rPr>
            </w:pPr>
          </w:p>
        </w:tc>
        <w:tc>
          <w:tcPr>
            <w:tcW w:w="40" w:type="dxa"/>
            <w:vAlign w:val="bottom"/>
            <w:tcBorders>
              <w:top w:val="single" w:sz="8" w:color="0000EE"/>
            </w:tcBorders>
          </w:tcPr>
          <w:p>
            <w:pPr>
              <w:spacing w:after="0"/>
              <w:rPr>
                <w:sz w:val="13"/>
                <w:szCs w:val="13"/>
                <w:color w:val="auto"/>
              </w:rPr>
            </w:pPr>
          </w:p>
        </w:tc>
        <w:tc>
          <w:tcPr>
            <w:tcW w:w="420" w:type="dxa"/>
            <w:vAlign w:val="bottom"/>
            <w:tcBorders>
              <w:top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36"/>
        </w:trPr>
        <w:tc>
          <w:tcPr>
            <w:tcW w:w="20" w:type="dxa"/>
            <w:vAlign w:val="bottom"/>
          </w:tcPr>
          <w:p>
            <w:pPr>
              <w:spacing w:after="0"/>
              <w:rPr>
                <w:sz w:val="11"/>
                <w:szCs w:val="11"/>
                <w:color w:val="auto"/>
              </w:rPr>
            </w:pPr>
          </w:p>
        </w:tc>
        <w:tc>
          <w:tcPr>
            <w:tcW w:w="180" w:type="dxa"/>
            <w:vAlign w:val="bottom"/>
            <w:shd w:val="clear" w:color="auto" w:fill="CCEEFF"/>
          </w:tcPr>
          <w:p>
            <w:pPr>
              <w:spacing w:after="0"/>
              <w:rPr>
                <w:sz w:val="11"/>
                <w:szCs w:val="11"/>
                <w:color w:val="auto"/>
              </w:rPr>
            </w:pPr>
          </w:p>
        </w:tc>
        <w:tc>
          <w:tcPr>
            <w:tcW w:w="4380" w:type="dxa"/>
            <w:vAlign w:val="bottom"/>
            <w:gridSpan w:val="12"/>
            <w:shd w:val="clear" w:color="auto" w:fill="CCEEFF"/>
          </w:tcPr>
          <w:p>
            <w:pPr>
              <w:spacing w:after="0" w:line="128" w:lineRule="exact"/>
              <w:rPr>
                <w:rFonts w:ascii="Arial" w:cs="Arial" w:eastAsia="Arial" w:hAnsi="Arial"/>
                <w:sz w:val="13"/>
                <w:szCs w:val="13"/>
                <w:color w:val="0000FF"/>
              </w:rPr>
            </w:pPr>
            <w:hyperlink w:anchor="page95">
              <w:r>
                <w:rPr>
                  <w:rFonts w:ascii="Arial" w:cs="Arial" w:eastAsia="Arial" w:hAnsi="Arial"/>
                  <w:sz w:val="13"/>
                  <w:szCs w:val="13"/>
                  <w:color w:val="0000FF"/>
                </w:rPr>
                <w:t>Notes to Condensed Financial Statements</w:t>
              </w:r>
            </w:hyperlink>
          </w:p>
        </w:tc>
        <w:tc>
          <w:tcPr>
            <w:tcW w:w="6020" w:type="dxa"/>
            <w:vAlign w:val="bottom"/>
            <w:shd w:val="clear" w:color="auto" w:fill="CCEEFF"/>
          </w:tcPr>
          <w:p>
            <w:pPr>
              <w:spacing w:after="0"/>
              <w:rPr>
                <w:sz w:val="11"/>
                <w:szCs w:val="11"/>
                <w:color w:val="auto"/>
              </w:rPr>
            </w:pPr>
          </w:p>
        </w:tc>
        <w:tc>
          <w:tcPr>
            <w:tcW w:w="680" w:type="dxa"/>
            <w:vAlign w:val="bottom"/>
            <w:gridSpan w:val="4"/>
            <w:shd w:val="clear" w:color="auto" w:fill="CCEEFF"/>
          </w:tcPr>
          <w:p>
            <w:pPr>
              <w:jc w:val="center"/>
              <w:ind w:right="420"/>
              <w:spacing w:after="0" w:line="128" w:lineRule="exact"/>
              <w:rPr>
                <w:rFonts w:ascii="Arial" w:cs="Arial" w:eastAsia="Arial" w:hAnsi="Arial"/>
                <w:sz w:val="13"/>
                <w:szCs w:val="13"/>
                <w:color w:val="0000EE"/>
                <w:w w:val="97"/>
              </w:rPr>
            </w:pPr>
            <w:hyperlink w:anchor="page95">
              <w:r>
                <w:rPr>
                  <w:rFonts w:ascii="Arial" w:cs="Arial" w:eastAsia="Arial" w:hAnsi="Arial"/>
                  <w:sz w:val="13"/>
                  <w:szCs w:val="13"/>
                  <w:color w:val="0000EE"/>
                  <w:w w:val="97"/>
                </w:rPr>
                <w:t>F-33</w:t>
              </w:r>
            </w:hyperlink>
          </w:p>
        </w:tc>
        <w:tc>
          <w:tcPr>
            <w:tcW w:w="0" w:type="dxa"/>
            <w:vAlign w:val="bottom"/>
          </w:tcPr>
          <w:p>
            <w:pPr>
              <w:spacing w:after="0"/>
              <w:rPr>
                <w:sz w:val="1"/>
                <w:szCs w:val="1"/>
                <w:color w:val="auto"/>
              </w:rPr>
            </w:pPr>
          </w:p>
        </w:tc>
      </w:tr>
      <w:tr>
        <w:trPr>
          <w:trHeight w:val="625"/>
        </w:trPr>
        <w:tc>
          <w:tcPr>
            <w:tcW w:w="20" w:type="dxa"/>
            <w:vAlign w:val="bottom"/>
          </w:tcPr>
          <w:p>
            <w:pPr>
              <w:spacing w:after="0"/>
              <w:rPr>
                <w:sz w:val="24"/>
                <w:szCs w:val="24"/>
                <w:color w:val="auto"/>
              </w:rPr>
            </w:pPr>
          </w:p>
        </w:tc>
        <w:tc>
          <w:tcPr>
            <w:tcW w:w="180" w:type="dxa"/>
            <w:vAlign w:val="bottom"/>
            <w:tcBorders>
              <w:top w:val="single" w:sz="8" w:color="CCEEFF"/>
              <w:bottom w:val="single" w:sz="8" w:color="auto"/>
            </w:tcBorders>
          </w:tcPr>
          <w:p>
            <w:pPr>
              <w:spacing w:after="0"/>
              <w:rPr>
                <w:sz w:val="24"/>
                <w:szCs w:val="24"/>
                <w:color w:val="auto"/>
              </w:rPr>
            </w:pPr>
          </w:p>
        </w:tc>
        <w:tc>
          <w:tcPr>
            <w:tcW w:w="780" w:type="dxa"/>
            <w:vAlign w:val="bottom"/>
            <w:tcBorders>
              <w:top w:val="single" w:sz="8" w:color="0000FF"/>
              <w:bottom w:val="single" w:sz="8" w:color="auto"/>
            </w:tcBorders>
          </w:tcPr>
          <w:p>
            <w:pPr>
              <w:spacing w:after="0"/>
              <w:rPr>
                <w:sz w:val="24"/>
                <w:szCs w:val="24"/>
                <w:color w:val="auto"/>
              </w:rPr>
            </w:pPr>
          </w:p>
        </w:tc>
        <w:tc>
          <w:tcPr>
            <w:tcW w:w="540" w:type="dxa"/>
            <w:vAlign w:val="bottom"/>
            <w:tcBorders>
              <w:top w:val="single" w:sz="8" w:color="0000FF"/>
              <w:bottom w:val="single" w:sz="8" w:color="auto"/>
            </w:tcBorders>
          </w:tcPr>
          <w:p>
            <w:pPr>
              <w:spacing w:after="0"/>
              <w:rPr>
                <w:sz w:val="24"/>
                <w:szCs w:val="24"/>
                <w:color w:val="auto"/>
              </w:rPr>
            </w:pPr>
          </w:p>
        </w:tc>
        <w:tc>
          <w:tcPr>
            <w:tcW w:w="40" w:type="dxa"/>
            <w:vAlign w:val="bottom"/>
            <w:tcBorders>
              <w:top w:val="single" w:sz="8" w:color="0000FF"/>
              <w:bottom w:val="single" w:sz="8" w:color="auto"/>
            </w:tcBorders>
          </w:tcPr>
          <w:p>
            <w:pPr>
              <w:spacing w:after="0"/>
              <w:rPr>
                <w:sz w:val="24"/>
                <w:szCs w:val="24"/>
                <w:color w:val="auto"/>
              </w:rPr>
            </w:pPr>
          </w:p>
        </w:tc>
        <w:tc>
          <w:tcPr>
            <w:tcW w:w="40" w:type="dxa"/>
            <w:vAlign w:val="bottom"/>
            <w:tcBorders>
              <w:top w:val="single" w:sz="8" w:color="0000FF"/>
              <w:bottom w:val="single" w:sz="8" w:color="auto"/>
            </w:tcBorders>
          </w:tcPr>
          <w:p>
            <w:pPr>
              <w:spacing w:after="0"/>
              <w:rPr>
                <w:sz w:val="24"/>
                <w:szCs w:val="24"/>
                <w:color w:val="auto"/>
              </w:rPr>
            </w:pPr>
          </w:p>
        </w:tc>
        <w:tc>
          <w:tcPr>
            <w:tcW w:w="160" w:type="dxa"/>
            <w:vAlign w:val="bottom"/>
            <w:tcBorders>
              <w:top w:val="single" w:sz="8" w:color="0000FF"/>
              <w:bottom w:val="single" w:sz="8" w:color="auto"/>
            </w:tcBorders>
          </w:tcPr>
          <w:p>
            <w:pPr>
              <w:spacing w:after="0"/>
              <w:rPr>
                <w:sz w:val="24"/>
                <w:szCs w:val="24"/>
                <w:color w:val="auto"/>
              </w:rPr>
            </w:pPr>
          </w:p>
        </w:tc>
        <w:tc>
          <w:tcPr>
            <w:tcW w:w="360" w:type="dxa"/>
            <w:vAlign w:val="bottom"/>
            <w:tcBorders>
              <w:top w:val="single" w:sz="8" w:color="0000FF"/>
              <w:bottom w:val="single" w:sz="8" w:color="auto"/>
            </w:tcBorders>
          </w:tcPr>
          <w:p>
            <w:pPr>
              <w:spacing w:after="0"/>
              <w:rPr>
                <w:sz w:val="24"/>
                <w:szCs w:val="24"/>
                <w:color w:val="auto"/>
              </w:rPr>
            </w:pPr>
          </w:p>
        </w:tc>
        <w:tc>
          <w:tcPr>
            <w:tcW w:w="40" w:type="dxa"/>
            <w:vAlign w:val="bottom"/>
            <w:tcBorders>
              <w:top w:val="single" w:sz="8" w:color="0000FF"/>
              <w:bottom w:val="single" w:sz="8" w:color="auto"/>
            </w:tcBorders>
          </w:tcPr>
          <w:p>
            <w:pPr>
              <w:spacing w:after="0"/>
              <w:rPr>
                <w:sz w:val="24"/>
                <w:szCs w:val="24"/>
                <w:color w:val="auto"/>
              </w:rPr>
            </w:pPr>
          </w:p>
        </w:tc>
        <w:tc>
          <w:tcPr>
            <w:tcW w:w="200" w:type="dxa"/>
            <w:vAlign w:val="bottom"/>
            <w:tcBorders>
              <w:top w:val="single" w:sz="8" w:color="0000FF"/>
              <w:bottom w:val="single" w:sz="8" w:color="auto"/>
            </w:tcBorders>
          </w:tcPr>
          <w:p>
            <w:pPr>
              <w:spacing w:after="0"/>
              <w:rPr>
                <w:sz w:val="24"/>
                <w:szCs w:val="24"/>
                <w:color w:val="auto"/>
              </w:rPr>
            </w:pPr>
          </w:p>
        </w:tc>
        <w:tc>
          <w:tcPr>
            <w:tcW w:w="700" w:type="dxa"/>
            <w:vAlign w:val="bottom"/>
            <w:tcBorders>
              <w:top w:val="single" w:sz="8" w:color="CCEEFF"/>
              <w:bottom w:val="single" w:sz="8" w:color="auto"/>
            </w:tcBorders>
          </w:tcPr>
          <w:p>
            <w:pPr>
              <w:spacing w:after="0"/>
              <w:rPr>
                <w:sz w:val="24"/>
                <w:szCs w:val="24"/>
                <w:color w:val="auto"/>
              </w:rPr>
            </w:pPr>
          </w:p>
        </w:tc>
        <w:tc>
          <w:tcPr>
            <w:tcW w:w="680" w:type="dxa"/>
            <w:vAlign w:val="bottom"/>
            <w:tcBorders>
              <w:top w:val="single" w:sz="8" w:color="CCEEFF"/>
              <w:bottom w:val="single" w:sz="8" w:color="auto"/>
            </w:tcBorders>
          </w:tcPr>
          <w:p>
            <w:pPr>
              <w:spacing w:after="0"/>
              <w:rPr>
                <w:sz w:val="24"/>
                <w:szCs w:val="24"/>
                <w:color w:val="auto"/>
              </w:rPr>
            </w:pPr>
          </w:p>
        </w:tc>
        <w:tc>
          <w:tcPr>
            <w:tcW w:w="620" w:type="dxa"/>
            <w:vAlign w:val="bottom"/>
            <w:tcBorders>
              <w:top w:val="single" w:sz="8" w:color="CCEEFF"/>
              <w:bottom w:val="single" w:sz="8" w:color="auto"/>
            </w:tcBorders>
          </w:tcPr>
          <w:p>
            <w:pPr>
              <w:spacing w:after="0"/>
              <w:rPr>
                <w:sz w:val="24"/>
                <w:szCs w:val="24"/>
                <w:color w:val="auto"/>
              </w:rPr>
            </w:pPr>
          </w:p>
        </w:tc>
        <w:tc>
          <w:tcPr>
            <w:tcW w:w="220" w:type="dxa"/>
            <w:vAlign w:val="bottom"/>
            <w:tcBorders>
              <w:top w:val="single" w:sz="8" w:color="CCEEFF"/>
              <w:bottom w:val="single" w:sz="8" w:color="auto"/>
            </w:tcBorders>
          </w:tcPr>
          <w:p>
            <w:pPr>
              <w:spacing w:after="0"/>
              <w:rPr>
                <w:sz w:val="24"/>
                <w:szCs w:val="24"/>
                <w:color w:val="auto"/>
              </w:rPr>
            </w:pPr>
          </w:p>
        </w:tc>
        <w:tc>
          <w:tcPr>
            <w:tcW w:w="6020" w:type="dxa"/>
            <w:vAlign w:val="bottom"/>
            <w:tcBorders>
              <w:top w:val="single" w:sz="8" w:color="CCEEFF"/>
              <w:bottom w:val="single" w:sz="8" w:color="auto"/>
            </w:tcBorders>
          </w:tcPr>
          <w:p>
            <w:pPr>
              <w:jc w:val="center"/>
              <w:ind w:right="3815"/>
              <w:spacing w:after="0"/>
              <w:rPr>
                <w:sz w:val="20"/>
                <w:szCs w:val="20"/>
                <w:color w:val="auto"/>
              </w:rPr>
            </w:pPr>
            <w:r>
              <w:rPr>
                <w:rFonts w:ascii="Arial" w:cs="Arial" w:eastAsia="Arial" w:hAnsi="Arial"/>
                <w:sz w:val="13"/>
                <w:szCs w:val="13"/>
                <w:color w:val="auto"/>
                <w:w w:val="92"/>
              </w:rPr>
              <w:t>F-1</w:t>
            </w:r>
          </w:p>
        </w:tc>
        <w:tc>
          <w:tcPr>
            <w:tcW w:w="260" w:type="dxa"/>
            <w:vAlign w:val="bottom"/>
            <w:tcBorders>
              <w:top w:val="single" w:sz="8" w:color="0000EE"/>
              <w:bottom w:val="single" w:sz="8" w:color="auto"/>
            </w:tcBorders>
            <w:gridSpan w:val="3"/>
          </w:tcPr>
          <w:p>
            <w:pPr>
              <w:spacing w:after="0"/>
              <w:rPr>
                <w:sz w:val="24"/>
                <w:szCs w:val="24"/>
                <w:color w:val="auto"/>
              </w:rPr>
            </w:pPr>
          </w:p>
        </w:tc>
        <w:tc>
          <w:tcPr>
            <w:tcW w:w="420" w:type="dxa"/>
            <w:vAlign w:val="bottom"/>
            <w:tcBorders>
              <w:top w:val="single" w:sz="8" w:color="CCEEFF"/>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80"/>
          </w:cols>
          <w:pgMar w:left="300" w:top="694" w:right="319" w:bottom="1440" w:gutter="0" w:footer="0" w:header="0"/>
        </w:sectPr>
      </w:pPr>
    </w:p>
    <w:bookmarkStart w:id="63" w:name="page64"/>
    <w:bookmarkEnd w:id="63"/>
    <w:p>
      <w:pPr>
        <w:jc w:val="center"/>
        <w:spacing w:after="0"/>
        <w:rPr>
          <w:sz w:val="20"/>
          <w:szCs w:val="20"/>
          <w:color w:val="auto"/>
        </w:rPr>
      </w:pPr>
      <w:r>
        <w:rPr>
          <w:rFonts w:ascii="Arial" w:cs="Arial" w:eastAsia="Arial" w:hAnsi="Arial"/>
          <w:sz w:val="13"/>
          <w:szCs w:val="13"/>
          <w:b w:val="1"/>
          <w:bCs w:val="1"/>
          <w:color w:val="auto"/>
        </w:rPr>
        <w:t>R</w:t>
      </w:r>
      <w:r>
        <w:rPr>
          <w:rFonts w:ascii="Arial" w:cs="Arial" w:eastAsia="Arial" w:hAnsi="Arial"/>
          <w:sz w:val="8"/>
          <w:szCs w:val="8"/>
          <w:b w:val="1"/>
          <w:bCs w:val="1"/>
          <w:color w:val="auto"/>
        </w:rPr>
        <w:t>EPORT OF</w:t>
      </w:r>
      <w:r>
        <w:rPr>
          <w:rFonts w:ascii="Arial" w:cs="Arial" w:eastAsia="Arial" w:hAnsi="Arial"/>
          <w:sz w:val="13"/>
          <w:szCs w:val="13"/>
          <w:b w:val="1"/>
          <w:bCs w:val="1"/>
          <w:color w:val="auto"/>
        </w:rPr>
        <w:t xml:space="preserve"> I</w:t>
      </w:r>
      <w:r>
        <w:rPr>
          <w:rFonts w:ascii="Arial" w:cs="Arial" w:eastAsia="Arial" w:hAnsi="Arial"/>
          <w:sz w:val="8"/>
          <w:szCs w:val="8"/>
          <w:b w:val="1"/>
          <w:bCs w:val="1"/>
          <w:color w:val="auto"/>
        </w:rPr>
        <w:t>NDEPENDENT</w:t>
      </w:r>
      <w:r>
        <w:rPr>
          <w:rFonts w:ascii="Arial" w:cs="Arial" w:eastAsia="Arial" w:hAnsi="Arial"/>
          <w:sz w:val="13"/>
          <w:szCs w:val="13"/>
          <w:b w:val="1"/>
          <w:bCs w:val="1"/>
          <w:color w:val="auto"/>
        </w:rPr>
        <w:t xml:space="preserve"> R</w:t>
      </w:r>
      <w:r>
        <w:rPr>
          <w:rFonts w:ascii="Arial" w:cs="Arial" w:eastAsia="Arial" w:hAnsi="Arial"/>
          <w:sz w:val="8"/>
          <w:szCs w:val="8"/>
          <w:b w:val="1"/>
          <w:bCs w:val="1"/>
          <w:color w:val="auto"/>
        </w:rPr>
        <w:t>EGISTERED</w:t>
      </w:r>
      <w:r>
        <w:rPr>
          <w:rFonts w:ascii="Arial" w:cs="Arial" w:eastAsia="Arial" w:hAnsi="Arial"/>
          <w:sz w:val="13"/>
          <w:szCs w:val="13"/>
          <w:b w:val="1"/>
          <w:bCs w:val="1"/>
          <w:color w:val="auto"/>
        </w:rPr>
        <w:t xml:space="preserve"> P</w:t>
      </w:r>
      <w:r>
        <w:rPr>
          <w:rFonts w:ascii="Arial" w:cs="Arial" w:eastAsia="Arial" w:hAnsi="Arial"/>
          <w:sz w:val="8"/>
          <w:szCs w:val="8"/>
          <w:b w:val="1"/>
          <w:bCs w:val="1"/>
          <w:color w:val="auto"/>
        </w:rPr>
        <w:t>UBLIC</w:t>
      </w:r>
      <w:r>
        <w:rPr>
          <w:rFonts w:ascii="Arial" w:cs="Arial" w:eastAsia="Arial" w:hAnsi="Arial"/>
          <w:sz w:val="13"/>
          <w:szCs w:val="13"/>
          <w:b w:val="1"/>
          <w:bCs w:val="1"/>
          <w:color w:val="auto"/>
        </w:rPr>
        <w:t xml:space="preserve"> A</w:t>
      </w:r>
      <w:r>
        <w:rPr>
          <w:rFonts w:ascii="Arial" w:cs="Arial" w:eastAsia="Arial" w:hAnsi="Arial"/>
          <w:sz w:val="8"/>
          <w:szCs w:val="8"/>
          <w:b w:val="1"/>
          <w:bCs w:val="1"/>
          <w:color w:val="auto"/>
        </w:rPr>
        <w:t>CCOUNTING</w:t>
      </w:r>
      <w:r>
        <w:rPr>
          <w:rFonts w:ascii="Arial" w:cs="Arial" w:eastAsia="Arial" w:hAnsi="Arial"/>
          <w:sz w:val="13"/>
          <w:szCs w:val="13"/>
          <w:b w:val="1"/>
          <w:bCs w:val="1"/>
          <w:color w:val="auto"/>
        </w:rPr>
        <w:t xml:space="preserve"> F</w:t>
      </w:r>
      <w:r>
        <w:rPr>
          <w:rFonts w:ascii="Arial" w:cs="Arial" w:eastAsia="Arial" w:hAnsi="Arial"/>
          <w:sz w:val="8"/>
          <w:szCs w:val="8"/>
          <w:b w:val="1"/>
          <w:bCs w:val="1"/>
          <w:color w:val="auto"/>
        </w:rPr>
        <w:t>IRM</w:t>
      </w:r>
    </w:p>
    <w:p>
      <w:pPr>
        <w:spacing w:after="0" w:line="324" w:lineRule="exact"/>
        <w:rPr>
          <w:sz w:val="20"/>
          <w:szCs w:val="20"/>
          <w:color w:val="auto"/>
        </w:rPr>
      </w:pPr>
    </w:p>
    <w:p>
      <w:pPr>
        <w:spacing w:after="0"/>
        <w:rPr>
          <w:sz w:val="20"/>
          <w:szCs w:val="20"/>
          <w:color w:val="auto"/>
        </w:rPr>
      </w:pPr>
      <w:r>
        <w:rPr>
          <w:rFonts w:ascii="Arial" w:cs="Arial" w:eastAsia="Arial" w:hAnsi="Arial"/>
          <w:sz w:val="13"/>
          <w:szCs w:val="13"/>
          <w:color w:val="auto"/>
        </w:rPr>
        <w:t>To the Board of Director and Stockholders of</w:t>
      </w:r>
    </w:p>
    <w:p>
      <w:pPr>
        <w:spacing w:after="0" w:line="15" w:lineRule="exact"/>
        <w:rPr>
          <w:sz w:val="20"/>
          <w:szCs w:val="20"/>
          <w:color w:val="auto"/>
        </w:rPr>
      </w:pPr>
    </w:p>
    <w:p>
      <w:pPr>
        <w:spacing w:after="0"/>
        <w:rPr>
          <w:sz w:val="20"/>
          <w:szCs w:val="20"/>
          <w:color w:val="auto"/>
        </w:rPr>
      </w:pPr>
      <w:r>
        <w:rPr>
          <w:rFonts w:ascii="Arial" w:cs="Arial" w:eastAsia="Arial" w:hAnsi="Arial"/>
          <w:sz w:val="13"/>
          <w:szCs w:val="13"/>
          <w:color w:val="auto"/>
        </w:rPr>
        <w:t>Knightscope, Inc.</w:t>
      </w:r>
    </w:p>
    <w:p>
      <w:pPr>
        <w:spacing w:after="0" w:line="15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Opinion on the Financial Statements</w:t>
      </w:r>
    </w:p>
    <w:p>
      <w:pPr>
        <w:spacing w:after="0" w:line="167"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We have audited the accompanying balance sheets of Knightscope, Inc. (a Delaware corporation) (the “Company”) as of December 31, 2020 and 2019, and the related statements of operations, preferred stock and changes in stockholders’ deficit, and cash flows for each of the two years in the period ended December 31, 2020, and the related notes (collectively referred to as the financial statements). In our opinion, the financial statements present fairly, in all material respects, the financial position of the Company as of December 31, 2020 and 2019, and the results of its operations and its cash flows for each of the two years in the period ended December 31, 2020, in conformity with accounting principles generally accepted in the United States of America.</w:t>
      </w:r>
    </w:p>
    <w:p>
      <w:pPr>
        <w:spacing w:after="0" w:line="13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Substantial Doubt about the Company’s Ability to Continue as a Going Concern</w:t>
      </w:r>
    </w:p>
    <w:p>
      <w:pPr>
        <w:spacing w:after="0" w:line="167"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The accompanying financial statements have been prepared assuming that the Company will continue as a going concern. As discussed in Note 1 to the financial statements, the Company’s recurring losses from operations, available cash and cash used in operating activities raise substantial doubt about its ability to continue as a going concern. Management's plans regarding these matters are also described in Note 1. The financial statements do not include any adjustments that might result from the outcome of this uncertainty.</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Basis for Opinion</w:t>
      </w:r>
    </w:p>
    <w:p>
      <w:pPr>
        <w:spacing w:after="0" w:line="167"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These financial statements are the responsibility of the Company’s management. Our responsibility is to express an opinion on the Company’s financial statements based on our audits. We are a public accounting firm registered with the Public Company Accounting Oversight Board (United States) (“PCAOB”) and are required to be independent with respect to the Company in accordance with the U.S. federal securities laws and the applicable rules and regulations of the Securities and Exchange Commission and the PCAOB.</w:t>
      </w:r>
    </w:p>
    <w:p>
      <w:pPr>
        <w:spacing w:after="0" w:line="136"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We conducted our audits in accordance with the standards of the PCAOB. Those standards require that we plan and perform the audit to obtain reasonable assurance about whether the financial statements are free of material misstatement, whether due to error or fraud. The Company is not required to have, nor were we engaged to perform, an audit of its internal control over financial reporting. As part of our audits, we are required to obtain an understanding of internal control over financial reporting but not for the purpose of expressing an opinion on the effectiveness of the Company's internal control over financial reporting. Accordingly, we express no such opinion.</w:t>
      </w:r>
    </w:p>
    <w:p>
      <w:pPr>
        <w:spacing w:after="0" w:line="139"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pPr>
        <w:spacing w:after="0" w:line="119" w:lineRule="exact"/>
        <w:rPr>
          <w:sz w:val="20"/>
          <w:szCs w:val="20"/>
          <w:color w:val="auto"/>
        </w:rPr>
      </w:pPr>
    </w:p>
    <w:p>
      <w:pPr>
        <w:spacing w:after="0"/>
        <w:rPr>
          <w:sz w:val="20"/>
          <w:szCs w:val="20"/>
          <w:color w:val="auto"/>
        </w:rPr>
      </w:pPr>
      <w:r>
        <w:rPr>
          <w:rFonts w:ascii="Arial" w:cs="Arial" w:eastAsia="Arial" w:hAnsi="Arial"/>
          <w:sz w:val="13"/>
          <w:szCs w:val="13"/>
          <w:color w:val="auto"/>
        </w:rPr>
        <w:t>/s/ BPM LLP</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We have served as the Company’s auditor since 2020.</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San Jose, California</w:t>
      </w:r>
    </w:p>
    <w:p>
      <w:pPr>
        <w:spacing w:after="0" w:line="15" w:lineRule="exact"/>
        <w:rPr>
          <w:sz w:val="20"/>
          <w:szCs w:val="20"/>
          <w:color w:val="auto"/>
        </w:rPr>
      </w:pPr>
    </w:p>
    <w:p>
      <w:pPr>
        <w:spacing w:after="0"/>
        <w:rPr>
          <w:sz w:val="20"/>
          <w:szCs w:val="20"/>
          <w:color w:val="auto"/>
        </w:rPr>
      </w:pPr>
      <w:r>
        <w:rPr>
          <w:rFonts w:ascii="Arial" w:cs="Arial" w:eastAsia="Arial" w:hAnsi="Arial"/>
          <w:sz w:val="13"/>
          <w:szCs w:val="13"/>
          <w:color w:val="auto"/>
        </w:rPr>
        <w:t>October 14, 2021</w:t>
      </w:r>
    </w:p>
    <w:p>
      <w:pPr>
        <w:spacing w:after="0" w:line="156"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64" w:name="page65"/>
    <w:bookmarkEnd w:id="64"/>
    <w:p>
      <w:pPr>
        <w:jc w:val="center"/>
        <w:spacing w:after="0"/>
        <w:rPr>
          <w:sz w:val="20"/>
          <w:szCs w:val="20"/>
          <w:color w:val="auto"/>
        </w:rPr>
      </w:pPr>
      <w:r>
        <w:rPr>
          <w:rFonts w:ascii="Arial" w:cs="Arial" w:eastAsia="Arial" w:hAnsi="Arial"/>
          <w:sz w:val="13"/>
          <w:szCs w:val="13"/>
          <w:b w:val="1"/>
          <w:bCs w:val="1"/>
          <w:color w:val="auto"/>
        </w:rPr>
        <w:t>KNIGHTSCOPE, INC.</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BALANCE SHEETS</w:t>
      </w:r>
    </w:p>
    <w:p>
      <w:pPr>
        <w:spacing w:after="0" w:line="161"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20" w:type="dxa"/>
            <w:vAlign w:val="bottom"/>
          </w:tcPr>
          <w:p>
            <w:pPr>
              <w:spacing w:after="0"/>
              <w:rPr>
                <w:sz w:val="14"/>
                <w:szCs w:val="14"/>
                <w:color w:val="auto"/>
              </w:rPr>
            </w:pPr>
          </w:p>
        </w:tc>
        <w:tc>
          <w:tcPr>
            <w:tcW w:w="838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280" w:type="dxa"/>
            <w:vAlign w:val="bottom"/>
            <w:tcBorders>
              <w:bottom w:val="single" w:sz="8" w:color="auto"/>
            </w:tcBorders>
          </w:tcPr>
          <w:p>
            <w:pPr>
              <w:spacing w:after="0"/>
              <w:rPr>
                <w:sz w:val="14"/>
                <w:szCs w:val="14"/>
                <w:color w:val="auto"/>
              </w:rPr>
            </w:pPr>
          </w:p>
        </w:tc>
        <w:tc>
          <w:tcPr>
            <w:tcW w:w="1560" w:type="dxa"/>
            <w:vAlign w:val="bottom"/>
            <w:tcBorders>
              <w:bottom w:val="single" w:sz="8" w:color="auto"/>
            </w:tcBorders>
            <w:gridSpan w:val="4"/>
          </w:tcPr>
          <w:p>
            <w:pPr>
              <w:jc w:val="right"/>
              <w:ind w:right="120"/>
              <w:spacing w:after="0"/>
              <w:rPr>
                <w:sz w:val="20"/>
                <w:szCs w:val="20"/>
                <w:color w:val="auto"/>
              </w:rPr>
            </w:pPr>
            <w:r>
              <w:rPr>
                <w:rFonts w:ascii="Arial" w:cs="Arial" w:eastAsia="Arial" w:hAnsi="Arial"/>
                <w:sz w:val="13"/>
                <w:szCs w:val="13"/>
                <w:b w:val="1"/>
                <w:bCs w:val="1"/>
                <w:color w:val="auto"/>
              </w:rPr>
              <w:t>December 31,</w:t>
            </w:r>
          </w:p>
        </w:tc>
        <w:tc>
          <w:tcPr>
            <w:tcW w:w="860" w:type="dxa"/>
            <w:vAlign w:val="bottom"/>
            <w:tcBorders>
              <w:bottom w:val="single" w:sz="8" w:color="auto"/>
            </w:tcBorders>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7"/>
        </w:trPr>
        <w:tc>
          <w:tcPr>
            <w:tcW w:w="20" w:type="dxa"/>
            <w:vAlign w:val="bottom"/>
          </w:tcPr>
          <w:p>
            <w:pPr>
              <w:spacing w:after="0"/>
              <w:rPr>
                <w:sz w:val="13"/>
                <w:szCs w:val="13"/>
                <w:color w:val="auto"/>
              </w:rPr>
            </w:pPr>
          </w:p>
        </w:tc>
        <w:tc>
          <w:tcPr>
            <w:tcW w:w="8380" w:type="dxa"/>
            <w:vAlign w:val="bottom"/>
            <w:tcBorders>
              <w:bottom w:val="single" w:sz="8" w:color="CCEEFF"/>
            </w:tcBorders>
          </w:tcPr>
          <w:p>
            <w:pPr>
              <w:spacing w:after="0"/>
              <w:rPr>
                <w:sz w:val="13"/>
                <w:szCs w:val="13"/>
                <w:color w:val="auto"/>
              </w:rPr>
            </w:pPr>
          </w:p>
        </w:tc>
        <w:tc>
          <w:tcPr>
            <w:tcW w:w="80" w:type="dxa"/>
            <w:vAlign w:val="bottom"/>
            <w:tcBorders>
              <w:bottom w:val="single" w:sz="8" w:color="CCEEFF"/>
            </w:tcBorders>
          </w:tcPr>
          <w:p>
            <w:pPr>
              <w:spacing w:after="0"/>
              <w:rPr>
                <w:sz w:val="13"/>
                <w:szCs w:val="13"/>
                <w:color w:val="auto"/>
              </w:rPr>
            </w:pPr>
          </w:p>
        </w:tc>
        <w:tc>
          <w:tcPr>
            <w:tcW w:w="280" w:type="dxa"/>
            <w:vAlign w:val="bottom"/>
            <w:tcBorders>
              <w:bottom w:val="single" w:sz="8" w:color="auto"/>
            </w:tcBorders>
          </w:tcPr>
          <w:p>
            <w:pPr>
              <w:spacing w:after="0"/>
              <w:rPr>
                <w:sz w:val="13"/>
                <w:szCs w:val="13"/>
                <w:color w:val="auto"/>
              </w:rPr>
            </w:pPr>
          </w:p>
        </w:tc>
        <w:tc>
          <w:tcPr>
            <w:tcW w:w="96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40" w:type="dxa"/>
            <w:vAlign w:val="bottom"/>
            <w:tcBorders>
              <w:bottom w:val="single" w:sz="8" w:color="CCEEFF"/>
            </w:tcBorders>
          </w:tcPr>
          <w:p>
            <w:pPr>
              <w:spacing w:after="0"/>
              <w:rPr>
                <w:sz w:val="13"/>
                <w:szCs w:val="13"/>
                <w:color w:val="auto"/>
              </w:rPr>
            </w:pPr>
          </w:p>
        </w:tc>
        <w:tc>
          <w:tcPr>
            <w:tcW w:w="100" w:type="dxa"/>
            <w:vAlign w:val="bottom"/>
            <w:tcBorders>
              <w:bottom w:val="single" w:sz="8" w:color="CCEEFF"/>
            </w:tcBorders>
          </w:tcPr>
          <w:p>
            <w:pPr>
              <w:spacing w:after="0"/>
              <w:rPr>
                <w:sz w:val="13"/>
                <w:szCs w:val="13"/>
                <w:color w:val="auto"/>
              </w:rPr>
            </w:pPr>
          </w:p>
        </w:tc>
        <w:tc>
          <w:tcPr>
            <w:tcW w:w="360" w:type="dxa"/>
            <w:vAlign w:val="bottom"/>
            <w:tcBorders>
              <w:bottom w:val="single" w:sz="8" w:color="auto"/>
            </w:tcBorders>
          </w:tcPr>
          <w:p>
            <w:pPr>
              <w:spacing w:after="0"/>
              <w:rPr>
                <w:sz w:val="13"/>
                <w:szCs w:val="13"/>
                <w:color w:val="auto"/>
              </w:rPr>
            </w:pPr>
          </w:p>
        </w:tc>
        <w:tc>
          <w:tcPr>
            <w:tcW w:w="86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2019</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80" w:type="dxa"/>
            <w:vAlign w:val="bottom"/>
            <w:shd w:val="clear" w:color="auto" w:fill="CCEEFF"/>
          </w:tcPr>
          <w:p>
            <w:pPr>
              <w:spacing w:after="0" w:line="146" w:lineRule="exact"/>
              <w:rPr>
                <w:sz w:val="20"/>
                <w:szCs w:val="20"/>
                <w:color w:val="auto"/>
              </w:rPr>
            </w:pPr>
            <w:r>
              <w:rPr>
                <w:rFonts w:ascii="Arial" w:cs="Arial" w:eastAsia="Arial" w:hAnsi="Arial"/>
                <w:sz w:val="13"/>
                <w:szCs w:val="13"/>
                <w:b w:val="1"/>
                <w:bCs w:val="1"/>
                <w:color w:val="auto"/>
              </w:rPr>
              <w:t>ASSETS</w:t>
            </w:r>
          </w:p>
        </w:tc>
        <w:tc>
          <w:tcPr>
            <w:tcW w:w="80" w:type="dxa"/>
            <w:vAlign w:val="bottom"/>
            <w:shd w:val="clear" w:color="auto" w:fill="CCEEFF"/>
          </w:tcPr>
          <w:p>
            <w:pPr>
              <w:spacing w:after="0"/>
              <w:rPr>
                <w:sz w:val="12"/>
                <w:szCs w:val="12"/>
                <w:color w:val="auto"/>
              </w:rPr>
            </w:pPr>
          </w:p>
        </w:tc>
        <w:tc>
          <w:tcPr>
            <w:tcW w:w="2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360" w:type="dxa"/>
            <w:vAlign w:val="bottom"/>
            <w:shd w:val="clear" w:color="auto" w:fill="CCEEFF"/>
          </w:tcPr>
          <w:p>
            <w:pPr>
              <w:spacing w:after="0"/>
              <w:rPr>
                <w:sz w:val="12"/>
                <w:szCs w:val="12"/>
                <w:color w:val="auto"/>
              </w:rPr>
            </w:pPr>
          </w:p>
        </w:tc>
        <w:tc>
          <w:tcPr>
            <w:tcW w:w="8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tcPr>
          <w:p>
            <w:pPr>
              <w:ind w:left="100"/>
              <w:spacing w:after="0"/>
              <w:rPr>
                <w:sz w:val="20"/>
                <w:szCs w:val="20"/>
                <w:color w:val="auto"/>
              </w:rPr>
            </w:pPr>
            <w:r>
              <w:rPr>
                <w:rFonts w:ascii="Arial" w:cs="Arial" w:eastAsia="Arial" w:hAnsi="Arial"/>
                <w:sz w:val="13"/>
                <w:szCs w:val="13"/>
                <w:color w:val="auto"/>
              </w:rPr>
              <w:t>Current assets:</w:t>
            </w: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shd w:val="clear" w:color="auto" w:fill="CCEEFF"/>
          </w:tcPr>
          <w:p>
            <w:pPr>
              <w:ind w:left="220"/>
              <w:spacing w:after="0"/>
              <w:rPr>
                <w:sz w:val="20"/>
                <w:szCs w:val="20"/>
                <w:color w:val="auto"/>
              </w:rPr>
            </w:pPr>
            <w:r>
              <w:rPr>
                <w:rFonts w:ascii="Arial" w:cs="Arial" w:eastAsia="Arial" w:hAnsi="Arial"/>
                <w:sz w:val="13"/>
                <w:szCs w:val="13"/>
                <w:color w:val="auto"/>
              </w:rPr>
              <w:t>Cash and cash equivalents</w:t>
            </w:r>
          </w:p>
        </w:tc>
        <w:tc>
          <w:tcPr>
            <w:tcW w:w="36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7,056,597</w:t>
            </w:r>
          </w:p>
        </w:tc>
        <w:tc>
          <w:tcPr>
            <w:tcW w:w="460" w:type="dxa"/>
            <w:vAlign w:val="bottom"/>
            <w:gridSpan w:val="2"/>
            <w:shd w:val="clear" w:color="auto" w:fill="CCEEFF"/>
          </w:tcPr>
          <w:p>
            <w:pPr>
              <w:jc w:val="right"/>
              <w:ind w:right="300"/>
              <w:spacing w:after="0"/>
              <w:rPr>
                <w:sz w:val="20"/>
                <w:szCs w:val="20"/>
                <w:color w:val="auto"/>
              </w:rPr>
            </w:pPr>
            <w:r>
              <w:rPr>
                <w:rFonts w:ascii="Arial" w:cs="Arial" w:eastAsia="Arial" w:hAnsi="Arial"/>
                <w:sz w:val="13"/>
                <w:szCs w:val="13"/>
                <w:color w:val="auto"/>
              </w:rPr>
              <w:t>$</w:t>
            </w: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608,674</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tcPr>
          <w:p>
            <w:pPr>
              <w:ind w:left="220"/>
              <w:spacing w:after="0"/>
              <w:rPr>
                <w:sz w:val="20"/>
                <w:szCs w:val="20"/>
                <w:color w:val="auto"/>
              </w:rPr>
            </w:pPr>
            <w:r>
              <w:rPr>
                <w:rFonts w:ascii="Arial" w:cs="Arial" w:eastAsia="Arial" w:hAnsi="Arial"/>
                <w:sz w:val="13"/>
                <w:szCs w:val="13"/>
                <w:color w:val="auto"/>
              </w:rPr>
              <w:t>Restricted cash</w:t>
            </w: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100,000</w:t>
            </w: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100,000</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shd w:val="clear" w:color="auto" w:fill="CCEEFF"/>
          </w:tcPr>
          <w:p>
            <w:pPr>
              <w:ind w:left="220"/>
              <w:spacing w:after="0"/>
              <w:rPr>
                <w:sz w:val="20"/>
                <w:szCs w:val="20"/>
                <w:color w:val="auto"/>
              </w:rPr>
            </w:pPr>
            <w:r>
              <w:rPr>
                <w:rFonts w:ascii="Arial" w:cs="Arial" w:eastAsia="Arial" w:hAnsi="Arial"/>
                <w:sz w:val="13"/>
                <w:szCs w:val="13"/>
                <w:color w:val="auto"/>
              </w:rPr>
              <w:t>Accounts receivable, net</w:t>
            </w:r>
          </w:p>
        </w:tc>
        <w:tc>
          <w:tcPr>
            <w:tcW w:w="8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874,354</w:t>
            </w: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655,659</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8380" w:type="dxa"/>
            <w:vAlign w:val="bottom"/>
          </w:tcPr>
          <w:p>
            <w:pPr>
              <w:ind w:left="220"/>
              <w:spacing w:after="0"/>
              <w:rPr>
                <w:sz w:val="20"/>
                <w:szCs w:val="20"/>
                <w:color w:val="auto"/>
              </w:rPr>
            </w:pPr>
            <w:r>
              <w:rPr>
                <w:rFonts w:ascii="Arial" w:cs="Arial" w:eastAsia="Arial" w:hAnsi="Arial"/>
                <w:sz w:val="13"/>
                <w:szCs w:val="13"/>
                <w:color w:val="auto"/>
              </w:rPr>
              <w:t>Prepaid expenses and other current assets</w:t>
            </w:r>
          </w:p>
        </w:tc>
        <w:tc>
          <w:tcPr>
            <w:tcW w:w="8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756,617</w:t>
            </w:r>
          </w:p>
        </w:tc>
        <w:tc>
          <w:tcPr>
            <w:tcW w:w="10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846,573</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8380" w:type="dxa"/>
            <w:vAlign w:val="bottom"/>
            <w:tcBorders>
              <w:top w:val="single" w:sz="8" w:color="CCEEFF"/>
            </w:tcBorders>
            <w:shd w:val="clear" w:color="auto" w:fill="CCEEFF"/>
          </w:tcPr>
          <w:p>
            <w:pPr>
              <w:ind w:left="340"/>
              <w:spacing w:after="0" w:line="145" w:lineRule="exact"/>
              <w:rPr>
                <w:sz w:val="20"/>
                <w:szCs w:val="20"/>
                <w:color w:val="auto"/>
              </w:rPr>
            </w:pPr>
            <w:r>
              <w:rPr>
                <w:rFonts w:ascii="Arial" w:cs="Arial" w:eastAsia="Arial" w:hAnsi="Arial"/>
                <w:sz w:val="13"/>
                <w:szCs w:val="13"/>
                <w:color w:val="auto"/>
              </w:rPr>
              <w:t>Total current assets</w:t>
            </w:r>
          </w:p>
        </w:tc>
        <w:tc>
          <w:tcPr>
            <w:tcW w:w="8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8,787,568</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360" w:type="dxa"/>
            <w:vAlign w:val="bottom"/>
            <w:tcBorders>
              <w:top w:val="single" w:sz="8" w:color="auto"/>
              <w:bottom w:val="single" w:sz="8" w:color="auto"/>
            </w:tcBorders>
            <w:shd w:val="clear" w:color="auto" w:fill="CCEEFF"/>
          </w:tcPr>
          <w:p>
            <w:pPr>
              <w:spacing w:after="0"/>
              <w:rPr>
                <w:sz w:val="12"/>
                <w:szCs w:val="12"/>
                <w:color w:val="auto"/>
              </w:rPr>
            </w:pPr>
          </w:p>
        </w:tc>
        <w:tc>
          <w:tcPr>
            <w:tcW w:w="8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2,210,906</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360" w:type="dxa"/>
            <w:vAlign w:val="bottom"/>
          </w:tcPr>
          <w:p>
            <w:pPr>
              <w:spacing w:after="0"/>
              <w:rPr>
                <w:sz w:val="12"/>
                <w:szCs w:val="12"/>
                <w:color w:val="auto"/>
              </w:rPr>
            </w:pPr>
          </w:p>
        </w:tc>
        <w:tc>
          <w:tcPr>
            <w:tcW w:w="8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shd w:val="clear" w:color="auto" w:fill="CCEEFF"/>
          </w:tcPr>
          <w:p>
            <w:pPr>
              <w:ind w:left="100"/>
              <w:spacing w:after="0"/>
              <w:rPr>
                <w:sz w:val="20"/>
                <w:szCs w:val="20"/>
                <w:color w:val="auto"/>
              </w:rPr>
            </w:pPr>
            <w:r>
              <w:rPr>
                <w:rFonts w:ascii="Arial" w:cs="Arial" w:eastAsia="Arial" w:hAnsi="Arial"/>
                <w:sz w:val="13"/>
                <w:szCs w:val="13"/>
                <w:color w:val="auto"/>
              </w:rPr>
              <w:t>Non-current assets:</w:t>
            </w:r>
          </w:p>
        </w:tc>
        <w:tc>
          <w:tcPr>
            <w:tcW w:w="8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tcPr>
          <w:p>
            <w:pPr>
              <w:ind w:left="220"/>
              <w:spacing w:after="0"/>
              <w:rPr>
                <w:sz w:val="20"/>
                <w:szCs w:val="20"/>
                <w:color w:val="auto"/>
              </w:rPr>
            </w:pPr>
            <w:r>
              <w:rPr>
                <w:rFonts w:ascii="Arial" w:cs="Arial" w:eastAsia="Arial" w:hAnsi="Arial"/>
                <w:sz w:val="13"/>
                <w:szCs w:val="13"/>
                <w:color w:val="auto"/>
              </w:rPr>
              <w:t>Autonomous Security Robots, net</w:t>
            </w: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2,290,430</w:t>
            </w: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3,030,603</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shd w:val="clear" w:color="auto" w:fill="CCEEFF"/>
          </w:tcPr>
          <w:p>
            <w:pPr>
              <w:ind w:left="220"/>
              <w:spacing w:after="0"/>
              <w:rPr>
                <w:sz w:val="20"/>
                <w:szCs w:val="20"/>
                <w:color w:val="auto"/>
              </w:rPr>
            </w:pPr>
            <w:r>
              <w:rPr>
                <w:rFonts w:ascii="Arial" w:cs="Arial" w:eastAsia="Arial" w:hAnsi="Arial"/>
                <w:sz w:val="13"/>
                <w:szCs w:val="13"/>
                <w:color w:val="auto"/>
              </w:rPr>
              <w:t>Property, equipment and software, net</w:t>
            </w:r>
          </w:p>
        </w:tc>
        <w:tc>
          <w:tcPr>
            <w:tcW w:w="8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21,903</w:t>
            </w: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9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63,055</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tcPr>
          <w:p>
            <w:pPr>
              <w:ind w:left="220"/>
              <w:spacing w:after="0"/>
              <w:rPr>
                <w:sz w:val="20"/>
                <w:szCs w:val="20"/>
                <w:color w:val="auto"/>
              </w:rPr>
            </w:pPr>
            <w:r>
              <w:rPr>
                <w:rFonts w:ascii="Arial" w:cs="Arial" w:eastAsia="Arial" w:hAnsi="Arial"/>
                <w:sz w:val="13"/>
                <w:szCs w:val="13"/>
                <w:color w:val="auto"/>
              </w:rPr>
              <w:t>Operating lease right-of-use-assets</w:t>
            </w: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1,624,191</w:t>
            </w: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960" w:type="dxa"/>
            <w:vAlign w:val="bottom"/>
            <w:gridSpan w:val="2"/>
          </w:tcPr>
          <w:p>
            <w:pPr>
              <w:jc w:val="right"/>
              <w:ind w:right="100"/>
              <w:spacing w:after="0"/>
              <w:rPr>
                <w:sz w:val="20"/>
                <w:szCs w:val="20"/>
                <w:color w:val="auto"/>
              </w:rPr>
            </w:pPr>
            <w:r>
              <w:rPr>
                <w:rFonts w:ascii="Arial" w:cs="Arial" w:eastAsia="Arial" w:hAnsi="Arial"/>
                <w:sz w:val="13"/>
                <w:szCs w:val="13"/>
                <w:color w:val="auto"/>
              </w:rPr>
              <w:t>2,111,818</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8380" w:type="dxa"/>
            <w:vAlign w:val="bottom"/>
            <w:shd w:val="clear" w:color="auto" w:fill="CCEEFF"/>
          </w:tcPr>
          <w:p>
            <w:pPr>
              <w:ind w:left="220"/>
              <w:spacing w:after="0"/>
              <w:rPr>
                <w:sz w:val="20"/>
                <w:szCs w:val="20"/>
                <w:color w:val="auto"/>
              </w:rPr>
            </w:pPr>
            <w:r>
              <w:rPr>
                <w:rFonts w:ascii="Arial" w:cs="Arial" w:eastAsia="Arial" w:hAnsi="Arial"/>
                <w:sz w:val="13"/>
                <w:szCs w:val="13"/>
                <w:color w:val="auto"/>
              </w:rPr>
              <w:t>Other assets</w:t>
            </w:r>
          </w:p>
        </w:tc>
        <w:tc>
          <w:tcPr>
            <w:tcW w:w="8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219,642</w:t>
            </w:r>
          </w:p>
        </w:tc>
        <w:tc>
          <w:tcPr>
            <w:tcW w:w="100" w:type="dxa"/>
            <w:vAlign w:val="bottom"/>
            <w:shd w:val="clear" w:color="auto" w:fill="CCEEFF"/>
          </w:tcPr>
          <w:p>
            <w:pPr>
              <w:spacing w:after="0"/>
              <w:rPr>
                <w:sz w:val="14"/>
                <w:szCs w:val="14"/>
                <w:color w:val="auto"/>
              </w:rPr>
            </w:pPr>
          </w:p>
        </w:tc>
        <w:tc>
          <w:tcPr>
            <w:tcW w:w="360" w:type="dxa"/>
            <w:vAlign w:val="bottom"/>
            <w:shd w:val="clear" w:color="auto" w:fill="CCEEFF"/>
          </w:tcPr>
          <w:p>
            <w:pPr>
              <w:spacing w:after="0"/>
              <w:rPr>
                <w:sz w:val="14"/>
                <w:szCs w:val="14"/>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319,770</w:t>
            </w:r>
          </w:p>
        </w:tc>
        <w:tc>
          <w:tcPr>
            <w:tcW w:w="10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80" w:type="dxa"/>
            <w:vAlign w:val="bottom"/>
            <w:tcBorders>
              <w:bottom w:val="single" w:sz="8" w:color="CCEEFF"/>
            </w:tcBorders>
          </w:tcPr>
          <w:p>
            <w:pPr>
              <w:ind w:left="340"/>
              <w:spacing w:after="0" w:line="144" w:lineRule="exact"/>
              <w:rPr>
                <w:sz w:val="20"/>
                <w:szCs w:val="20"/>
                <w:color w:val="auto"/>
              </w:rPr>
            </w:pPr>
            <w:r>
              <w:rPr>
                <w:rFonts w:ascii="Arial" w:cs="Arial" w:eastAsia="Arial" w:hAnsi="Arial"/>
                <w:sz w:val="13"/>
                <w:szCs w:val="13"/>
                <w:color w:val="auto"/>
              </w:rPr>
              <w:t>Total non-current assets</w:t>
            </w:r>
          </w:p>
        </w:tc>
        <w:tc>
          <w:tcPr>
            <w:tcW w:w="80" w:type="dxa"/>
            <w:vAlign w:val="bottom"/>
            <w:tcBorders>
              <w:bottom w:val="single" w:sz="8" w:color="CCEEFF"/>
            </w:tcBorders>
          </w:tcPr>
          <w:p>
            <w:pPr>
              <w:spacing w:after="0"/>
              <w:rPr>
                <w:sz w:val="12"/>
                <w:szCs w:val="12"/>
                <w:color w:val="auto"/>
              </w:rPr>
            </w:pPr>
          </w:p>
        </w:tc>
        <w:tc>
          <w:tcPr>
            <w:tcW w:w="280" w:type="dxa"/>
            <w:vAlign w:val="bottom"/>
            <w:tcBorders>
              <w:top w:val="single" w:sz="8" w:color="auto"/>
              <w:bottom w:val="single" w:sz="8" w:color="auto"/>
            </w:tcBorders>
          </w:tcPr>
          <w:p>
            <w:pPr>
              <w:spacing w:after="0"/>
              <w:rPr>
                <w:sz w:val="12"/>
                <w:szCs w:val="12"/>
                <w:color w:val="auto"/>
              </w:rPr>
            </w:pP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4,156,166</w:t>
            </w:r>
          </w:p>
        </w:tc>
        <w:tc>
          <w:tcPr>
            <w:tcW w:w="140" w:type="dxa"/>
            <w:vAlign w:val="bottom"/>
            <w:tcBorders>
              <w:bottom w:val="single" w:sz="8" w:color="CCEEFF"/>
            </w:tcBorders>
          </w:tcPr>
          <w:p>
            <w:pPr>
              <w:spacing w:after="0"/>
              <w:rPr>
                <w:sz w:val="12"/>
                <w:szCs w:val="12"/>
                <w:color w:val="auto"/>
              </w:rPr>
            </w:pPr>
          </w:p>
        </w:tc>
        <w:tc>
          <w:tcPr>
            <w:tcW w:w="100" w:type="dxa"/>
            <w:vAlign w:val="bottom"/>
            <w:tcBorders>
              <w:bottom w:val="single" w:sz="8" w:color="CCEEFF"/>
            </w:tcBorders>
          </w:tcPr>
          <w:p>
            <w:pPr>
              <w:spacing w:after="0"/>
              <w:rPr>
                <w:sz w:val="12"/>
                <w:szCs w:val="12"/>
                <w:color w:val="auto"/>
              </w:rPr>
            </w:pPr>
          </w:p>
        </w:tc>
        <w:tc>
          <w:tcPr>
            <w:tcW w:w="360" w:type="dxa"/>
            <w:vAlign w:val="bottom"/>
            <w:tcBorders>
              <w:top w:val="single" w:sz="8" w:color="auto"/>
              <w:bottom w:val="single" w:sz="8" w:color="auto"/>
            </w:tcBorders>
          </w:tcPr>
          <w:p>
            <w:pPr>
              <w:spacing w:after="0"/>
              <w:rPr>
                <w:sz w:val="12"/>
                <w:szCs w:val="12"/>
                <w:color w:val="auto"/>
              </w:rPr>
            </w:pPr>
          </w:p>
        </w:tc>
        <w:tc>
          <w:tcPr>
            <w:tcW w:w="8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5,525,246</w:t>
            </w:r>
          </w:p>
        </w:tc>
        <w:tc>
          <w:tcPr>
            <w:tcW w:w="100" w:type="dxa"/>
            <w:vAlign w:val="bottom"/>
            <w:tcBorders>
              <w:bottom w:val="single" w:sz="8" w:color="CCEEFF"/>
            </w:tcBorders>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8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2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360" w:type="dxa"/>
            <w:vAlign w:val="bottom"/>
            <w:shd w:val="clear" w:color="auto" w:fill="CCEEFF"/>
          </w:tcPr>
          <w:p>
            <w:pPr>
              <w:spacing w:after="0"/>
              <w:rPr>
                <w:sz w:val="12"/>
                <w:szCs w:val="12"/>
                <w:color w:val="auto"/>
              </w:rPr>
            </w:pPr>
          </w:p>
        </w:tc>
        <w:tc>
          <w:tcPr>
            <w:tcW w:w="8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85"/>
        </w:trPr>
        <w:tc>
          <w:tcPr>
            <w:tcW w:w="20" w:type="dxa"/>
            <w:vAlign w:val="bottom"/>
          </w:tcPr>
          <w:p>
            <w:pPr>
              <w:spacing w:after="0"/>
              <w:rPr>
                <w:sz w:val="16"/>
                <w:szCs w:val="16"/>
                <w:color w:val="auto"/>
              </w:rPr>
            </w:pPr>
          </w:p>
        </w:tc>
        <w:tc>
          <w:tcPr>
            <w:tcW w:w="8380" w:type="dxa"/>
            <w:vAlign w:val="bottom"/>
          </w:tcPr>
          <w:p>
            <w:pPr>
              <w:ind w:left="340"/>
              <w:spacing w:after="0"/>
              <w:rPr>
                <w:sz w:val="20"/>
                <w:szCs w:val="20"/>
                <w:color w:val="auto"/>
              </w:rPr>
            </w:pPr>
            <w:r>
              <w:rPr>
                <w:rFonts w:ascii="Arial" w:cs="Arial" w:eastAsia="Arial" w:hAnsi="Arial"/>
                <w:sz w:val="13"/>
                <w:szCs w:val="13"/>
                <w:color w:val="auto"/>
              </w:rPr>
              <w:t>Total assets</w:t>
            </w:r>
          </w:p>
        </w:tc>
        <w:tc>
          <w:tcPr>
            <w:tcW w:w="36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12,943,734</w:t>
            </w:r>
          </w:p>
        </w:tc>
        <w:tc>
          <w:tcPr>
            <w:tcW w:w="460" w:type="dxa"/>
            <w:vAlign w:val="bottom"/>
            <w:gridSpan w:val="2"/>
          </w:tcPr>
          <w:p>
            <w:pPr>
              <w:jc w:val="right"/>
              <w:ind w:right="300"/>
              <w:spacing w:after="0"/>
              <w:rPr>
                <w:sz w:val="20"/>
                <w:szCs w:val="20"/>
                <w:color w:val="auto"/>
              </w:rPr>
            </w:pPr>
            <w:r>
              <w:rPr>
                <w:rFonts w:ascii="Arial" w:cs="Arial" w:eastAsia="Arial" w:hAnsi="Arial"/>
                <w:sz w:val="13"/>
                <w:szCs w:val="13"/>
                <w:color w:val="auto"/>
              </w:rPr>
              <w:t>$</w:t>
            </w:r>
          </w:p>
        </w:tc>
        <w:tc>
          <w:tcPr>
            <w:tcW w:w="860" w:type="dxa"/>
            <w:vAlign w:val="bottom"/>
          </w:tcPr>
          <w:p>
            <w:pPr>
              <w:jc w:val="right"/>
              <w:spacing w:after="0"/>
              <w:rPr>
                <w:sz w:val="20"/>
                <w:szCs w:val="20"/>
                <w:color w:val="auto"/>
              </w:rPr>
            </w:pPr>
            <w:r>
              <w:rPr>
                <w:rFonts w:ascii="Arial" w:cs="Arial" w:eastAsia="Arial" w:hAnsi="Arial"/>
                <w:sz w:val="13"/>
                <w:szCs w:val="13"/>
                <w:color w:val="auto"/>
              </w:rPr>
              <w:t>7,736,152</w:t>
            </w:r>
          </w:p>
        </w:tc>
        <w:tc>
          <w:tcPr>
            <w:tcW w:w="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8380" w:type="dxa"/>
            <w:vAlign w:val="bottom"/>
            <w:tcBorders>
              <w:top w:val="single" w:sz="8" w:color="CCEEFF"/>
            </w:tcBorders>
            <w:shd w:val="clear" w:color="auto" w:fill="CCEEFF"/>
          </w:tcPr>
          <w:p>
            <w:pPr>
              <w:spacing w:after="0"/>
              <w:rPr>
                <w:sz w:val="13"/>
                <w:szCs w:val="13"/>
                <w:color w:val="auto"/>
              </w:rPr>
            </w:pPr>
          </w:p>
        </w:tc>
        <w:tc>
          <w:tcPr>
            <w:tcW w:w="80" w:type="dxa"/>
            <w:vAlign w:val="bottom"/>
            <w:tcBorders>
              <w:top w:val="single" w:sz="8" w:color="CCEEFF"/>
            </w:tcBorders>
            <w:shd w:val="clear" w:color="auto" w:fill="CCEEFF"/>
          </w:tcPr>
          <w:p>
            <w:pPr>
              <w:spacing w:after="0"/>
              <w:rPr>
                <w:sz w:val="13"/>
                <w:szCs w:val="13"/>
                <w:color w:val="auto"/>
              </w:rPr>
            </w:pPr>
          </w:p>
        </w:tc>
        <w:tc>
          <w:tcPr>
            <w:tcW w:w="280" w:type="dxa"/>
            <w:vAlign w:val="bottom"/>
            <w:tcBorders>
              <w:top w:val="single" w:sz="8" w:color="auto"/>
            </w:tcBorders>
            <w:shd w:val="clear" w:color="auto" w:fill="CCEEFF"/>
          </w:tcPr>
          <w:p>
            <w:pPr>
              <w:spacing w:after="0"/>
              <w:rPr>
                <w:sz w:val="13"/>
                <w:szCs w:val="13"/>
                <w:color w:val="auto"/>
              </w:rPr>
            </w:pPr>
          </w:p>
        </w:tc>
        <w:tc>
          <w:tcPr>
            <w:tcW w:w="960" w:type="dxa"/>
            <w:vAlign w:val="bottom"/>
            <w:tcBorders>
              <w:top w:val="single" w:sz="8" w:color="auto"/>
            </w:tcBorders>
            <w:shd w:val="clear" w:color="auto" w:fill="CCEEFF"/>
          </w:tcPr>
          <w:p>
            <w:pPr>
              <w:spacing w:after="0"/>
              <w:rPr>
                <w:sz w:val="13"/>
                <w:szCs w:val="13"/>
                <w:color w:val="auto"/>
              </w:rPr>
            </w:pPr>
          </w:p>
        </w:tc>
        <w:tc>
          <w:tcPr>
            <w:tcW w:w="140" w:type="dxa"/>
            <w:vAlign w:val="bottom"/>
            <w:tcBorders>
              <w:top w:val="single" w:sz="8" w:color="CCEEFF"/>
            </w:tcBorders>
            <w:shd w:val="clear" w:color="auto" w:fill="CCEEFF"/>
          </w:tcPr>
          <w:p>
            <w:pPr>
              <w:spacing w:after="0"/>
              <w:rPr>
                <w:sz w:val="13"/>
                <w:szCs w:val="13"/>
                <w:color w:val="auto"/>
              </w:rPr>
            </w:pPr>
          </w:p>
        </w:tc>
        <w:tc>
          <w:tcPr>
            <w:tcW w:w="100" w:type="dxa"/>
            <w:vAlign w:val="bottom"/>
            <w:tcBorders>
              <w:top w:val="single" w:sz="8" w:color="CCEEFF"/>
            </w:tcBorders>
            <w:shd w:val="clear" w:color="auto" w:fill="CCEEFF"/>
          </w:tcPr>
          <w:p>
            <w:pPr>
              <w:spacing w:after="0"/>
              <w:rPr>
                <w:sz w:val="13"/>
                <w:szCs w:val="13"/>
                <w:color w:val="auto"/>
              </w:rPr>
            </w:pPr>
          </w:p>
        </w:tc>
        <w:tc>
          <w:tcPr>
            <w:tcW w:w="360" w:type="dxa"/>
            <w:vAlign w:val="bottom"/>
            <w:tcBorders>
              <w:top w:val="single" w:sz="8" w:color="auto"/>
            </w:tcBorders>
            <w:shd w:val="clear" w:color="auto" w:fill="CCEEFF"/>
          </w:tcPr>
          <w:p>
            <w:pPr>
              <w:spacing w:after="0"/>
              <w:rPr>
                <w:sz w:val="13"/>
                <w:szCs w:val="13"/>
                <w:color w:val="auto"/>
              </w:rPr>
            </w:pPr>
          </w:p>
        </w:tc>
        <w:tc>
          <w:tcPr>
            <w:tcW w:w="860" w:type="dxa"/>
            <w:vAlign w:val="bottom"/>
            <w:tcBorders>
              <w:top w:val="single" w:sz="8" w:color="auto"/>
            </w:tcBorders>
            <w:shd w:val="clear" w:color="auto" w:fill="CCEEFF"/>
          </w:tcPr>
          <w:p>
            <w:pPr>
              <w:spacing w:after="0"/>
              <w:rPr>
                <w:sz w:val="13"/>
                <w:szCs w:val="13"/>
                <w:color w:val="auto"/>
              </w:rPr>
            </w:pPr>
          </w:p>
        </w:tc>
        <w:tc>
          <w:tcPr>
            <w:tcW w:w="100" w:type="dxa"/>
            <w:vAlign w:val="bottom"/>
            <w:tcBorders>
              <w:top w:val="single" w:sz="8" w:color="CCEEFF"/>
            </w:tcBorders>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8380" w:type="dxa"/>
            <w:vAlign w:val="bottom"/>
          </w:tcPr>
          <w:p>
            <w:pPr>
              <w:spacing w:after="0"/>
              <w:rPr>
                <w:sz w:val="20"/>
                <w:szCs w:val="20"/>
                <w:color w:val="auto"/>
              </w:rPr>
            </w:pPr>
            <w:r>
              <w:rPr>
                <w:rFonts w:ascii="Arial" w:cs="Arial" w:eastAsia="Arial" w:hAnsi="Arial"/>
                <w:sz w:val="13"/>
                <w:szCs w:val="13"/>
                <w:b w:val="1"/>
                <w:bCs w:val="1"/>
                <w:color w:val="auto"/>
              </w:rPr>
              <w:t>LIABILITIES, PREFERRED STOCK AND STOCKHOLDERS’ DEFICIT</w:t>
            </w: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shd w:val="clear" w:color="auto" w:fill="CCEEFF"/>
          </w:tcPr>
          <w:p>
            <w:pPr>
              <w:ind w:left="100"/>
              <w:spacing w:after="0"/>
              <w:rPr>
                <w:sz w:val="20"/>
                <w:szCs w:val="20"/>
                <w:color w:val="auto"/>
              </w:rPr>
            </w:pPr>
            <w:r>
              <w:rPr>
                <w:rFonts w:ascii="Arial" w:cs="Arial" w:eastAsia="Arial" w:hAnsi="Arial"/>
                <w:sz w:val="13"/>
                <w:szCs w:val="13"/>
                <w:color w:val="auto"/>
              </w:rPr>
              <w:t>Current liabilities:</w:t>
            </w:r>
          </w:p>
        </w:tc>
        <w:tc>
          <w:tcPr>
            <w:tcW w:w="8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tcPr>
          <w:p>
            <w:pPr>
              <w:ind w:left="220"/>
              <w:spacing w:after="0"/>
              <w:rPr>
                <w:sz w:val="20"/>
                <w:szCs w:val="20"/>
                <w:color w:val="auto"/>
              </w:rPr>
            </w:pPr>
            <w:r>
              <w:rPr>
                <w:rFonts w:ascii="Arial" w:cs="Arial" w:eastAsia="Arial" w:hAnsi="Arial"/>
                <w:sz w:val="13"/>
                <w:szCs w:val="13"/>
                <w:color w:val="auto"/>
              </w:rPr>
              <w:t>Accounts payable</w:t>
            </w:r>
          </w:p>
        </w:tc>
        <w:tc>
          <w:tcPr>
            <w:tcW w:w="36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231,526</w:t>
            </w:r>
          </w:p>
        </w:tc>
        <w:tc>
          <w:tcPr>
            <w:tcW w:w="460" w:type="dxa"/>
            <w:vAlign w:val="bottom"/>
            <w:gridSpan w:val="2"/>
          </w:tcPr>
          <w:p>
            <w:pPr>
              <w:jc w:val="right"/>
              <w:ind w:right="300"/>
              <w:spacing w:after="0"/>
              <w:rPr>
                <w:sz w:val="20"/>
                <w:szCs w:val="20"/>
                <w:color w:val="auto"/>
              </w:rPr>
            </w:pPr>
            <w:r>
              <w:rPr>
                <w:rFonts w:ascii="Arial" w:cs="Arial" w:eastAsia="Arial" w:hAnsi="Arial"/>
                <w:sz w:val="13"/>
                <w:szCs w:val="13"/>
                <w:color w:val="auto"/>
              </w:rPr>
              <w:t>$</w:t>
            </w:r>
          </w:p>
        </w:tc>
        <w:tc>
          <w:tcPr>
            <w:tcW w:w="860" w:type="dxa"/>
            <w:vAlign w:val="bottom"/>
          </w:tcPr>
          <w:p>
            <w:pPr>
              <w:jc w:val="right"/>
              <w:spacing w:after="0"/>
              <w:rPr>
                <w:sz w:val="20"/>
                <w:szCs w:val="20"/>
                <w:color w:val="auto"/>
              </w:rPr>
            </w:pPr>
            <w:r>
              <w:rPr>
                <w:rFonts w:ascii="Arial" w:cs="Arial" w:eastAsia="Arial" w:hAnsi="Arial"/>
                <w:sz w:val="13"/>
                <w:szCs w:val="13"/>
                <w:color w:val="auto"/>
              </w:rPr>
              <w:t>967,681</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shd w:val="clear" w:color="auto" w:fill="CCEEFF"/>
          </w:tcPr>
          <w:p>
            <w:pPr>
              <w:ind w:left="220"/>
              <w:spacing w:after="0"/>
              <w:rPr>
                <w:sz w:val="20"/>
                <w:szCs w:val="20"/>
                <w:color w:val="auto"/>
              </w:rPr>
            </w:pPr>
            <w:r>
              <w:rPr>
                <w:rFonts w:ascii="Arial" w:cs="Arial" w:eastAsia="Arial" w:hAnsi="Arial"/>
                <w:sz w:val="13"/>
                <w:szCs w:val="13"/>
                <w:color w:val="auto"/>
              </w:rPr>
              <w:t>Accrued expenses</w:t>
            </w:r>
          </w:p>
        </w:tc>
        <w:tc>
          <w:tcPr>
            <w:tcW w:w="8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864,445</w:t>
            </w: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671,383</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tcPr>
          <w:p>
            <w:pPr>
              <w:ind w:left="220"/>
              <w:spacing w:after="0"/>
              <w:rPr>
                <w:sz w:val="20"/>
                <w:szCs w:val="20"/>
                <w:color w:val="auto"/>
              </w:rPr>
            </w:pPr>
            <w:r>
              <w:rPr>
                <w:rFonts w:ascii="Arial" w:cs="Arial" w:eastAsia="Arial" w:hAnsi="Arial"/>
                <w:sz w:val="13"/>
                <w:szCs w:val="13"/>
                <w:color w:val="auto"/>
              </w:rPr>
              <w:t>Deferred revenue</w:t>
            </w: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521,585</w:t>
            </w: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556,653</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shd w:val="clear" w:color="auto" w:fill="CCEEFF"/>
          </w:tcPr>
          <w:p>
            <w:pPr>
              <w:ind w:left="220"/>
              <w:spacing w:after="0"/>
              <w:rPr>
                <w:sz w:val="20"/>
                <w:szCs w:val="20"/>
                <w:color w:val="auto"/>
              </w:rPr>
            </w:pPr>
            <w:r>
              <w:rPr>
                <w:rFonts w:ascii="Arial" w:cs="Arial" w:eastAsia="Arial" w:hAnsi="Arial"/>
                <w:sz w:val="13"/>
                <w:szCs w:val="13"/>
                <w:color w:val="auto"/>
              </w:rPr>
              <w:t>Debt obligations</w:t>
            </w:r>
          </w:p>
        </w:tc>
        <w:tc>
          <w:tcPr>
            <w:tcW w:w="8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w:t>
            </w: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1,034,423</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tcPr>
          <w:p>
            <w:pPr>
              <w:ind w:left="220"/>
              <w:spacing w:after="0"/>
              <w:rPr>
                <w:sz w:val="20"/>
                <w:szCs w:val="20"/>
                <w:color w:val="auto"/>
              </w:rPr>
            </w:pPr>
            <w:r>
              <w:rPr>
                <w:rFonts w:ascii="Arial" w:cs="Arial" w:eastAsia="Arial" w:hAnsi="Arial"/>
                <w:sz w:val="13"/>
                <w:szCs w:val="13"/>
                <w:color w:val="auto"/>
              </w:rPr>
              <w:t>Operating lease liabilities</w:t>
            </w: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560,342</w:t>
            </w: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482,306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8380" w:type="dxa"/>
            <w:vAlign w:val="bottom"/>
            <w:shd w:val="clear" w:color="auto" w:fill="CCEEFF"/>
          </w:tcPr>
          <w:p>
            <w:pPr>
              <w:ind w:left="220"/>
              <w:spacing w:after="0"/>
              <w:rPr>
                <w:sz w:val="20"/>
                <w:szCs w:val="20"/>
                <w:color w:val="auto"/>
              </w:rPr>
            </w:pPr>
            <w:r>
              <w:rPr>
                <w:rFonts w:ascii="Arial" w:cs="Arial" w:eastAsia="Arial" w:hAnsi="Arial"/>
                <w:sz w:val="13"/>
                <w:szCs w:val="13"/>
                <w:color w:val="auto"/>
              </w:rPr>
              <w:t>Other current liabilities</w:t>
            </w:r>
          </w:p>
        </w:tc>
        <w:tc>
          <w:tcPr>
            <w:tcW w:w="8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460,388</w:t>
            </w:r>
          </w:p>
        </w:tc>
        <w:tc>
          <w:tcPr>
            <w:tcW w:w="100" w:type="dxa"/>
            <w:vAlign w:val="bottom"/>
            <w:shd w:val="clear" w:color="auto" w:fill="CCEEFF"/>
          </w:tcPr>
          <w:p>
            <w:pPr>
              <w:spacing w:after="0"/>
              <w:rPr>
                <w:sz w:val="14"/>
                <w:szCs w:val="14"/>
                <w:color w:val="auto"/>
              </w:rPr>
            </w:pPr>
          </w:p>
        </w:tc>
        <w:tc>
          <w:tcPr>
            <w:tcW w:w="360" w:type="dxa"/>
            <w:vAlign w:val="bottom"/>
            <w:shd w:val="clear" w:color="auto" w:fill="CCEEFF"/>
          </w:tcPr>
          <w:p>
            <w:pPr>
              <w:spacing w:after="0"/>
              <w:rPr>
                <w:sz w:val="14"/>
                <w:szCs w:val="14"/>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556,621</w:t>
            </w:r>
          </w:p>
        </w:tc>
        <w:tc>
          <w:tcPr>
            <w:tcW w:w="10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80" w:type="dxa"/>
            <w:vAlign w:val="bottom"/>
            <w:tcBorders>
              <w:bottom w:val="single" w:sz="8" w:color="CCEEFF"/>
            </w:tcBorders>
          </w:tcPr>
          <w:p>
            <w:pPr>
              <w:ind w:left="340"/>
              <w:spacing w:after="0" w:line="144" w:lineRule="exact"/>
              <w:rPr>
                <w:sz w:val="20"/>
                <w:szCs w:val="20"/>
                <w:color w:val="auto"/>
              </w:rPr>
            </w:pPr>
            <w:r>
              <w:rPr>
                <w:rFonts w:ascii="Arial" w:cs="Arial" w:eastAsia="Arial" w:hAnsi="Arial"/>
                <w:sz w:val="13"/>
                <w:szCs w:val="13"/>
                <w:color w:val="auto"/>
              </w:rPr>
              <w:t>Total current liabilities</w:t>
            </w:r>
          </w:p>
        </w:tc>
        <w:tc>
          <w:tcPr>
            <w:tcW w:w="80" w:type="dxa"/>
            <w:vAlign w:val="bottom"/>
            <w:tcBorders>
              <w:bottom w:val="single" w:sz="8" w:color="CCEEFF"/>
            </w:tcBorders>
          </w:tcPr>
          <w:p>
            <w:pPr>
              <w:spacing w:after="0"/>
              <w:rPr>
                <w:sz w:val="12"/>
                <w:szCs w:val="12"/>
                <w:color w:val="auto"/>
              </w:rPr>
            </w:pPr>
          </w:p>
        </w:tc>
        <w:tc>
          <w:tcPr>
            <w:tcW w:w="280" w:type="dxa"/>
            <w:vAlign w:val="bottom"/>
            <w:tcBorders>
              <w:top w:val="single" w:sz="8" w:color="auto"/>
              <w:bottom w:val="single" w:sz="8" w:color="auto"/>
            </w:tcBorders>
          </w:tcPr>
          <w:p>
            <w:pPr>
              <w:spacing w:after="0"/>
              <w:rPr>
                <w:sz w:val="12"/>
                <w:szCs w:val="12"/>
                <w:color w:val="auto"/>
              </w:rPr>
            </w:pP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2,638,286</w:t>
            </w:r>
          </w:p>
        </w:tc>
        <w:tc>
          <w:tcPr>
            <w:tcW w:w="140" w:type="dxa"/>
            <w:vAlign w:val="bottom"/>
            <w:tcBorders>
              <w:bottom w:val="single" w:sz="8" w:color="CCEEFF"/>
            </w:tcBorders>
          </w:tcPr>
          <w:p>
            <w:pPr>
              <w:spacing w:after="0"/>
              <w:rPr>
                <w:sz w:val="12"/>
                <w:szCs w:val="12"/>
                <w:color w:val="auto"/>
              </w:rPr>
            </w:pPr>
          </w:p>
        </w:tc>
        <w:tc>
          <w:tcPr>
            <w:tcW w:w="100" w:type="dxa"/>
            <w:vAlign w:val="bottom"/>
            <w:tcBorders>
              <w:bottom w:val="single" w:sz="8" w:color="CCEEFF"/>
            </w:tcBorders>
          </w:tcPr>
          <w:p>
            <w:pPr>
              <w:spacing w:after="0"/>
              <w:rPr>
                <w:sz w:val="12"/>
                <w:szCs w:val="12"/>
                <w:color w:val="auto"/>
              </w:rPr>
            </w:pPr>
          </w:p>
        </w:tc>
        <w:tc>
          <w:tcPr>
            <w:tcW w:w="360" w:type="dxa"/>
            <w:vAlign w:val="bottom"/>
            <w:tcBorders>
              <w:top w:val="single" w:sz="8" w:color="auto"/>
              <w:bottom w:val="single" w:sz="8" w:color="auto"/>
            </w:tcBorders>
          </w:tcPr>
          <w:p>
            <w:pPr>
              <w:spacing w:after="0"/>
              <w:rPr>
                <w:sz w:val="12"/>
                <w:szCs w:val="12"/>
                <w:color w:val="auto"/>
              </w:rPr>
            </w:pPr>
          </w:p>
        </w:tc>
        <w:tc>
          <w:tcPr>
            <w:tcW w:w="8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4,269,067</w:t>
            </w:r>
          </w:p>
        </w:tc>
        <w:tc>
          <w:tcPr>
            <w:tcW w:w="100" w:type="dxa"/>
            <w:vAlign w:val="bottom"/>
            <w:tcBorders>
              <w:bottom w:val="single" w:sz="8" w:color="CCEEFF"/>
            </w:tcBorders>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8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2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360" w:type="dxa"/>
            <w:vAlign w:val="bottom"/>
            <w:shd w:val="clear" w:color="auto" w:fill="CCEEFF"/>
          </w:tcPr>
          <w:p>
            <w:pPr>
              <w:spacing w:after="0"/>
              <w:rPr>
                <w:sz w:val="12"/>
                <w:szCs w:val="12"/>
                <w:color w:val="auto"/>
              </w:rPr>
            </w:pPr>
          </w:p>
        </w:tc>
        <w:tc>
          <w:tcPr>
            <w:tcW w:w="8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tcPr>
          <w:p>
            <w:pPr>
              <w:ind w:left="100"/>
              <w:spacing w:after="0"/>
              <w:rPr>
                <w:sz w:val="20"/>
                <w:szCs w:val="20"/>
                <w:color w:val="auto"/>
              </w:rPr>
            </w:pPr>
            <w:r>
              <w:rPr>
                <w:rFonts w:ascii="Arial" w:cs="Arial" w:eastAsia="Arial" w:hAnsi="Arial"/>
                <w:sz w:val="13"/>
                <w:szCs w:val="13"/>
                <w:color w:val="auto"/>
              </w:rPr>
              <w:t>Non-current liabilities:</w:t>
            </w: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shd w:val="clear" w:color="auto" w:fill="CCEEFF"/>
          </w:tcPr>
          <w:p>
            <w:pPr>
              <w:ind w:left="220"/>
              <w:spacing w:after="0"/>
              <w:rPr>
                <w:sz w:val="20"/>
                <w:szCs w:val="20"/>
                <w:color w:val="auto"/>
              </w:rPr>
            </w:pPr>
            <w:r>
              <w:rPr>
                <w:rFonts w:ascii="Arial" w:cs="Arial" w:eastAsia="Arial" w:hAnsi="Arial"/>
                <w:sz w:val="13"/>
                <w:szCs w:val="13"/>
                <w:color w:val="auto"/>
              </w:rPr>
              <w:t>Debt obligations</w:t>
            </w:r>
          </w:p>
        </w:tc>
        <w:tc>
          <w:tcPr>
            <w:tcW w:w="8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4,578,869</w:t>
            </w: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3,262,917</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tcPr>
          <w:p>
            <w:pPr>
              <w:ind w:left="220"/>
              <w:spacing w:after="0"/>
              <w:rPr>
                <w:sz w:val="20"/>
                <w:szCs w:val="20"/>
                <w:color w:val="auto"/>
              </w:rPr>
            </w:pPr>
            <w:r>
              <w:rPr>
                <w:rFonts w:ascii="Arial" w:cs="Arial" w:eastAsia="Arial" w:hAnsi="Arial"/>
                <w:sz w:val="13"/>
                <w:szCs w:val="13"/>
                <w:color w:val="auto"/>
              </w:rPr>
              <w:t>Preferred stock warrant liability</w:t>
            </w: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5,617,280</w:t>
            </w: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2,246,478</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8380" w:type="dxa"/>
            <w:vAlign w:val="bottom"/>
            <w:shd w:val="clear" w:color="auto" w:fill="CCEEFF"/>
          </w:tcPr>
          <w:p>
            <w:pPr>
              <w:ind w:left="220"/>
              <w:spacing w:after="0"/>
              <w:rPr>
                <w:sz w:val="20"/>
                <w:szCs w:val="20"/>
                <w:color w:val="auto"/>
              </w:rPr>
            </w:pPr>
            <w:r>
              <w:rPr>
                <w:rFonts w:ascii="Arial" w:cs="Arial" w:eastAsia="Arial" w:hAnsi="Arial"/>
                <w:sz w:val="13"/>
                <w:szCs w:val="13"/>
                <w:color w:val="auto"/>
              </w:rPr>
              <w:t>Operating lease liabilities</w:t>
            </w:r>
          </w:p>
        </w:tc>
        <w:tc>
          <w:tcPr>
            <w:tcW w:w="8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1,133,009</w:t>
            </w:r>
          </w:p>
        </w:tc>
        <w:tc>
          <w:tcPr>
            <w:tcW w:w="100" w:type="dxa"/>
            <w:vAlign w:val="bottom"/>
            <w:shd w:val="clear" w:color="auto" w:fill="CCEEFF"/>
          </w:tcPr>
          <w:p>
            <w:pPr>
              <w:spacing w:after="0"/>
              <w:rPr>
                <w:sz w:val="14"/>
                <w:szCs w:val="14"/>
                <w:color w:val="auto"/>
              </w:rPr>
            </w:pPr>
          </w:p>
        </w:tc>
        <w:tc>
          <w:tcPr>
            <w:tcW w:w="360" w:type="dxa"/>
            <w:vAlign w:val="bottom"/>
            <w:shd w:val="clear" w:color="auto" w:fill="CCEEFF"/>
          </w:tcPr>
          <w:p>
            <w:pPr>
              <w:spacing w:after="0"/>
              <w:rPr>
                <w:sz w:val="14"/>
                <w:szCs w:val="14"/>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1,693,352</w:t>
            </w:r>
          </w:p>
        </w:tc>
        <w:tc>
          <w:tcPr>
            <w:tcW w:w="10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80" w:type="dxa"/>
            <w:vAlign w:val="bottom"/>
            <w:tcBorders>
              <w:bottom w:val="single" w:sz="8" w:color="CCEEFF"/>
            </w:tcBorders>
          </w:tcPr>
          <w:p>
            <w:pPr>
              <w:ind w:left="340"/>
              <w:spacing w:after="0" w:line="144" w:lineRule="exact"/>
              <w:rPr>
                <w:sz w:val="20"/>
                <w:szCs w:val="20"/>
                <w:color w:val="auto"/>
              </w:rPr>
            </w:pPr>
            <w:r>
              <w:rPr>
                <w:rFonts w:ascii="Arial" w:cs="Arial" w:eastAsia="Arial" w:hAnsi="Arial"/>
                <w:sz w:val="13"/>
                <w:szCs w:val="13"/>
                <w:color w:val="auto"/>
              </w:rPr>
              <w:t>Total non-current liabilities</w:t>
            </w:r>
          </w:p>
        </w:tc>
        <w:tc>
          <w:tcPr>
            <w:tcW w:w="80" w:type="dxa"/>
            <w:vAlign w:val="bottom"/>
            <w:tcBorders>
              <w:bottom w:val="single" w:sz="8" w:color="CCEEFF"/>
            </w:tcBorders>
          </w:tcPr>
          <w:p>
            <w:pPr>
              <w:spacing w:after="0"/>
              <w:rPr>
                <w:sz w:val="12"/>
                <w:szCs w:val="12"/>
                <w:color w:val="auto"/>
              </w:rPr>
            </w:pPr>
          </w:p>
        </w:tc>
        <w:tc>
          <w:tcPr>
            <w:tcW w:w="280" w:type="dxa"/>
            <w:vAlign w:val="bottom"/>
            <w:tcBorders>
              <w:top w:val="single" w:sz="8" w:color="auto"/>
              <w:bottom w:val="single" w:sz="8" w:color="auto"/>
            </w:tcBorders>
          </w:tcPr>
          <w:p>
            <w:pPr>
              <w:spacing w:after="0"/>
              <w:rPr>
                <w:sz w:val="12"/>
                <w:szCs w:val="12"/>
                <w:color w:val="auto"/>
              </w:rPr>
            </w:pP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11,329,158</w:t>
            </w:r>
          </w:p>
        </w:tc>
        <w:tc>
          <w:tcPr>
            <w:tcW w:w="140" w:type="dxa"/>
            <w:vAlign w:val="bottom"/>
            <w:tcBorders>
              <w:bottom w:val="single" w:sz="8" w:color="CCEEFF"/>
            </w:tcBorders>
          </w:tcPr>
          <w:p>
            <w:pPr>
              <w:spacing w:after="0"/>
              <w:rPr>
                <w:sz w:val="12"/>
                <w:szCs w:val="12"/>
                <w:color w:val="auto"/>
              </w:rPr>
            </w:pPr>
          </w:p>
        </w:tc>
        <w:tc>
          <w:tcPr>
            <w:tcW w:w="100" w:type="dxa"/>
            <w:vAlign w:val="bottom"/>
            <w:tcBorders>
              <w:bottom w:val="single" w:sz="8" w:color="CCEEFF"/>
            </w:tcBorders>
          </w:tcPr>
          <w:p>
            <w:pPr>
              <w:spacing w:after="0"/>
              <w:rPr>
                <w:sz w:val="12"/>
                <w:szCs w:val="12"/>
                <w:color w:val="auto"/>
              </w:rPr>
            </w:pPr>
          </w:p>
        </w:tc>
        <w:tc>
          <w:tcPr>
            <w:tcW w:w="360" w:type="dxa"/>
            <w:vAlign w:val="bottom"/>
            <w:tcBorders>
              <w:top w:val="single" w:sz="8" w:color="auto"/>
              <w:bottom w:val="single" w:sz="8" w:color="auto"/>
            </w:tcBorders>
          </w:tcPr>
          <w:p>
            <w:pPr>
              <w:spacing w:after="0"/>
              <w:rPr>
                <w:sz w:val="12"/>
                <w:szCs w:val="12"/>
                <w:color w:val="auto"/>
              </w:rPr>
            </w:pPr>
          </w:p>
        </w:tc>
        <w:tc>
          <w:tcPr>
            <w:tcW w:w="8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7,202,747</w:t>
            </w:r>
          </w:p>
        </w:tc>
        <w:tc>
          <w:tcPr>
            <w:tcW w:w="100" w:type="dxa"/>
            <w:vAlign w:val="bottom"/>
            <w:tcBorders>
              <w:bottom w:val="single" w:sz="8" w:color="CCEEFF"/>
            </w:tcBorders>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80" w:type="dxa"/>
            <w:vAlign w:val="bottom"/>
            <w:shd w:val="clear" w:color="auto" w:fill="CCEEFF"/>
          </w:tcPr>
          <w:p>
            <w:pPr>
              <w:ind w:left="440"/>
              <w:spacing w:after="0" w:line="144" w:lineRule="exact"/>
              <w:rPr>
                <w:sz w:val="20"/>
                <w:szCs w:val="20"/>
                <w:color w:val="auto"/>
              </w:rPr>
            </w:pPr>
            <w:r>
              <w:rPr>
                <w:rFonts w:ascii="Arial" w:cs="Arial" w:eastAsia="Arial" w:hAnsi="Arial"/>
                <w:sz w:val="13"/>
                <w:szCs w:val="13"/>
                <w:color w:val="auto"/>
              </w:rPr>
              <w:t>Total liabilities</w:t>
            </w:r>
          </w:p>
        </w:tc>
        <w:tc>
          <w:tcPr>
            <w:tcW w:w="80" w:type="dxa"/>
            <w:vAlign w:val="bottom"/>
            <w:shd w:val="clear" w:color="auto" w:fill="CCEEFF"/>
          </w:tcPr>
          <w:p>
            <w:pPr>
              <w:spacing w:after="0"/>
              <w:rPr>
                <w:sz w:val="12"/>
                <w:szCs w:val="12"/>
                <w:color w:val="auto"/>
              </w:rPr>
            </w:pPr>
          </w:p>
        </w:tc>
        <w:tc>
          <w:tcPr>
            <w:tcW w:w="280" w:type="dxa"/>
            <w:vAlign w:val="bottom"/>
            <w:tcBorders>
              <w:bottom w:val="single" w:sz="8" w:color="auto"/>
            </w:tcBorders>
            <w:shd w:val="clear" w:color="auto" w:fill="CCEEFF"/>
          </w:tcPr>
          <w:p>
            <w:pPr>
              <w:spacing w:after="0"/>
              <w:rPr>
                <w:sz w:val="12"/>
                <w:szCs w:val="12"/>
                <w:color w:val="auto"/>
              </w:rPr>
            </w:pPr>
          </w:p>
        </w:tc>
        <w:tc>
          <w:tcPr>
            <w:tcW w:w="960" w:type="dxa"/>
            <w:vAlign w:val="bottom"/>
            <w:tcBorders>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13,967,444</w:t>
            </w: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360" w:type="dxa"/>
            <w:vAlign w:val="bottom"/>
            <w:tcBorders>
              <w:bottom w:val="single" w:sz="8" w:color="auto"/>
            </w:tcBorders>
            <w:shd w:val="clear" w:color="auto" w:fill="CCEEFF"/>
          </w:tcPr>
          <w:p>
            <w:pPr>
              <w:spacing w:after="0"/>
              <w:rPr>
                <w:sz w:val="12"/>
                <w:szCs w:val="12"/>
                <w:color w:val="auto"/>
              </w:rPr>
            </w:pPr>
          </w:p>
        </w:tc>
        <w:tc>
          <w:tcPr>
            <w:tcW w:w="860" w:type="dxa"/>
            <w:vAlign w:val="bottom"/>
            <w:tcBorders>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11,471,814</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83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360" w:type="dxa"/>
            <w:vAlign w:val="bottom"/>
          </w:tcPr>
          <w:p>
            <w:pPr>
              <w:spacing w:after="0"/>
              <w:rPr>
                <w:sz w:val="12"/>
                <w:szCs w:val="12"/>
                <w:color w:val="auto"/>
              </w:rPr>
            </w:pPr>
          </w:p>
        </w:tc>
        <w:tc>
          <w:tcPr>
            <w:tcW w:w="8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8380" w:type="dxa"/>
            <w:vAlign w:val="bottom"/>
            <w:shd w:val="clear" w:color="auto" w:fill="CCEEFF"/>
          </w:tcPr>
          <w:p>
            <w:pPr>
              <w:spacing w:after="0"/>
              <w:rPr>
                <w:sz w:val="20"/>
                <w:szCs w:val="20"/>
                <w:color w:val="auto"/>
              </w:rPr>
            </w:pPr>
            <w:r>
              <w:rPr>
                <w:rFonts w:ascii="Arial" w:cs="Arial" w:eastAsia="Arial" w:hAnsi="Arial"/>
                <w:sz w:val="13"/>
                <w:szCs w:val="13"/>
                <w:color w:val="auto"/>
              </w:rPr>
              <w:t>Commitments and contingencies (Note 9)</w:t>
            </w:r>
          </w:p>
        </w:tc>
        <w:tc>
          <w:tcPr>
            <w:tcW w:w="8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83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8"/>
        </w:trPr>
        <w:tc>
          <w:tcPr>
            <w:tcW w:w="20" w:type="dxa"/>
            <w:vAlign w:val="bottom"/>
            <w:vMerge w:val="continue"/>
          </w:tcPr>
          <w:p>
            <w:pPr>
              <w:spacing w:after="0"/>
              <w:rPr>
                <w:sz w:val="12"/>
                <w:szCs w:val="12"/>
                <w:color w:val="auto"/>
              </w:rPr>
            </w:pPr>
          </w:p>
        </w:tc>
        <w:tc>
          <w:tcPr>
            <w:tcW w:w="8380" w:type="dxa"/>
            <w:vAlign w:val="bottom"/>
            <w:shd w:val="clear" w:color="auto" w:fill="CCEEFF"/>
          </w:tcPr>
          <w:p>
            <w:pPr>
              <w:spacing w:after="0" w:line="148" w:lineRule="exact"/>
              <w:rPr>
                <w:sz w:val="20"/>
                <w:szCs w:val="20"/>
                <w:color w:val="auto"/>
              </w:rPr>
            </w:pPr>
            <w:r>
              <w:rPr>
                <w:rFonts w:ascii="Arial" w:cs="Arial" w:eastAsia="Arial" w:hAnsi="Arial"/>
                <w:sz w:val="13"/>
                <w:szCs w:val="13"/>
                <w:color w:val="auto"/>
                <w:w w:val="91"/>
              </w:rPr>
              <w:t>Preferred Stock, $0.001 par value; 43,405,324 and 25,794,920 shares authorized as of December 31, 2020 and 2019, respectively, 25,770,360 and 22,820,982</w:t>
            </w:r>
          </w:p>
        </w:tc>
        <w:tc>
          <w:tcPr>
            <w:tcW w:w="80" w:type="dxa"/>
            <w:vAlign w:val="bottom"/>
            <w:shd w:val="clear" w:color="auto" w:fill="CCEEFF"/>
          </w:tcPr>
          <w:p>
            <w:pPr>
              <w:spacing w:after="0"/>
              <w:rPr>
                <w:sz w:val="12"/>
                <w:szCs w:val="12"/>
                <w:color w:val="auto"/>
              </w:rPr>
            </w:pPr>
          </w:p>
        </w:tc>
        <w:tc>
          <w:tcPr>
            <w:tcW w:w="2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360" w:type="dxa"/>
            <w:vAlign w:val="bottom"/>
            <w:shd w:val="clear" w:color="auto" w:fill="CCEEFF"/>
          </w:tcPr>
          <w:p>
            <w:pPr>
              <w:spacing w:after="0"/>
              <w:rPr>
                <w:sz w:val="12"/>
                <w:szCs w:val="12"/>
                <w:color w:val="auto"/>
              </w:rPr>
            </w:pPr>
          </w:p>
        </w:tc>
        <w:tc>
          <w:tcPr>
            <w:tcW w:w="8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shd w:val="clear" w:color="auto" w:fill="CCEEFF"/>
          </w:tcPr>
          <w:p>
            <w:pPr>
              <w:ind w:left="100"/>
              <w:spacing w:after="0"/>
              <w:rPr>
                <w:sz w:val="20"/>
                <w:szCs w:val="20"/>
                <w:color w:val="auto"/>
              </w:rPr>
            </w:pPr>
            <w:r>
              <w:rPr>
                <w:rFonts w:ascii="Arial" w:cs="Arial" w:eastAsia="Arial" w:hAnsi="Arial"/>
                <w:sz w:val="13"/>
                <w:szCs w:val="13"/>
                <w:color w:val="auto"/>
                <w:w w:val="96"/>
              </w:rPr>
              <w:t>shares issued and outstanding at December 31, 2020 and 2019, respectively; aggregate liquidation preference of $78,919,475 and $55,157,362 as of</w:t>
            </w:r>
          </w:p>
        </w:tc>
        <w:tc>
          <w:tcPr>
            <w:tcW w:w="8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8380" w:type="dxa"/>
            <w:vAlign w:val="bottom"/>
            <w:shd w:val="clear" w:color="auto" w:fill="CCEEFF"/>
          </w:tcPr>
          <w:p>
            <w:pPr>
              <w:ind w:left="100"/>
              <w:spacing w:after="0"/>
              <w:rPr>
                <w:sz w:val="20"/>
                <w:szCs w:val="20"/>
                <w:color w:val="auto"/>
              </w:rPr>
            </w:pPr>
            <w:r>
              <w:rPr>
                <w:rFonts w:ascii="Arial" w:cs="Arial" w:eastAsia="Arial" w:hAnsi="Arial"/>
                <w:sz w:val="13"/>
                <w:szCs w:val="13"/>
                <w:color w:val="auto"/>
              </w:rPr>
              <w:t>December 31, 2020 and 2019, respectively</w:t>
            </w:r>
          </w:p>
        </w:tc>
        <w:tc>
          <w:tcPr>
            <w:tcW w:w="8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65,161,574</w:t>
            </w:r>
          </w:p>
        </w:tc>
        <w:tc>
          <w:tcPr>
            <w:tcW w:w="100" w:type="dxa"/>
            <w:vAlign w:val="bottom"/>
            <w:shd w:val="clear" w:color="auto" w:fill="CCEEFF"/>
          </w:tcPr>
          <w:p>
            <w:pPr>
              <w:spacing w:after="0"/>
              <w:rPr>
                <w:sz w:val="14"/>
                <w:szCs w:val="14"/>
                <w:color w:val="auto"/>
              </w:rPr>
            </w:pPr>
          </w:p>
        </w:tc>
        <w:tc>
          <w:tcPr>
            <w:tcW w:w="360" w:type="dxa"/>
            <w:vAlign w:val="bottom"/>
            <w:shd w:val="clear" w:color="auto" w:fill="CCEEFF"/>
          </w:tcPr>
          <w:p>
            <w:pPr>
              <w:spacing w:after="0"/>
              <w:rPr>
                <w:sz w:val="14"/>
                <w:szCs w:val="14"/>
                <w:color w:val="auto"/>
              </w:rPr>
            </w:pPr>
          </w:p>
        </w:tc>
        <w:tc>
          <w:tcPr>
            <w:tcW w:w="9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42,972,705</w:t>
            </w: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83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8380" w:type="dxa"/>
            <w:vAlign w:val="bottom"/>
            <w:shd w:val="clear" w:color="auto" w:fill="CCEEFF"/>
          </w:tcPr>
          <w:p>
            <w:pPr>
              <w:spacing w:after="0"/>
              <w:rPr>
                <w:sz w:val="20"/>
                <w:szCs w:val="20"/>
                <w:color w:val="auto"/>
              </w:rPr>
            </w:pPr>
            <w:r>
              <w:rPr>
                <w:rFonts w:ascii="Arial" w:cs="Arial" w:eastAsia="Arial" w:hAnsi="Arial"/>
                <w:sz w:val="13"/>
                <w:szCs w:val="13"/>
                <w:color w:val="auto"/>
              </w:rPr>
              <w:t>Stockholders' deficit:</w:t>
            </w:r>
          </w:p>
        </w:tc>
        <w:tc>
          <w:tcPr>
            <w:tcW w:w="8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48"/>
        </w:trPr>
        <w:tc>
          <w:tcPr>
            <w:tcW w:w="20" w:type="dxa"/>
            <w:vAlign w:val="bottom"/>
          </w:tcPr>
          <w:p>
            <w:pPr>
              <w:spacing w:after="0"/>
              <w:rPr>
                <w:sz w:val="12"/>
                <w:szCs w:val="12"/>
                <w:color w:val="auto"/>
              </w:rPr>
            </w:pPr>
          </w:p>
        </w:tc>
        <w:tc>
          <w:tcPr>
            <w:tcW w:w="8380" w:type="dxa"/>
            <w:vAlign w:val="bottom"/>
          </w:tcPr>
          <w:p>
            <w:pPr>
              <w:spacing w:after="0" w:line="148" w:lineRule="exact"/>
              <w:rPr>
                <w:sz w:val="20"/>
                <w:szCs w:val="20"/>
                <w:color w:val="auto"/>
              </w:rPr>
            </w:pPr>
            <w:r>
              <w:rPr>
                <w:rFonts w:ascii="Arial" w:cs="Arial" w:eastAsia="Arial" w:hAnsi="Arial"/>
                <w:sz w:val="13"/>
                <w:szCs w:val="13"/>
                <w:color w:val="auto"/>
                <w:w w:val="94"/>
              </w:rPr>
              <w:t>Class A common stock, $0.001 par, 114,000,000 and 94,000,000 shares authorized as of December 31, 2020 and 2019, respectively, 0 shares issued and</w:t>
            </w:r>
          </w:p>
        </w:tc>
        <w:tc>
          <w:tcPr>
            <w:tcW w:w="8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360" w:type="dxa"/>
            <w:vAlign w:val="bottom"/>
          </w:tcPr>
          <w:p>
            <w:pPr>
              <w:spacing w:after="0"/>
              <w:rPr>
                <w:sz w:val="12"/>
                <w:szCs w:val="12"/>
                <w:color w:val="auto"/>
              </w:rPr>
            </w:pPr>
          </w:p>
        </w:tc>
        <w:tc>
          <w:tcPr>
            <w:tcW w:w="8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4"/>
        </w:trPr>
        <w:tc>
          <w:tcPr>
            <w:tcW w:w="20" w:type="dxa"/>
            <w:vAlign w:val="bottom"/>
          </w:tcPr>
          <w:p>
            <w:pPr>
              <w:spacing w:after="0"/>
              <w:rPr>
                <w:sz w:val="14"/>
                <w:szCs w:val="14"/>
                <w:color w:val="auto"/>
              </w:rPr>
            </w:pPr>
          </w:p>
        </w:tc>
        <w:tc>
          <w:tcPr>
            <w:tcW w:w="8380" w:type="dxa"/>
            <w:vAlign w:val="bottom"/>
          </w:tcPr>
          <w:p>
            <w:pPr>
              <w:ind w:left="100"/>
              <w:spacing w:after="0"/>
              <w:rPr>
                <w:sz w:val="20"/>
                <w:szCs w:val="20"/>
                <w:color w:val="auto"/>
              </w:rPr>
            </w:pPr>
            <w:r>
              <w:rPr>
                <w:rFonts w:ascii="Arial" w:cs="Arial" w:eastAsia="Arial" w:hAnsi="Arial"/>
                <w:sz w:val="13"/>
                <w:szCs w:val="13"/>
                <w:color w:val="auto"/>
              </w:rPr>
              <w:t>outstanding as of December 31, 2020 and 2019</w:t>
            </w:r>
          </w:p>
        </w:tc>
        <w:tc>
          <w:tcPr>
            <w:tcW w:w="8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9"/>
        </w:trPr>
        <w:tc>
          <w:tcPr>
            <w:tcW w:w="20" w:type="dxa"/>
            <w:vAlign w:val="bottom"/>
          </w:tcPr>
          <w:p>
            <w:pPr>
              <w:spacing w:after="0"/>
              <w:rPr>
                <w:sz w:val="12"/>
                <w:szCs w:val="12"/>
                <w:color w:val="auto"/>
              </w:rPr>
            </w:pPr>
          </w:p>
        </w:tc>
        <w:tc>
          <w:tcPr>
            <w:tcW w:w="8380" w:type="dxa"/>
            <w:vAlign w:val="bottom"/>
            <w:shd w:val="clear" w:color="auto" w:fill="CCEEFF"/>
          </w:tcPr>
          <w:p>
            <w:pPr>
              <w:spacing w:after="0"/>
              <w:rPr>
                <w:sz w:val="20"/>
                <w:szCs w:val="20"/>
                <w:color w:val="auto"/>
              </w:rPr>
            </w:pPr>
            <w:r>
              <w:rPr>
                <w:rFonts w:ascii="Arial" w:cs="Arial" w:eastAsia="Arial" w:hAnsi="Arial"/>
                <w:sz w:val="13"/>
                <w:szCs w:val="13"/>
                <w:color w:val="auto"/>
                <w:w w:val="89"/>
              </w:rPr>
              <w:t>Class B common stock, $0.001 par, 30,000,000 shares authorized as of December 31, 2020 and 2019, 10,189,000 and 10,179,000 shares issued and outstanding</w:t>
            </w:r>
          </w:p>
        </w:tc>
        <w:tc>
          <w:tcPr>
            <w:tcW w:w="80" w:type="dxa"/>
            <w:vAlign w:val="bottom"/>
            <w:shd w:val="clear" w:color="auto" w:fill="CCEEFF"/>
          </w:tcPr>
          <w:p>
            <w:pPr>
              <w:spacing w:after="0"/>
              <w:rPr>
                <w:sz w:val="12"/>
                <w:szCs w:val="12"/>
                <w:color w:val="auto"/>
              </w:rPr>
            </w:pPr>
          </w:p>
        </w:tc>
        <w:tc>
          <w:tcPr>
            <w:tcW w:w="2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360" w:type="dxa"/>
            <w:vAlign w:val="bottom"/>
            <w:shd w:val="clear" w:color="auto" w:fill="CCEEFF"/>
          </w:tcPr>
          <w:p>
            <w:pPr>
              <w:spacing w:after="0"/>
              <w:rPr>
                <w:sz w:val="12"/>
                <w:szCs w:val="12"/>
                <w:color w:val="auto"/>
              </w:rPr>
            </w:pPr>
          </w:p>
        </w:tc>
        <w:tc>
          <w:tcPr>
            <w:tcW w:w="8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8380" w:type="dxa"/>
            <w:vAlign w:val="bottom"/>
            <w:shd w:val="clear" w:color="auto" w:fill="CCEEFF"/>
          </w:tcPr>
          <w:p>
            <w:pPr>
              <w:ind w:left="100"/>
              <w:spacing w:after="0"/>
              <w:rPr>
                <w:sz w:val="20"/>
                <w:szCs w:val="20"/>
                <w:color w:val="auto"/>
              </w:rPr>
            </w:pPr>
            <w:r>
              <w:rPr>
                <w:rFonts w:ascii="Arial" w:cs="Arial" w:eastAsia="Arial" w:hAnsi="Arial"/>
                <w:sz w:val="13"/>
                <w:szCs w:val="13"/>
                <w:color w:val="auto"/>
              </w:rPr>
              <w:t>as of December 31, 2020 and 2019, respectively</w:t>
            </w:r>
          </w:p>
        </w:tc>
        <w:tc>
          <w:tcPr>
            <w:tcW w:w="8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10,189</w:t>
            </w:r>
          </w:p>
        </w:tc>
        <w:tc>
          <w:tcPr>
            <w:tcW w:w="100" w:type="dxa"/>
            <w:vAlign w:val="bottom"/>
            <w:shd w:val="clear" w:color="auto" w:fill="CCEEFF"/>
          </w:tcPr>
          <w:p>
            <w:pPr>
              <w:spacing w:after="0"/>
              <w:rPr>
                <w:sz w:val="14"/>
                <w:szCs w:val="14"/>
                <w:color w:val="auto"/>
              </w:rPr>
            </w:pPr>
          </w:p>
        </w:tc>
        <w:tc>
          <w:tcPr>
            <w:tcW w:w="360" w:type="dxa"/>
            <w:vAlign w:val="bottom"/>
            <w:shd w:val="clear" w:color="auto" w:fill="CCEEFF"/>
          </w:tcPr>
          <w:p>
            <w:pPr>
              <w:spacing w:after="0"/>
              <w:rPr>
                <w:sz w:val="14"/>
                <w:szCs w:val="14"/>
                <w:color w:val="auto"/>
              </w:rPr>
            </w:pPr>
          </w:p>
        </w:tc>
        <w:tc>
          <w:tcPr>
            <w:tcW w:w="9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10,179</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80" w:type="dxa"/>
            <w:vAlign w:val="bottom"/>
          </w:tcPr>
          <w:p>
            <w:pPr>
              <w:spacing w:after="0"/>
              <w:rPr>
                <w:sz w:val="20"/>
                <w:szCs w:val="20"/>
                <w:color w:val="auto"/>
              </w:rPr>
            </w:pPr>
            <w:r>
              <w:rPr>
                <w:rFonts w:ascii="Arial" w:cs="Arial" w:eastAsia="Arial" w:hAnsi="Arial"/>
                <w:sz w:val="13"/>
                <w:szCs w:val="13"/>
                <w:color w:val="auto"/>
              </w:rPr>
              <w:t>Additional paid-in capital</w:t>
            </w:r>
          </w:p>
        </w:tc>
        <w:tc>
          <w:tcPr>
            <w:tcW w:w="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3,050,755</w:t>
            </w: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2,528,653</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8380" w:type="dxa"/>
            <w:vAlign w:val="bottom"/>
            <w:shd w:val="clear" w:color="auto" w:fill="CCEEFF"/>
          </w:tcPr>
          <w:p>
            <w:pPr>
              <w:spacing w:after="0"/>
              <w:rPr>
                <w:sz w:val="20"/>
                <w:szCs w:val="20"/>
                <w:color w:val="auto"/>
              </w:rPr>
            </w:pPr>
            <w:r>
              <w:rPr>
                <w:rFonts w:ascii="Arial" w:cs="Arial" w:eastAsia="Arial" w:hAnsi="Arial"/>
                <w:sz w:val="13"/>
                <w:szCs w:val="13"/>
                <w:color w:val="auto"/>
              </w:rPr>
              <w:t>Accumulated deficit</w:t>
            </w:r>
          </w:p>
        </w:tc>
        <w:tc>
          <w:tcPr>
            <w:tcW w:w="8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(69,246,228)</w:t>
            </w:r>
          </w:p>
        </w:tc>
        <w:tc>
          <w:tcPr>
            <w:tcW w:w="100" w:type="dxa"/>
            <w:vAlign w:val="bottom"/>
            <w:shd w:val="clear" w:color="auto" w:fill="CCEEFF"/>
          </w:tcPr>
          <w:p>
            <w:pPr>
              <w:spacing w:after="0"/>
              <w:rPr>
                <w:sz w:val="14"/>
                <w:szCs w:val="14"/>
                <w:color w:val="auto"/>
              </w:rPr>
            </w:pPr>
          </w:p>
        </w:tc>
        <w:tc>
          <w:tcPr>
            <w:tcW w:w="360" w:type="dxa"/>
            <w:vAlign w:val="bottom"/>
            <w:shd w:val="clear" w:color="auto" w:fill="CCEEFF"/>
          </w:tcPr>
          <w:p>
            <w:pPr>
              <w:spacing w:after="0"/>
              <w:rPr>
                <w:sz w:val="14"/>
                <w:szCs w:val="14"/>
                <w:color w:val="auto"/>
              </w:rPr>
            </w:pPr>
          </w:p>
        </w:tc>
        <w:tc>
          <w:tcPr>
            <w:tcW w:w="9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(49,247,199)</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80" w:type="dxa"/>
            <w:vAlign w:val="bottom"/>
            <w:tcBorders>
              <w:bottom w:val="single" w:sz="8" w:color="CCEEFF"/>
            </w:tcBorders>
          </w:tcPr>
          <w:p>
            <w:pPr>
              <w:ind w:left="220"/>
              <w:spacing w:after="0" w:line="144" w:lineRule="exact"/>
              <w:rPr>
                <w:sz w:val="20"/>
                <w:szCs w:val="20"/>
                <w:color w:val="auto"/>
              </w:rPr>
            </w:pPr>
            <w:r>
              <w:rPr>
                <w:rFonts w:ascii="Arial" w:cs="Arial" w:eastAsia="Arial" w:hAnsi="Arial"/>
                <w:sz w:val="13"/>
                <w:szCs w:val="13"/>
                <w:color w:val="auto"/>
              </w:rPr>
              <w:t>Total stockholders' deficit</w:t>
            </w:r>
          </w:p>
        </w:tc>
        <w:tc>
          <w:tcPr>
            <w:tcW w:w="80" w:type="dxa"/>
            <w:vAlign w:val="bottom"/>
            <w:tcBorders>
              <w:bottom w:val="single" w:sz="8" w:color="CCEEFF"/>
            </w:tcBorders>
          </w:tcPr>
          <w:p>
            <w:pPr>
              <w:spacing w:after="0"/>
              <w:rPr>
                <w:sz w:val="12"/>
                <w:szCs w:val="12"/>
                <w:color w:val="auto"/>
              </w:rPr>
            </w:pPr>
          </w:p>
        </w:tc>
        <w:tc>
          <w:tcPr>
            <w:tcW w:w="280" w:type="dxa"/>
            <w:vAlign w:val="bottom"/>
            <w:tcBorders>
              <w:top w:val="single" w:sz="8" w:color="auto"/>
              <w:bottom w:val="single" w:sz="8" w:color="auto"/>
            </w:tcBorders>
          </w:tcPr>
          <w:p>
            <w:pPr>
              <w:spacing w:after="0"/>
              <w:rPr>
                <w:sz w:val="12"/>
                <w:szCs w:val="12"/>
                <w:color w:val="auto"/>
              </w:rPr>
            </w:pP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(66,185,284)</w:t>
            </w:r>
          </w:p>
        </w:tc>
        <w:tc>
          <w:tcPr>
            <w:tcW w:w="140" w:type="dxa"/>
            <w:vAlign w:val="bottom"/>
            <w:tcBorders>
              <w:bottom w:val="single" w:sz="8" w:color="CCEEFF"/>
            </w:tcBorders>
          </w:tcPr>
          <w:p>
            <w:pPr>
              <w:spacing w:after="0"/>
              <w:rPr>
                <w:sz w:val="12"/>
                <w:szCs w:val="12"/>
                <w:color w:val="auto"/>
              </w:rPr>
            </w:pPr>
          </w:p>
        </w:tc>
        <w:tc>
          <w:tcPr>
            <w:tcW w:w="100" w:type="dxa"/>
            <w:vAlign w:val="bottom"/>
            <w:tcBorders>
              <w:bottom w:val="single" w:sz="8" w:color="CCEEFF"/>
            </w:tcBorders>
          </w:tcPr>
          <w:p>
            <w:pPr>
              <w:spacing w:after="0"/>
              <w:rPr>
                <w:sz w:val="12"/>
                <w:szCs w:val="12"/>
                <w:color w:val="auto"/>
              </w:rPr>
            </w:pPr>
          </w:p>
        </w:tc>
        <w:tc>
          <w:tcPr>
            <w:tcW w:w="360" w:type="dxa"/>
            <w:vAlign w:val="bottom"/>
            <w:tcBorders>
              <w:top w:val="single" w:sz="8" w:color="auto"/>
              <w:bottom w:val="single" w:sz="8" w:color="auto"/>
            </w:tcBorders>
          </w:tcPr>
          <w:p>
            <w:pPr>
              <w:spacing w:after="0"/>
              <w:rPr>
                <w:sz w:val="12"/>
                <w:szCs w:val="12"/>
                <w:color w:val="auto"/>
              </w:rPr>
            </w:pPr>
          </w:p>
        </w:tc>
        <w:tc>
          <w:tcPr>
            <w:tcW w:w="8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(46,708,367)</w:t>
            </w:r>
          </w:p>
        </w:tc>
        <w:tc>
          <w:tcPr>
            <w:tcW w:w="100" w:type="dxa"/>
            <w:vAlign w:val="bottom"/>
            <w:tcBorders>
              <w:bottom w:val="single" w:sz="8" w:color="CCEEFF"/>
            </w:tcBorders>
          </w:tcPr>
          <w:p>
            <w:pPr>
              <w:spacing w:after="0"/>
              <w:rPr>
                <w:sz w:val="12"/>
                <w:szCs w:val="12"/>
                <w:color w:val="auto"/>
              </w:rPr>
            </w:pPr>
          </w:p>
        </w:tc>
        <w:tc>
          <w:tcPr>
            <w:tcW w:w="0" w:type="dxa"/>
            <w:vAlign w:val="bottom"/>
          </w:tcPr>
          <w:p>
            <w:pPr>
              <w:spacing w:after="0"/>
              <w:rPr>
                <w:sz w:val="1"/>
                <w:szCs w:val="1"/>
                <w:color w:val="auto"/>
              </w:rPr>
            </w:pPr>
          </w:p>
        </w:tc>
      </w:tr>
      <w:tr>
        <w:trPr>
          <w:trHeight w:val="155"/>
        </w:trPr>
        <w:tc>
          <w:tcPr>
            <w:tcW w:w="20" w:type="dxa"/>
            <w:vAlign w:val="bottom"/>
          </w:tcPr>
          <w:p>
            <w:pPr>
              <w:spacing w:after="0"/>
              <w:rPr>
                <w:sz w:val="13"/>
                <w:szCs w:val="13"/>
                <w:color w:val="auto"/>
              </w:rPr>
            </w:pPr>
          </w:p>
        </w:tc>
        <w:tc>
          <w:tcPr>
            <w:tcW w:w="8380" w:type="dxa"/>
            <w:vAlign w:val="bottom"/>
            <w:shd w:val="clear" w:color="auto" w:fill="CCEEFF"/>
          </w:tcPr>
          <w:p>
            <w:pPr>
              <w:ind w:left="340"/>
              <w:spacing w:after="0" w:line="144" w:lineRule="exact"/>
              <w:rPr>
                <w:sz w:val="20"/>
                <w:szCs w:val="20"/>
                <w:color w:val="auto"/>
              </w:rPr>
            </w:pPr>
            <w:r>
              <w:rPr>
                <w:rFonts w:ascii="Arial" w:cs="Arial" w:eastAsia="Arial" w:hAnsi="Arial"/>
                <w:sz w:val="13"/>
                <w:szCs w:val="13"/>
                <w:color w:val="auto"/>
              </w:rPr>
              <w:t>Total liabilities, preferred stock and stockholders’ deficit</w:t>
            </w:r>
          </w:p>
        </w:tc>
        <w:tc>
          <w:tcPr>
            <w:tcW w:w="36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12,943,734</w:t>
            </w:r>
          </w:p>
        </w:tc>
        <w:tc>
          <w:tcPr>
            <w:tcW w:w="460" w:type="dxa"/>
            <w:vAlign w:val="bottom"/>
            <w:gridSpan w:val="2"/>
            <w:shd w:val="clear" w:color="auto" w:fill="CCEEFF"/>
          </w:tcPr>
          <w:p>
            <w:pPr>
              <w:jc w:val="right"/>
              <w:ind w:right="300"/>
              <w:spacing w:after="0"/>
              <w:rPr>
                <w:sz w:val="20"/>
                <w:szCs w:val="20"/>
                <w:color w:val="auto"/>
              </w:rPr>
            </w:pPr>
            <w:r>
              <w:rPr>
                <w:rFonts w:ascii="Arial" w:cs="Arial" w:eastAsia="Arial" w:hAnsi="Arial"/>
                <w:sz w:val="13"/>
                <w:szCs w:val="13"/>
                <w:color w:val="auto"/>
              </w:rPr>
              <w:t>$</w:t>
            </w: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7,736,152</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30"/>
        </w:trPr>
        <w:tc>
          <w:tcPr>
            <w:tcW w:w="20" w:type="dxa"/>
            <w:vAlign w:val="bottom"/>
          </w:tcPr>
          <w:p>
            <w:pPr>
              <w:spacing w:after="0"/>
              <w:rPr>
                <w:sz w:val="2"/>
                <w:szCs w:val="2"/>
                <w:color w:val="auto"/>
              </w:rPr>
            </w:pPr>
          </w:p>
        </w:tc>
        <w:tc>
          <w:tcPr>
            <w:tcW w:w="8380" w:type="dxa"/>
            <w:vAlign w:val="bottom"/>
            <w:shd w:val="clear" w:color="auto" w:fill="CCEEFF"/>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280" w:type="dxa"/>
            <w:vAlign w:val="bottom"/>
            <w:shd w:val="clear" w:color="auto" w:fill="000000"/>
          </w:tcPr>
          <w:p>
            <w:pPr>
              <w:spacing w:after="0"/>
              <w:rPr>
                <w:sz w:val="2"/>
                <w:szCs w:val="2"/>
                <w:color w:val="auto"/>
              </w:rPr>
            </w:pPr>
          </w:p>
        </w:tc>
        <w:tc>
          <w:tcPr>
            <w:tcW w:w="960" w:type="dxa"/>
            <w:vAlign w:val="bottom"/>
            <w:shd w:val="clear" w:color="auto" w:fill="000000"/>
          </w:tcPr>
          <w:p>
            <w:pPr>
              <w:spacing w:after="0"/>
              <w:rPr>
                <w:sz w:val="2"/>
                <w:szCs w:val="2"/>
                <w:color w:val="auto"/>
              </w:rPr>
            </w:pPr>
          </w:p>
        </w:tc>
        <w:tc>
          <w:tcPr>
            <w:tcW w:w="14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360" w:type="dxa"/>
            <w:vAlign w:val="bottom"/>
            <w:shd w:val="clear" w:color="auto" w:fill="000000"/>
          </w:tcPr>
          <w:p>
            <w:pPr>
              <w:spacing w:after="0"/>
              <w:rPr>
                <w:sz w:val="2"/>
                <w:szCs w:val="2"/>
                <w:color w:val="auto"/>
              </w:rPr>
            </w:pPr>
          </w:p>
        </w:tc>
        <w:tc>
          <w:tcPr>
            <w:tcW w:w="86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8"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See accompanying Notes to Financial Statements.</w:t>
      </w:r>
    </w:p>
    <w:p>
      <w:pPr>
        <w:spacing w:after="0" w:line="320"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65" w:name="page66"/>
    <w:bookmarkEnd w:id="65"/>
    <w:p>
      <w:pPr>
        <w:jc w:val="center"/>
        <w:spacing w:after="0"/>
        <w:rPr>
          <w:sz w:val="20"/>
          <w:szCs w:val="20"/>
          <w:color w:val="auto"/>
        </w:rPr>
      </w:pPr>
      <w:r>
        <w:rPr>
          <w:rFonts w:ascii="Arial" w:cs="Arial" w:eastAsia="Arial" w:hAnsi="Arial"/>
          <w:sz w:val="13"/>
          <w:szCs w:val="13"/>
          <w:b w:val="1"/>
          <w:bCs w:val="1"/>
          <w:color w:val="auto"/>
        </w:rPr>
        <w:t>KNIGHTSCOPE, INC.</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STATEMENTS OF OPERATIONS</w:t>
      </w:r>
    </w:p>
    <w:p>
      <w:pPr>
        <w:spacing w:after="0" w:line="161"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20" w:type="dxa"/>
            <w:vAlign w:val="bottom"/>
          </w:tcPr>
          <w:p>
            <w:pPr>
              <w:spacing w:after="0"/>
              <w:rPr>
                <w:sz w:val="14"/>
                <w:szCs w:val="14"/>
                <w:color w:val="auto"/>
              </w:rPr>
            </w:pPr>
          </w:p>
        </w:tc>
        <w:tc>
          <w:tcPr>
            <w:tcW w:w="6220" w:type="dxa"/>
            <w:vAlign w:val="bottom"/>
          </w:tcPr>
          <w:p>
            <w:pPr>
              <w:spacing w:after="0"/>
              <w:rPr>
                <w:sz w:val="14"/>
                <w:szCs w:val="14"/>
                <w:color w:val="auto"/>
              </w:rPr>
            </w:pP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520" w:type="dxa"/>
            <w:vAlign w:val="bottom"/>
            <w:gridSpan w:val="6"/>
          </w:tcPr>
          <w:p>
            <w:pPr>
              <w:jc w:val="right"/>
              <w:ind w:right="702"/>
              <w:spacing w:after="0"/>
              <w:rPr>
                <w:sz w:val="20"/>
                <w:szCs w:val="20"/>
                <w:color w:val="auto"/>
              </w:rPr>
            </w:pPr>
            <w:r>
              <w:rPr>
                <w:rFonts w:ascii="Arial" w:cs="Arial" w:eastAsia="Arial" w:hAnsi="Arial"/>
                <w:sz w:val="13"/>
                <w:szCs w:val="13"/>
                <w:b w:val="1"/>
                <w:bCs w:val="1"/>
                <w:color w:val="auto"/>
              </w:rPr>
              <w:t>Year ended December 31,</w:t>
            </w:r>
          </w:p>
        </w:tc>
        <w:tc>
          <w:tcPr>
            <w:tcW w:w="0" w:type="dxa"/>
            <w:vAlign w:val="bottom"/>
          </w:tcPr>
          <w:p>
            <w:pPr>
              <w:spacing w:after="0"/>
              <w:rPr>
                <w:sz w:val="1"/>
                <w:szCs w:val="1"/>
                <w:color w:val="auto"/>
              </w:rPr>
            </w:pPr>
          </w:p>
        </w:tc>
      </w:tr>
      <w:tr>
        <w:trPr>
          <w:trHeight w:val="157"/>
        </w:trPr>
        <w:tc>
          <w:tcPr>
            <w:tcW w:w="20" w:type="dxa"/>
            <w:vAlign w:val="bottom"/>
          </w:tcPr>
          <w:p>
            <w:pPr>
              <w:spacing w:after="0"/>
              <w:rPr>
                <w:sz w:val="13"/>
                <w:szCs w:val="13"/>
                <w:color w:val="auto"/>
              </w:rPr>
            </w:pPr>
          </w:p>
        </w:tc>
        <w:tc>
          <w:tcPr>
            <w:tcW w:w="6220" w:type="dxa"/>
            <w:vAlign w:val="bottom"/>
            <w:tcBorders>
              <w:bottom w:val="single" w:sz="8" w:color="CCEEFF"/>
            </w:tcBorders>
          </w:tcPr>
          <w:p>
            <w:pPr>
              <w:spacing w:after="0"/>
              <w:rPr>
                <w:sz w:val="13"/>
                <w:szCs w:val="13"/>
                <w:color w:val="auto"/>
              </w:rPr>
            </w:pPr>
          </w:p>
        </w:tc>
        <w:tc>
          <w:tcPr>
            <w:tcW w:w="224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40" w:type="dxa"/>
            <w:vAlign w:val="bottom"/>
            <w:tcBorders>
              <w:top w:val="single" w:sz="8" w:color="auto"/>
              <w:bottom w:val="single" w:sz="8" w:color="CCEEFF"/>
            </w:tcBorders>
          </w:tcPr>
          <w:p>
            <w:pPr>
              <w:spacing w:after="0"/>
              <w:rPr>
                <w:sz w:val="13"/>
                <w:szCs w:val="13"/>
                <w:color w:val="auto"/>
              </w:rPr>
            </w:pPr>
          </w:p>
        </w:tc>
        <w:tc>
          <w:tcPr>
            <w:tcW w:w="100" w:type="dxa"/>
            <w:vAlign w:val="bottom"/>
            <w:tcBorders>
              <w:top w:val="single" w:sz="8" w:color="auto"/>
              <w:bottom w:val="single" w:sz="8" w:color="CCEEFF"/>
            </w:tcBorders>
          </w:tcPr>
          <w:p>
            <w:pPr>
              <w:spacing w:after="0"/>
              <w:rPr>
                <w:sz w:val="13"/>
                <w:szCs w:val="13"/>
                <w:color w:val="auto"/>
              </w:rPr>
            </w:pPr>
          </w:p>
        </w:tc>
        <w:tc>
          <w:tcPr>
            <w:tcW w:w="26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2019</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22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Revenue</w:t>
            </w:r>
          </w:p>
        </w:tc>
        <w:tc>
          <w:tcPr>
            <w:tcW w:w="2240" w:type="dxa"/>
            <w:vAlign w:val="bottom"/>
            <w:shd w:val="clear" w:color="auto" w:fill="CCEEFF"/>
          </w:tcPr>
          <w:p>
            <w:pPr>
              <w:spacing w:after="0"/>
              <w:rPr>
                <w:sz w:val="12"/>
                <w:szCs w:val="12"/>
                <w:color w:val="auto"/>
              </w:rPr>
            </w:pP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3,334,578</w:t>
            </w: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260" w:type="dxa"/>
            <w:vAlign w:val="bottom"/>
            <w:shd w:val="clear" w:color="auto" w:fill="CCEEFF"/>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3,025,303</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spacing w:after="0"/>
              <w:rPr>
                <w:sz w:val="20"/>
                <w:szCs w:val="20"/>
                <w:color w:val="auto"/>
              </w:rPr>
            </w:pPr>
            <w:r>
              <w:rPr>
                <w:rFonts w:ascii="Arial" w:cs="Arial" w:eastAsia="Arial" w:hAnsi="Arial"/>
                <w:sz w:val="13"/>
                <w:szCs w:val="13"/>
                <w:color w:val="auto"/>
              </w:rPr>
              <w:t>Cost of services</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4,633,561</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4,632,863</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622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gross loss</w:t>
            </w:r>
          </w:p>
        </w:tc>
        <w:tc>
          <w:tcPr>
            <w:tcW w:w="224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(1,298,983)</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(1,607,560)</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2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220" w:type="dxa"/>
            <w:vAlign w:val="bottom"/>
            <w:shd w:val="clear" w:color="auto" w:fill="CCEEFF"/>
          </w:tcPr>
          <w:p>
            <w:pPr>
              <w:spacing w:after="0"/>
              <w:rPr>
                <w:sz w:val="20"/>
                <w:szCs w:val="20"/>
                <w:color w:val="auto"/>
              </w:rPr>
            </w:pPr>
            <w:r>
              <w:rPr>
                <w:rFonts w:ascii="Arial" w:cs="Arial" w:eastAsia="Arial" w:hAnsi="Arial"/>
                <w:sz w:val="13"/>
                <w:szCs w:val="13"/>
                <w:color w:val="auto"/>
              </w:rPr>
              <w:t>Operating expenses:</w:t>
            </w:r>
          </w:p>
        </w:tc>
        <w:tc>
          <w:tcPr>
            <w:tcW w:w="22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Research and development</w:t>
            </w:r>
          </w:p>
        </w:tc>
        <w:tc>
          <w:tcPr>
            <w:tcW w:w="224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3,244,684</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3,083,695</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20" w:type="dxa"/>
            <w:vAlign w:val="bottom"/>
            <w:shd w:val="clear" w:color="auto" w:fill="CCEEFF"/>
          </w:tcPr>
          <w:p>
            <w:pPr>
              <w:ind w:left="100"/>
              <w:spacing w:after="0"/>
              <w:rPr>
                <w:sz w:val="20"/>
                <w:szCs w:val="20"/>
                <w:color w:val="auto"/>
              </w:rPr>
            </w:pPr>
            <w:r>
              <w:rPr>
                <w:rFonts w:ascii="Arial" w:cs="Arial" w:eastAsia="Arial" w:hAnsi="Arial"/>
                <w:sz w:val="13"/>
                <w:szCs w:val="13"/>
                <w:color w:val="auto"/>
              </w:rPr>
              <w:t>Sales and marketing</w:t>
            </w:r>
          </w:p>
        </w:tc>
        <w:tc>
          <w:tcPr>
            <w:tcW w:w="22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02"/>
              <w:spacing w:after="0"/>
              <w:rPr>
                <w:sz w:val="20"/>
                <w:szCs w:val="20"/>
                <w:color w:val="auto"/>
              </w:rPr>
            </w:pPr>
            <w:r>
              <w:rPr>
                <w:rFonts w:ascii="Arial" w:cs="Arial" w:eastAsia="Arial" w:hAnsi="Arial"/>
                <w:sz w:val="13"/>
                <w:szCs w:val="13"/>
                <w:color w:val="auto"/>
              </w:rPr>
              <w:t>7,310,083</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3,495,806</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General and administrative</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2,788,021</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1,883,060</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622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operating expenses</w:t>
            </w:r>
          </w:p>
        </w:tc>
        <w:tc>
          <w:tcPr>
            <w:tcW w:w="224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13,342,788</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8,462,561</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2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vMerge w:val="continue"/>
          </w:tcPr>
          <w:p>
            <w:pPr>
              <w:spacing w:after="0"/>
              <w:rPr>
                <w:sz w:val="14"/>
                <w:szCs w:val="14"/>
                <w:color w:val="auto"/>
              </w:rPr>
            </w:pPr>
          </w:p>
        </w:tc>
        <w:tc>
          <w:tcPr>
            <w:tcW w:w="6220" w:type="dxa"/>
            <w:vAlign w:val="bottom"/>
            <w:shd w:val="clear" w:color="auto" w:fill="CCEEFF"/>
          </w:tcPr>
          <w:p>
            <w:pPr>
              <w:spacing w:after="0"/>
              <w:rPr>
                <w:sz w:val="20"/>
                <w:szCs w:val="20"/>
                <w:color w:val="auto"/>
              </w:rPr>
            </w:pPr>
            <w:r>
              <w:rPr>
                <w:rFonts w:ascii="Arial" w:cs="Arial" w:eastAsia="Arial" w:hAnsi="Arial"/>
                <w:sz w:val="13"/>
                <w:szCs w:val="13"/>
                <w:color w:val="auto"/>
              </w:rPr>
              <w:t>Loss from operations</w:t>
            </w:r>
          </w:p>
        </w:tc>
        <w:tc>
          <w:tcPr>
            <w:tcW w:w="224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62"/>
              <w:spacing w:after="0"/>
              <w:rPr>
                <w:sz w:val="20"/>
                <w:szCs w:val="20"/>
                <w:color w:val="auto"/>
              </w:rPr>
            </w:pPr>
            <w:r>
              <w:rPr>
                <w:rFonts w:ascii="Arial" w:cs="Arial" w:eastAsia="Arial" w:hAnsi="Arial"/>
                <w:sz w:val="13"/>
                <w:szCs w:val="13"/>
                <w:color w:val="auto"/>
              </w:rPr>
              <w:t>(14,641,771)</w:t>
            </w:r>
          </w:p>
        </w:tc>
        <w:tc>
          <w:tcPr>
            <w:tcW w:w="100" w:type="dxa"/>
            <w:vAlign w:val="bottom"/>
            <w:shd w:val="clear" w:color="auto" w:fill="CCEEFF"/>
          </w:tcPr>
          <w:p>
            <w:pPr>
              <w:spacing w:after="0"/>
              <w:rPr>
                <w:sz w:val="14"/>
                <w:szCs w:val="14"/>
                <w:color w:val="auto"/>
              </w:rPr>
            </w:pPr>
          </w:p>
        </w:tc>
        <w:tc>
          <w:tcPr>
            <w:tcW w:w="260" w:type="dxa"/>
            <w:vAlign w:val="bottom"/>
            <w:shd w:val="clear" w:color="auto" w:fill="CCEEFF"/>
          </w:tcPr>
          <w:p>
            <w:pPr>
              <w:spacing w:after="0"/>
              <w:rPr>
                <w:sz w:val="14"/>
                <w:szCs w:val="14"/>
                <w:color w:val="auto"/>
              </w:rPr>
            </w:pPr>
          </w:p>
        </w:tc>
        <w:tc>
          <w:tcPr>
            <w:tcW w:w="1060" w:type="dxa"/>
            <w:vAlign w:val="bottom"/>
            <w:gridSpan w:val="2"/>
            <w:shd w:val="clear" w:color="auto" w:fill="CCEEFF"/>
          </w:tcPr>
          <w:p>
            <w:pPr>
              <w:jc w:val="right"/>
              <w:ind w:right="22"/>
              <w:spacing w:after="0"/>
              <w:rPr>
                <w:sz w:val="20"/>
                <w:szCs w:val="20"/>
                <w:color w:val="auto"/>
              </w:rPr>
            </w:pPr>
            <w:r>
              <w:rPr>
                <w:rFonts w:ascii="Arial" w:cs="Arial" w:eastAsia="Arial" w:hAnsi="Arial"/>
                <w:sz w:val="13"/>
                <w:szCs w:val="13"/>
                <w:color w:val="auto"/>
              </w:rPr>
              <w:t>(10,070,121)</w:t>
            </w: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2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280" w:type="dxa"/>
            <w:vAlign w:val="bottom"/>
            <w:tcBorders>
              <w:top w:val="single" w:sz="8" w:color="auto"/>
            </w:tcBorders>
          </w:tcPr>
          <w:p>
            <w:pPr>
              <w:spacing w:after="0"/>
              <w:rPr>
                <w:sz w:val="12"/>
                <w:szCs w:val="12"/>
                <w:color w:val="auto"/>
              </w:rPr>
            </w:pPr>
          </w:p>
        </w:tc>
        <w:tc>
          <w:tcPr>
            <w:tcW w:w="960" w:type="dxa"/>
            <w:vAlign w:val="bottom"/>
            <w:tcBorders>
              <w:top w:val="single" w:sz="8" w:color="auto"/>
            </w:tcBorders>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Borders>
              <w:top w:val="single" w:sz="8" w:color="auto"/>
            </w:tcBorders>
          </w:tcPr>
          <w:p>
            <w:pPr>
              <w:spacing w:after="0"/>
              <w:rPr>
                <w:sz w:val="12"/>
                <w:szCs w:val="12"/>
                <w:color w:val="auto"/>
              </w:rPr>
            </w:pPr>
          </w:p>
        </w:tc>
        <w:tc>
          <w:tcPr>
            <w:tcW w:w="960" w:type="dxa"/>
            <w:vAlign w:val="bottom"/>
            <w:tcBorders>
              <w:top w:val="single" w:sz="8" w:color="auto"/>
            </w:tcBorders>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220" w:type="dxa"/>
            <w:vAlign w:val="bottom"/>
            <w:shd w:val="clear" w:color="auto" w:fill="CCEEFF"/>
          </w:tcPr>
          <w:p>
            <w:pPr>
              <w:spacing w:after="0"/>
              <w:rPr>
                <w:sz w:val="20"/>
                <w:szCs w:val="20"/>
                <w:color w:val="auto"/>
              </w:rPr>
            </w:pPr>
            <w:r>
              <w:rPr>
                <w:rFonts w:ascii="Arial" w:cs="Arial" w:eastAsia="Arial" w:hAnsi="Arial"/>
                <w:sz w:val="13"/>
                <w:szCs w:val="13"/>
                <w:color w:val="auto"/>
              </w:rPr>
              <w:t>Other income (expense):</w:t>
            </w:r>
          </w:p>
        </w:tc>
        <w:tc>
          <w:tcPr>
            <w:tcW w:w="22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Interest expense, net</w:t>
            </w:r>
          </w:p>
        </w:tc>
        <w:tc>
          <w:tcPr>
            <w:tcW w:w="224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62"/>
              <w:spacing w:after="0"/>
              <w:rPr>
                <w:sz w:val="20"/>
                <w:szCs w:val="20"/>
                <w:color w:val="auto"/>
              </w:rPr>
            </w:pPr>
            <w:r>
              <w:rPr>
                <w:rFonts w:ascii="Arial" w:cs="Arial" w:eastAsia="Arial" w:hAnsi="Arial"/>
                <w:sz w:val="13"/>
                <w:szCs w:val="13"/>
                <w:color w:val="auto"/>
              </w:rPr>
              <w:t>(2,259,108)</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060" w:type="dxa"/>
            <w:vAlign w:val="bottom"/>
            <w:gridSpan w:val="2"/>
          </w:tcPr>
          <w:p>
            <w:pPr>
              <w:jc w:val="right"/>
              <w:ind w:right="22"/>
              <w:spacing w:after="0"/>
              <w:rPr>
                <w:sz w:val="20"/>
                <w:szCs w:val="20"/>
                <w:color w:val="auto"/>
              </w:rPr>
            </w:pPr>
            <w:r>
              <w:rPr>
                <w:rFonts w:ascii="Arial" w:cs="Arial" w:eastAsia="Arial" w:hAnsi="Arial"/>
                <w:sz w:val="13"/>
                <w:szCs w:val="13"/>
                <w:color w:val="auto"/>
              </w:rPr>
              <w:t>(2,103,111)</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shd w:val="clear" w:color="auto" w:fill="CCEEFF"/>
          </w:tcPr>
          <w:p>
            <w:pPr>
              <w:ind w:left="100"/>
              <w:spacing w:after="0"/>
              <w:rPr>
                <w:sz w:val="20"/>
                <w:szCs w:val="20"/>
                <w:color w:val="auto"/>
              </w:rPr>
            </w:pPr>
            <w:r>
              <w:rPr>
                <w:rFonts w:ascii="Arial" w:cs="Arial" w:eastAsia="Arial" w:hAnsi="Arial"/>
                <w:sz w:val="13"/>
                <w:szCs w:val="13"/>
                <w:color w:val="auto"/>
              </w:rPr>
              <w:t>Change in fair value of warrant liabilities</w:t>
            </w:r>
          </w:p>
        </w:tc>
        <w:tc>
          <w:tcPr>
            <w:tcW w:w="224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62"/>
              <w:spacing w:after="0"/>
              <w:rPr>
                <w:sz w:val="20"/>
                <w:szCs w:val="20"/>
                <w:color w:val="auto"/>
              </w:rPr>
            </w:pPr>
            <w:r>
              <w:rPr>
                <w:rFonts w:ascii="Arial" w:cs="Arial" w:eastAsia="Arial" w:hAnsi="Arial"/>
                <w:sz w:val="13"/>
                <w:szCs w:val="13"/>
                <w:color w:val="auto"/>
              </w:rPr>
              <w:t>(2,424,706)</w:t>
            </w:r>
          </w:p>
        </w:tc>
        <w:tc>
          <w:tcPr>
            <w:tcW w:w="100" w:type="dxa"/>
            <w:vAlign w:val="bottom"/>
            <w:shd w:val="clear" w:color="auto" w:fill="CCEEFF"/>
          </w:tcPr>
          <w:p>
            <w:pPr>
              <w:spacing w:after="0"/>
              <w:rPr>
                <w:sz w:val="14"/>
                <w:szCs w:val="14"/>
                <w:color w:val="auto"/>
              </w:rPr>
            </w:pPr>
          </w:p>
        </w:tc>
        <w:tc>
          <w:tcPr>
            <w:tcW w:w="260" w:type="dxa"/>
            <w:vAlign w:val="bottom"/>
            <w:shd w:val="clear" w:color="auto" w:fill="CCEEFF"/>
          </w:tcPr>
          <w:p>
            <w:pPr>
              <w:spacing w:after="0"/>
              <w:rPr>
                <w:sz w:val="14"/>
                <w:szCs w:val="14"/>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284,751</w:t>
            </w:r>
          </w:p>
        </w:tc>
        <w:tc>
          <w:tcPr>
            <w:tcW w:w="10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Other expense, net</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62"/>
              <w:spacing w:after="0"/>
              <w:rPr>
                <w:sz w:val="20"/>
                <w:szCs w:val="20"/>
                <w:color w:val="auto"/>
              </w:rPr>
            </w:pPr>
            <w:r>
              <w:rPr>
                <w:rFonts w:ascii="Arial" w:cs="Arial" w:eastAsia="Arial" w:hAnsi="Arial"/>
                <w:sz w:val="13"/>
                <w:szCs w:val="13"/>
                <w:color w:val="auto"/>
              </w:rPr>
              <w:t>(11,008)</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60" w:type="dxa"/>
            <w:vAlign w:val="bottom"/>
            <w:gridSpan w:val="2"/>
          </w:tcPr>
          <w:p>
            <w:pPr>
              <w:jc w:val="right"/>
              <w:ind w:right="22"/>
              <w:spacing w:after="0"/>
              <w:rPr>
                <w:sz w:val="20"/>
                <w:szCs w:val="20"/>
                <w:color w:val="auto"/>
              </w:rPr>
            </w:pPr>
            <w:r>
              <w:rPr>
                <w:rFonts w:ascii="Arial" w:cs="Arial" w:eastAsia="Arial" w:hAnsi="Arial"/>
                <w:sz w:val="13"/>
                <w:szCs w:val="13"/>
                <w:color w:val="auto"/>
              </w:rPr>
              <w:t>(68,386)</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220" w:type="dxa"/>
            <w:vAlign w:val="bottom"/>
            <w:tcBorders>
              <w:top w:val="single" w:sz="8" w:color="CCEEFF"/>
            </w:tcBorders>
            <w:shd w:val="clear" w:color="auto" w:fill="CCEEFF"/>
          </w:tcPr>
          <w:p>
            <w:pPr>
              <w:ind w:left="220"/>
              <w:spacing w:after="0" w:line="144" w:lineRule="exact"/>
              <w:rPr>
                <w:sz w:val="20"/>
                <w:szCs w:val="20"/>
                <w:color w:val="auto"/>
              </w:rPr>
            </w:pPr>
            <w:r>
              <w:rPr>
                <w:rFonts w:ascii="Arial" w:cs="Arial" w:eastAsia="Arial" w:hAnsi="Arial"/>
                <w:sz w:val="13"/>
                <w:szCs w:val="13"/>
                <w:color w:val="auto"/>
              </w:rPr>
              <w:t>Total other income (expense)</w:t>
            </w:r>
          </w:p>
        </w:tc>
        <w:tc>
          <w:tcPr>
            <w:tcW w:w="224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(4,694,822)</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(1,886,746)</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2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220" w:type="dxa"/>
            <w:vAlign w:val="bottom"/>
            <w:shd w:val="clear" w:color="auto" w:fill="CCEEFF"/>
          </w:tcPr>
          <w:p>
            <w:pPr>
              <w:spacing w:after="0"/>
              <w:rPr>
                <w:sz w:val="20"/>
                <w:szCs w:val="20"/>
                <w:color w:val="auto"/>
              </w:rPr>
            </w:pPr>
            <w:r>
              <w:rPr>
                <w:rFonts w:ascii="Arial" w:cs="Arial" w:eastAsia="Arial" w:hAnsi="Arial"/>
                <w:sz w:val="13"/>
                <w:szCs w:val="13"/>
                <w:color w:val="auto"/>
              </w:rPr>
              <w:t>Net loss before income tax expense</w:t>
            </w:r>
          </w:p>
        </w:tc>
        <w:tc>
          <w:tcPr>
            <w:tcW w:w="22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62"/>
              <w:spacing w:after="0"/>
              <w:rPr>
                <w:sz w:val="20"/>
                <w:szCs w:val="20"/>
                <w:color w:val="auto"/>
              </w:rPr>
            </w:pPr>
            <w:r>
              <w:rPr>
                <w:rFonts w:ascii="Arial" w:cs="Arial" w:eastAsia="Arial" w:hAnsi="Arial"/>
                <w:sz w:val="13"/>
                <w:szCs w:val="13"/>
                <w:color w:val="auto"/>
              </w:rPr>
              <w:t>(19,336,593)</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22"/>
              <w:spacing w:after="0"/>
              <w:rPr>
                <w:sz w:val="20"/>
                <w:szCs w:val="20"/>
                <w:color w:val="auto"/>
              </w:rPr>
            </w:pPr>
            <w:r>
              <w:rPr>
                <w:rFonts w:ascii="Arial" w:cs="Arial" w:eastAsia="Arial" w:hAnsi="Arial"/>
                <w:sz w:val="13"/>
                <w:szCs w:val="13"/>
                <w:color w:val="auto"/>
              </w:rPr>
              <w:t>(11,956,867)</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spacing w:after="0"/>
              <w:rPr>
                <w:sz w:val="20"/>
                <w:szCs w:val="20"/>
                <w:color w:val="auto"/>
              </w:rPr>
            </w:pPr>
            <w:r>
              <w:rPr>
                <w:rFonts w:ascii="Arial" w:cs="Arial" w:eastAsia="Arial" w:hAnsi="Arial"/>
                <w:sz w:val="13"/>
                <w:szCs w:val="13"/>
                <w:color w:val="auto"/>
              </w:rPr>
              <w:t>Income tax expense</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62"/>
              <w:spacing w:after="0"/>
              <w:rPr>
                <w:sz w:val="20"/>
                <w:szCs w:val="20"/>
                <w:color w:val="auto"/>
              </w:rPr>
            </w:pPr>
            <w:r>
              <w:rPr>
                <w:rFonts w:ascii="Arial" w:cs="Arial" w:eastAsia="Arial" w:hAnsi="Arial"/>
                <w:sz w:val="13"/>
                <w:szCs w:val="13"/>
                <w:color w:val="auto"/>
              </w:rPr>
              <w:t>(3,949)</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60" w:type="dxa"/>
            <w:vAlign w:val="bottom"/>
            <w:gridSpan w:val="2"/>
          </w:tcPr>
          <w:p>
            <w:pPr>
              <w:jc w:val="right"/>
              <w:ind w:right="22"/>
              <w:spacing w:after="0"/>
              <w:rPr>
                <w:sz w:val="20"/>
                <w:szCs w:val="20"/>
                <w:color w:val="auto"/>
              </w:rPr>
            </w:pPr>
            <w:r>
              <w:rPr>
                <w:rFonts w:ascii="Arial" w:cs="Arial" w:eastAsia="Arial" w:hAnsi="Arial"/>
                <w:sz w:val="13"/>
                <w:szCs w:val="13"/>
                <w:color w:val="auto"/>
              </w:rPr>
              <w:t>(800)</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220" w:type="dxa"/>
            <w:vAlign w:val="bottom"/>
            <w:tcBorders>
              <w:top w:val="single" w:sz="8" w:color="CCEEFF"/>
            </w:tcBorders>
            <w:shd w:val="clear" w:color="auto" w:fill="CCEEFF"/>
          </w:tcPr>
          <w:p>
            <w:pPr>
              <w:spacing w:after="0" w:line="145" w:lineRule="exact"/>
              <w:rPr>
                <w:sz w:val="20"/>
                <w:szCs w:val="20"/>
                <w:color w:val="auto"/>
              </w:rPr>
            </w:pPr>
            <w:r>
              <w:rPr>
                <w:rFonts w:ascii="Arial" w:cs="Arial" w:eastAsia="Arial" w:hAnsi="Arial"/>
                <w:sz w:val="13"/>
                <w:szCs w:val="13"/>
                <w:color w:val="auto"/>
              </w:rPr>
              <w:t>Net loss</w:t>
            </w:r>
          </w:p>
        </w:tc>
        <w:tc>
          <w:tcPr>
            <w:tcW w:w="224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tcBorders>
            <w:shd w:val="clear" w:color="auto" w:fill="CCEEFF"/>
          </w:tcPr>
          <w:p>
            <w:pPr>
              <w:spacing w:after="0"/>
              <w:rPr>
                <w:sz w:val="12"/>
                <w:szCs w:val="12"/>
                <w:color w:val="auto"/>
              </w:rPr>
            </w:pPr>
          </w:p>
        </w:tc>
        <w:tc>
          <w:tcPr>
            <w:tcW w:w="960" w:type="dxa"/>
            <w:vAlign w:val="bottom"/>
            <w:tcBorders>
              <w:top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(19,340,542)</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tcBorders>
            <w:shd w:val="clear" w:color="auto" w:fill="CCEEFF"/>
          </w:tcPr>
          <w:p>
            <w:pPr>
              <w:spacing w:after="0"/>
              <w:rPr>
                <w:sz w:val="12"/>
                <w:szCs w:val="12"/>
                <w:color w:val="auto"/>
              </w:rPr>
            </w:pPr>
          </w:p>
        </w:tc>
        <w:tc>
          <w:tcPr>
            <w:tcW w:w="960" w:type="dxa"/>
            <w:vAlign w:val="bottom"/>
            <w:tcBorders>
              <w:top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(11,957,667)</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Preferred stock dividends</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62"/>
              <w:spacing w:after="0"/>
              <w:rPr>
                <w:sz w:val="20"/>
                <w:szCs w:val="20"/>
                <w:color w:val="auto"/>
              </w:rPr>
            </w:pPr>
            <w:r>
              <w:rPr>
                <w:rFonts w:ascii="Arial" w:cs="Arial" w:eastAsia="Arial" w:hAnsi="Arial"/>
                <w:sz w:val="13"/>
                <w:szCs w:val="13"/>
                <w:color w:val="auto"/>
              </w:rPr>
              <w:t>(658,487)</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60" w:type="dxa"/>
            <w:vAlign w:val="bottom"/>
            <w:gridSpan w:val="2"/>
          </w:tcPr>
          <w:p>
            <w:pPr>
              <w:jc w:val="right"/>
              <w:ind w:right="22"/>
              <w:spacing w:after="0"/>
              <w:rPr>
                <w:sz w:val="20"/>
                <w:szCs w:val="20"/>
                <w:color w:val="auto"/>
              </w:rPr>
            </w:pPr>
            <w:r>
              <w:rPr>
                <w:rFonts w:ascii="Arial" w:cs="Arial" w:eastAsia="Arial" w:hAnsi="Arial"/>
                <w:sz w:val="13"/>
                <w:szCs w:val="13"/>
                <w:color w:val="auto"/>
              </w:rPr>
              <w:t>(338,913)</w:t>
            </w: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6220" w:type="dxa"/>
            <w:vAlign w:val="bottom"/>
            <w:vMerge w:val="restart"/>
            <w:shd w:val="clear" w:color="auto" w:fill="CCEEFF"/>
          </w:tcPr>
          <w:p>
            <w:pPr>
              <w:spacing w:after="0"/>
              <w:rPr>
                <w:sz w:val="20"/>
                <w:szCs w:val="20"/>
                <w:color w:val="auto"/>
              </w:rPr>
            </w:pPr>
            <w:r>
              <w:rPr>
                <w:rFonts w:ascii="Arial" w:cs="Arial" w:eastAsia="Arial" w:hAnsi="Arial"/>
                <w:sz w:val="13"/>
                <w:szCs w:val="13"/>
                <w:color w:val="auto"/>
              </w:rPr>
              <w:t>Net Loss Attributable to Common Stockholders</w:t>
            </w:r>
          </w:p>
        </w:tc>
        <w:tc>
          <w:tcPr>
            <w:tcW w:w="2240" w:type="dxa"/>
            <w:vAlign w:val="bottom"/>
            <w:shd w:val="clear" w:color="auto" w:fill="CCEEFF"/>
          </w:tcPr>
          <w:p>
            <w:pPr>
              <w:spacing w:after="0" w:line="20" w:lineRule="exact"/>
              <w:rPr>
                <w:sz w:val="1"/>
                <w:szCs w:val="1"/>
                <w:color w:val="auto"/>
              </w:rPr>
            </w:pPr>
          </w:p>
        </w:tc>
        <w:tc>
          <w:tcPr>
            <w:tcW w:w="28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140" w:type="dxa"/>
            <w:vAlign w:val="bottom"/>
            <w:vMerge w:val="restart"/>
            <w:shd w:val="clear" w:color="auto" w:fill="CCEEFF"/>
          </w:tcPr>
          <w:p>
            <w:pPr>
              <w:jc w:val="right"/>
              <w:ind w:right="62"/>
              <w:spacing w:after="0"/>
              <w:rPr>
                <w:sz w:val="20"/>
                <w:szCs w:val="20"/>
                <w:color w:val="auto"/>
              </w:rPr>
            </w:pPr>
            <w:r>
              <w:rPr>
                <w:rFonts w:ascii="Arial" w:cs="Arial" w:eastAsia="Arial" w:hAnsi="Arial"/>
                <w:sz w:val="8"/>
                <w:szCs w:val="8"/>
                <w:color w:val="auto"/>
                <w:w w:val="73"/>
              </w:rPr>
              <w:t>)</w:t>
            </w:r>
          </w:p>
        </w:tc>
        <w:tc>
          <w:tcPr>
            <w:tcW w:w="100" w:type="dxa"/>
            <w:vAlign w:val="bottom"/>
            <w:shd w:val="clear" w:color="auto" w:fill="CCEEFF"/>
          </w:tcPr>
          <w:p>
            <w:pPr>
              <w:spacing w:after="0" w:line="20" w:lineRule="exact"/>
              <w:rPr>
                <w:sz w:val="1"/>
                <w:szCs w:val="1"/>
                <w:color w:val="auto"/>
              </w:rPr>
            </w:pPr>
          </w:p>
        </w:tc>
        <w:tc>
          <w:tcPr>
            <w:tcW w:w="26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100" w:type="dxa"/>
            <w:vAlign w:val="bottom"/>
            <w:vMerge w:val="restart"/>
            <w:shd w:val="clear" w:color="auto" w:fill="CCEEFF"/>
          </w:tcPr>
          <w:p>
            <w:pPr>
              <w:jc w:val="right"/>
              <w:ind w:right="22"/>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line="20" w:lineRule="exact"/>
              <w:rPr>
                <w:sz w:val="1"/>
                <w:szCs w:val="1"/>
                <w:color w:val="auto"/>
              </w:rPr>
            </w:pPr>
          </w:p>
        </w:tc>
      </w:tr>
      <w:tr>
        <w:trPr>
          <w:trHeight w:val="175"/>
        </w:trPr>
        <w:tc>
          <w:tcPr>
            <w:tcW w:w="20" w:type="dxa"/>
            <w:vAlign w:val="bottom"/>
          </w:tcPr>
          <w:p>
            <w:pPr>
              <w:spacing w:after="0"/>
              <w:rPr>
                <w:sz w:val="15"/>
                <w:szCs w:val="15"/>
                <w:color w:val="auto"/>
              </w:rPr>
            </w:pPr>
          </w:p>
        </w:tc>
        <w:tc>
          <w:tcPr>
            <w:tcW w:w="6220" w:type="dxa"/>
            <w:vAlign w:val="bottom"/>
            <w:vMerge w:val="continue"/>
            <w:shd w:val="clear" w:color="auto" w:fill="CCEEFF"/>
          </w:tcPr>
          <w:p>
            <w:pPr>
              <w:spacing w:after="0"/>
              <w:rPr>
                <w:sz w:val="15"/>
                <w:szCs w:val="15"/>
                <w:color w:val="auto"/>
              </w:rPr>
            </w:pPr>
          </w:p>
        </w:tc>
        <w:tc>
          <w:tcPr>
            <w:tcW w:w="2520" w:type="dxa"/>
            <w:vAlign w:val="bottom"/>
            <w:gridSpan w:val="2"/>
            <w:shd w:val="clear" w:color="auto" w:fill="CCEEFF"/>
          </w:tcPr>
          <w:p>
            <w:pPr>
              <w:jc w:val="right"/>
              <w:ind w:right="171"/>
              <w:spacing w:after="0"/>
              <w:rPr>
                <w:sz w:val="20"/>
                <w:szCs w:val="20"/>
                <w:color w:val="auto"/>
              </w:rPr>
            </w:pPr>
            <w:r>
              <w:rPr>
                <w:rFonts w:ascii="Arial" w:cs="Arial" w:eastAsia="Arial" w:hAnsi="Arial"/>
                <w:sz w:val="13"/>
                <w:szCs w:val="13"/>
                <w:color w:val="auto"/>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(19,999,029</w:t>
            </w:r>
          </w:p>
        </w:tc>
        <w:tc>
          <w:tcPr>
            <w:tcW w:w="140" w:type="dxa"/>
            <w:vAlign w:val="bottom"/>
            <w:vMerge w:val="continue"/>
            <w:shd w:val="clear" w:color="auto" w:fill="CCEEFF"/>
          </w:tcPr>
          <w:p>
            <w:pPr>
              <w:spacing w:after="0"/>
              <w:rPr>
                <w:sz w:val="15"/>
                <w:szCs w:val="15"/>
                <w:color w:val="auto"/>
              </w:rPr>
            </w:pPr>
          </w:p>
        </w:tc>
        <w:tc>
          <w:tcPr>
            <w:tcW w:w="360" w:type="dxa"/>
            <w:vAlign w:val="bottom"/>
            <w:gridSpan w:val="2"/>
            <w:shd w:val="clear" w:color="auto" w:fill="CCEEFF"/>
          </w:tcPr>
          <w:p>
            <w:pPr>
              <w:jc w:val="right"/>
              <w:ind w:right="151"/>
              <w:spacing w:after="0"/>
              <w:rPr>
                <w:sz w:val="20"/>
                <w:szCs w:val="20"/>
                <w:color w:val="auto"/>
              </w:rPr>
            </w:pPr>
            <w:r>
              <w:rPr>
                <w:rFonts w:ascii="Arial" w:cs="Arial" w:eastAsia="Arial" w:hAnsi="Arial"/>
                <w:sz w:val="13"/>
                <w:szCs w:val="13"/>
                <w:color w:val="auto"/>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(12,296,580</w:t>
            </w:r>
          </w:p>
        </w:tc>
        <w:tc>
          <w:tcPr>
            <w:tcW w:w="100" w:type="dxa"/>
            <w:vAlign w:val="bottom"/>
            <w:vMerge w:val="continue"/>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20" w:type="dxa"/>
            <w:vAlign w:val="bottom"/>
            <w:tcBorders>
              <w:top w:val="single" w:sz="8" w:color="CCEEFF"/>
              <w:bottom w:val="single" w:sz="8" w:color="CCEEFF"/>
            </w:tcBorders>
          </w:tcPr>
          <w:p>
            <w:pPr>
              <w:ind w:left="20"/>
              <w:spacing w:after="0" w:line="144" w:lineRule="exact"/>
              <w:rPr>
                <w:sz w:val="20"/>
                <w:szCs w:val="20"/>
                <w:color w:val="auto"/>
              </w:rPr>
            </w:pPr>
            <w:r>
              <w:rPr>
                <w:rFonts w:ascii="Arial" w:cs="Arial" w:eastAsia="Arial" w:hAnsi="Arial"/>
                <w:sz w:val="13"/>
                <w:szCs w:val="13"/>
                <w:color w:val="auto"/>
              </w:rPr>
              <w:t>Basic and diluted net loss per common share</w:t>
            </w:r>
          </w:p>
        </w:tc>
        <w:tc>
          <w:tcPr>
            <w:tcW w:w="2240" w:type="dxa"/>
            <w:vAlign w:val="bottom"/>
            <w:tcBorders>
              <w:top w:val="single" w:sz="8" w:color="CCEEFF"/>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(1.96</w:t>
            </w:r>
          </w:p>
        </w:tc>
        <w:tc>
          <w:tcPr>
            <w:tcW w:w="140" w:type="dxa"/>
            <w:vAlign w:val="bottom"/>
            <w:tcBorders>
              <w:top w:val="single" w:sz="8" w:color="CCEEFF"/>
              <w:bottom w:val="single" w:sz="8" w:color="CCEEFF"/>
            </w:tcBorders>
          </w:tcPr>
          <w:p>
            <w:pPr>
              <w:jc w:val="right"/>
              <w:ind w:right="62"/>
              <w:spacing w:after="0"/>
              <w:rPr>
                <w:sz w:val="20"/>
                <w:szCs w:val="20"/>
                <w:color w:val="auto"/>
              </w:rPr>
            </w:pPr>
            <w:r>
              <w:rPr>
                <w:rFonts w:ascii="Arial" w:cs="Arial" w:eastAsia="Arial" w:hAnsi="Arial"/>
                <w:sz w:val="8"/>
                <w:szCs w:val="8"/>
                <w:color w:val="auto"/>
                <w:w w:val="73"/>
              </w:rPr>
              <w:t>)</w:t>
            </w:r>
          </w:p>
        </w:tc>
        <w:tc>
          <w:tcPr>
            <w:tcW w:w="100" w:type="dxa"/>
            <w:vAlign w:val="bottom"/>
            <w:tcBorders>
              <w:top w:val="single" w:sz="8" w:color="CCEEFF"/>
              <w:bottom w:val="single" w:sz="8" w:color="CCEEFF"/>
            </w:tcBorders>
          </w:tcPr>
          <w:p>
            <w:pPr>
              <w:spacing w:after="0"/>
              <w:rPr>
                <w:sz w:val="13"/>
                <w:szCs w:val="13"/>
                <w:color w:val="auto"/>
              </w:rPr>
            </w:pPr>
          </w:p>
        </w:tc>
        <w:tc>
          <w:tcPr>
            <w:tcW w:w="260" w:type="dxa"/>
            <w:vAlign w:val="bottom"/>
            <w:tcBorders>
              <w:top w:val="single" w:sz="8" w:color="auto"/>
              <w:bottom w:val="single" w:sz="8" w:color="auto"/>
            </w:tcBorders>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(1.21</w:t>
            </w:r>
          </w:p>
        </w:tc>
        <w:tc>
          <w:tcPr>
            <w:tcW w:w="100" w:type="dxa"/>
            <w:vAlign w:val="bottom"/>
            <w:tcBorders>
              <w:top w:val="single" w:sz="8" w:color="CCEEFF"/>
              <w:bottom w:val="single" w:sz="8" w:color="CCEEFF"/>
            </w:tcBorders>
          </w:tcPr>
          <w:p>
            <w:pPr>
              <w:jc w:val="right"/>
              <w:ind w:right="22"/>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Borders>
              <w:bottom w:val="single" w:sz="8" w:color="CCEEFF"/>
            </w:tcBorders>
            <w:shd w:val="clear" w:color="auto" w:fill="CCEEFF"/>
          </w:tcPr>
          <w:p>
            <w:pPr>
              <w:spacing w:after="0" w:line="145" w:lineRule="exact"/>
              <w:rPr>
                <w:sz w:val="20"/>
                <w:szCs w:val="20"/>
                <w:color w:val="auto"/>
              </w:rPr>
            </w:pPr>
            <w:r>
              <w:rPr>
                <w:rFonts w:ascii="Arial" w:cs="Arial" w:eastAsia="Arial" w:hAnsi="Arial"/>
                <w:sz w:val="13"/>
                <w:szCs w:val="13"/>
                <w:color w:val="auto"/>
              </w:rPr>
              <w:t>Weighted average shares used to compute basic and diluted net loss per share</w:t>
            </w:r>
          </w:p>
        </w:tc>
        <w:tc>
          <w:tcPr>
            <w:tcW w:w="2240" w:type="dxa"/>
            <w:vAlign w:val="bottom"/>
            <w:tcBorders>
              <w:bottom w:val="single" w:sz="8" w:color="CCEEFF"/>
            </w:tcBorders>
            <w:shd w:val="clear" w:color="auto" w:fill="CCEEFF"/>
          </w:tcPr>
          <w:p>
            <w:pPr>
              <w:spacing w:after="0"/>
              <w:rPr>
                <w:sz w:val="14"/>
                <w:szCs w:val="14"/>
                <w:color w:val="auto"/>
              </w:rPr>
            </w:pPr>
          </w:p>
        </w:tc>
        <w:tc>
          <w:tcPr>
            <w:tcW w:w="280" w:type="dxa"/>
            <w:vAlign w:val="bottom"/>
            <w:tcBorders>
              <w:bottom w:val="single" w:sz="8" w:color="auto"/>
            </w:tcBorders>
            <w:shd w:val="clear" w:color="auto" w:fill="CCEEFF"/>
          </w:tcPr>
          <w:p>
            <w:pPr>
              <w:spacing w:after="0"/>
              <w:rPr>
                <w:sz w:val="14"/>
                <w:szCs w:val="14"/>
                <w:color w:val="auto"/>
              </w:rPr>
            </w:pP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10,189,000</w:t>
            </w:r>
          </w:p>
        </w:tc>
        <w:tc>
          <w:tcPr>
            <w:tcW w:w="140" w:type="dxa"/>
            <w:vAlign w:val="bottom"/>
            <w:tcBorders>
              <w:bottom w:val="single" w:sz="8" w:color="CCEEFF"/>
            </w:tcBorders>
            <w:shd w:val="clear" w:color="auto" w:fill="CCEEFF"/>
          </w:tcPr>
          <w:p>
            <w:pPr>
              <w:spacing w:after="0"/>
              <w:rPr>
                <w:sz w:val="14"/>
                <w:szCs w:val="14"/>
                <w:color w:val="auto"/>
              </w:rPr>
            </w:pPr>
          </w:p>
        </w:tc>
        <w:tc>
          <w:tcPr>
            <w:tcW w:w="100" w:type="dxa"/>
            <w:vAlign w:val="bottom"/>
            <w:tcBorders>
              <w:bottom w:val="single" w:sz="8" w:color="CCEEFF"/>
            </w:tcBorders>
            <w:shd w:val="clear" w:color="auto" w:fill="CCEEFF"/>
          </w:tcPr>
          <w:p>
            <w:pPr>
              <w:spacing w:after="0"/>
              <w:rPr>
                <w:sz w:val="14"/>
                <w:szCs w:val="14"/>
                <w:color w:val="auto"/>
              </w:rPr>
            </w:pPr>
          </w:p>
        </w:tc>
        <w:tc>
          <w:tcPr>
            <w:tcW w:w="260" w:type="dxa"/>
            <w:vAlign w:val="bottom"/>
            <w:tcBorders>
              <w:bottom w:val="single" w:sz="8" w:color="auto"/>
            </w:tcBorders>
            <w:shd w:val="clear" w:color="auto" w:fill="CCEEFF"/>
          </w:tcPr>
          <w:p>
            <w:pPr>
              <w:spacing w:after="0"/>
              <w:rPr>
                <w:sz w:val="14"/>
                <w:szCs w:val="14"/>
                <w:color w:val="auto"/>
              </w:rPr>
            </w:pP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10,179,000</w:t>
            </w:r>
          </w:p>
        </w:tc>
        <w:tc>
          <w:tcPr>
            <w:tcW w:w="100" w:type="dxa"/>
            <w:vAlign w:val="bottom"/>
            <w:tcBorders>
              <w:bottom w:val="single" w:sz="8" w:color="CCEEFF"/>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bl>
    <w:p>
      <w:pPr>
        <w:spacing w:after="0" w:line="148"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See accompanying Notes to Financial Statements.</w:t>
      </w:r>
    </w:p>
    <w:p>
      <w:pPr>
        <w:spacing w:after="0" w:line="320"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66" w:name="page67"/>
    <w:bookmarkEnd w:id="66"/>
    <w:p>
      <w:pPr>
        <w:jc w:val="center"/>
        <w:ind w:right="-39"/>
        <w:spacing w:after="0"/>
        <w:rPr>
          <w:sz w:val="20"/>
          <w:szCs w:val="20"/>
          <w:color w:val="auto"/>
        </w:rPr>
      </w:pPr>
      <w:r>
        <w:rPr>
          <w:rFonts w:ascii="Arial" w:cs="Arial" w:eastAsia="Arial" w:hAnsi="Arial"/>
          <w:sz w:val="13"/>
          <w:szCs w:val="13"/>
          <w:b w:val="1"/>
          <w:bCs w:val="1"/>
          <w:color w:val="auto"/>
        </w:rPr>
        <w:t>KNIGHTSCOPE, INC.</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STATEMENTS OF CASH FLOWS</w:t>
      </w:r>
    </w:p>
    <w:p>
      <w:pPr>
        <w:spacing w:after="0" w:line="152"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20" w:type="dxa"/>
            <w:vAlign w:val="bottom"/>
          </w:tcPr>
          <w:p>
            <w:pPr>
              <w:spacing w:after="0"/>
              <w:rPr>
                <w:sz w:val="14"/>
                <w:szCs w:val="14"/>
                <w:color w:val="auto"/>
              </w:rPr>
            </w:pPr>
          </w:p>
        </w:tc>
        <w:tc>
          <w:tcPr>
            <w:tcW w:w="8000" w:type="dxa"/>
            <w:vAlign w:val="bottom"/>
          </w:tcPr>
          <w:p>
            <w:pPr>
              <w:spacing w:after="0"/>
              <w:rPr>
                <w:sz w:val="14"/>
                <w:szCs w:val="14"/>
                <w:color w:val="auto"/>
              </w:rPr>
            </w:pPr>
          </w:p>
        </w:tc>
        <w:tc>
          <w:tcPr>
            <w:tcW w:w="340" w:type="dxa"/>
            <w:vAlign w:val="bottom"/>
            <w:tcBorders>
              <w:bottom w:val="single" w:sz="8" w:color="auto"/>
            </w:tcBorders>
          </w:tcPr>
          <w:p>
            <w:pPr>
              <w:spacing w:after="0"/>
              <w:rPr>
                <w:sz w:val="14"/>
                <w:szCs w:val="14"/>
                <w:color w:val="auto"/>
              </w:rPr>
            </w:pPr>
          </w:p>
        </w:tc>
        <w:tc>
          <w:tcPr>
            <w:tcW w:w="1960" w:type="dxa"/>
            <w:vAlign w:val="bottom"/>
            <w:tcBorders>
              <w:bottom w:val="single" w:sz="8" w:color="auto"/>
            </w:tcBorders>
            <w:gridSpan w:val="3"/>
          </w:tcPr>
          <w:p>
            <w:pPr>
              <w:jc w:val="right"/>
              <w:spacing w:after="0"/>
              <w:rPr>
                <w:sz w:val="20"/>
                <w:szCs w:val="20"/>
                <w:color w:val="auto"/>
              </w:rPr>
            </w:pPr>
            <w:r>
              <w:rPr>
                <w:rFonts w:ascii="Arial" w:cs="Arial" w:eastAsia="Arial" w:hAnsi="Arial"/>
                <w:sz w:val="13"/>
                <w:szCs w:val="13"/>
                <w:b w:val="1"/>
                <w:bCs w:val="1"/>
                <w:color w:val="auto"/>
              </w:rPr>
              <w:t>Year ended December 31,</w:t>
            </w:r>
          </w:p>
        </w:tc>
        <w:tc>
          <w:tcPr>
            <w:tcW w:w="860" w:type="dxa"/>
            <w:vAlign w:val="bottom"/>
            <w:tcBorders>
              <w:bottom w:val="single" w:sz="8" w:color="auto"/>
            </w:tcBorders>
          </w:tcPr>
          <w:p>
            <w:pPr>
              <w:spacing w:after="0"/>
              <w:rPr>
                <w:sz w:val="14"/>
                <w:szCs w:val="14"/>
                <w:color w:val="auto"/>
              </w:rPr>
            </w:pPr>
          </w:p>
        </w:tc>
        <w:tc>
          <w:tcPr>
            <w:tcW w:w="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8000" w:type="dxa"/>
            <w:vAlign w:val="bottom"/>
            <w:tcBorders>
              <w:bottom w:val="single" w:sz="8" w:color="CCEEFF"/>
            </w:tcBorders>
          </w:tcPr>
          <w:p>
            <w:pPr>
              <w:spacing w:after="0"/>
              <w:rPr>
                <w:sz w:val="12"/>
                <w:szCs w:val="12"/>
                <w:color w:val="auto"/>
              </w:rPr>
            </w:pPr>
          </w:p>
        </w:tc>
        <w:tc>
          <w:tcPr>
            <w:tcW w:w="340" w:type="dxa"/>
            <w:vAlign w:val="bottom"/>
            <w:tcBorders>
              <w:bottom w:val="single" w:sz="8" w:color="auto"/>
            </w:tcBorders>
          </w:tcPr>
          <w:p>
            <w:pPr>
              <w:spacing w:after="0"/>
              <w:rPr>
                <w:sz w:val="12"/>
                <w:szCs w:val="12"/>
                <w:color w:val="auto"/>
              </w:rPr>
            </w:pPr>
          </w:p>
        </w:tc>
        <w:tc>
          <w:tcPr>
            <w:tcW w:w="1140" w:type="dxa"/>
            <w:vAlign w:val="bottom"/>
            <w:tcBorders>
              <w:bottom w:val="single" w:sz="8" w:color="auto"/>
            </w:tcBorders>
          </w:tcPr>
          <w:p>
            <w:pPr>
              <w:jc w:val="right"/>
              <w:ind w:right="535"/>
              <w:spacing w:after="0" w:line="147" w:lineRule="exact"/>
              <w:rPr>
                <w:sz w:val="20"/>
                <w:szCs w:val="20"/>
                <w:color w:val="auto"/>
              </w:rPr>
            </w:pPr>
            <w:r>
              <w:rPr>
                <w:rFonts w:ascii="Arial" w:cs="Arial" w:eastAsia="Arial" w:hAnsi="Arial"/>
                <w:sz w:val="13"/>
                <w:szCs w:val="13"/>
                <w:b w:val="1"/>
                <w:bCs w:val="1"/>
                <w:color w:val="auto"/>
              </w:rPr>
              <w:t>2020</w:t>
            </w:r>
          </w:p>
        </w:tc>
        <w:tc>
          <w:tcPr>
            <w:tcW w:w="220" w:type="dxa"/>
            <w:vAlign w:val="bottom"/>
            <w:tcBorders>
              <w:bottom w:val="single" w:sz="8" w:color="CCEEFF"/>
            </w:tcBorders>
          </w:tcPr>
          <w:p>
            <w:pPr>
              <w:spacing w:after="0"/>
              <w:rPr>
                <w:sz w:val="12"/>
                <w:szCs w:val="12"/>
                <w:color w:val="auto"/>
              </w:rPr>
            </w:pPr>
          </w:p>
        </w:tc>
        <w:tc>
          <w:tcPr>
            <w:tcW w:w="600" w:type="dxa"/>
            <w:vAlign w:val="bottom"/>
            <w:tcBorders>
              <w:bottom w:val="single" w:sz="8" w:color="auto"/>
            </w:tcBorders>
          </w:tcPr>
          <w:p>
            <w:pPr>
              <w:spacing w:after="0"/>
              <w:rPr>
                <w:sz w:val="12"/>
                <w:szCs w:val="12"/>
                <w:color w:val="auto"/>
              </w:rPr>
            </w:pPr>
          </w:p>
        </w:tc>
        <w:tc>
          <w:tcPr>
            <w:tcW w:w="860" w:type="dxa"/>
            <w:vAlign w:val="bottom"/>
            <w:tcBorders>
              <w:bottom w:val="single" w:sz="8" w:color="auto"/>
            </w:tcBorders>
          </w:tcPr>
          <w:p>
            <w:pPr>
              <w:jc w:val="right"/>
              <w:ind w:right="535"/>
              <w:spacing w:after="0" w:line="147" w:lineRule="exact"/>
              <w:rPr>
                <w:sz w:val="20"/>
                <w:szCs w:val="20"/>
                <w:color w:val="auto"/>
              </w:rPr>
            </w:pPr>
            <w:r>
              <w:rPr>
                <w:rFonts w:ascii="Arial" w:cs="Arial" w:eastAsia="Arial" w:hAnsi="Arial"/>
                <w:sz w:val="13"/>
                <w:szCs w:val="13"/>
                <w:b w:val="1"/>
                <w:bCs w:val="1"/>
                <w:color w:val="auto"/>
                <w:w w:val="82"/>
              </w:rPr>
              <w:t>2019</w:t>
            </w:r>
          </w:p>
        </w:tc>
        <w:tc>
          <w:tcPr>
            <w:tcW w:w="20" w:type="dxa"/>
            <w:vAlign w:val="bottom"/>
            <w:tcBorders>
              <w:bottom w:val="single" w:sz="8" w:color="CCEEFF"/>
            </w:tcBorders>
          </w:tcPr>
          <w:p>
            <w:pPr>
              <w:spacing w:after="0"/>
              <w:rPr>
                <w:sz w:val="12"/>
                <w:szCs w:val="12"/>
                <w:color w:val="auto"/>
              </w:rPr>
            </w:pPr>
          </w:p>
        </w:tc>
        <w:tc>
          <w:tcPr>
            <w:tcW w:w="80" w:type="dxa"/>
            <w:vAlign w:val="bottom"/>
            <w:tcBorders>
              <w:bottom w:val="single" w:sz="8" w:color="CCEEFF"/>
            </w:tcBorders>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000" w:type="dxa"/>
            <w:vAlign w:val="bottom"/>
            <w:shd w:val="clear" w:color="auto" w:fill="CCEEFF"/>
          </w:tcPr>
          <w:p>
            <w:pPr>
              <w:spacing w:after="0" w:line="146" w:lineRule="exact"/>
              <w:rPr>
                <w:sz w:val="20"/>
                <w:szCs w:val="20"/>
                <w:color w:val="auto"/>
              </w:rPr>
            </w:pPr>
            <w:r>
              <w:rPr>
                <w:rFonts w:ascii="Arial" w:cs="Arial" w:eastAsia="Arial" w:hAnsi="Arial"/>
                <w:sz w:val="13"/>
                <w:szCs w:val="13"/>
                <w:b w:val="1"/>
                <w:bCs w:val="1"/>
                <w:color w:val="auto"/>
              </w:rPr>
              <w:t>Cash Flows From Operating Activities</w:t>
            </w:r>
          </w:p>
        </w:tc>
        <w:tc>
          <w:tcPr>
            <w:tcW w:w="340" w:type="dxa"/>
            <w:vAlign w:val="bottom"/>
            <w:shd w:val="clear" w:color="auto" w:fill="CCEEFF"/>
          </w:tcPr>
          <w:p>
            <w:pPr>
              <w:spacing w:after="0"/>
              <w:rPr>
                <w:sz w:val="12"/>
                <w:szCs w:val="12"/>
                <w:color w:val="auto"/>
              </w:rPr>
            </w:pPr>
          </w:p>
        </w:tc>
        <w:tc>
          <w:tcPr>
            <w:tcW w:w="114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600" w:type="dxa"/>
            <w:vAlign w:val="bottom"/>
            <w:shd w:val="clear" w:color="auto" w:fill="CCEEFF"/>
          </w:tcPr>
          <w:p>
            <w:pPr>
              <w:spacing w:after="0"/>
              <w:rPr>
                <w:sz w:val="12"/>
                <w:szCs w:val="12"/>
                <w:color w:val="auto"/>
              </w:rPr>
            </w:pPr>
          </w:p>
        </w:tc>
        <w:tc>
          <w:tcPr>
            <w:tcW w:w="86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Pr>
          <w:p>
            <w:pPr>
              <w:spacing w:after="0"/>
              <w:rPr>
                <w:sz w:val="20"/>
                <w:szCs w:val="20"/>
                <w:color w:val="auto"/>
              </w:rPr>
            </w:pPr>
            <w:r>
              <w:rPr>
                <w:rFonts w:ascii="Arial" w:cs="Arial" w:eastAsia="Arial" w:hAnsi="Arial"/>
                <w:sz w:val="13"/>
                <w:szCs w:val="13"/>
                <w:color w:val="auto"/>
              </w:rPr>
              <w:t>Net loss</w:t>
            </w:r>
          </w:p>
        </w:tc>
        <w:tc>
          <w:tcPr>
            <w:tcW w:w="340" w:type="dxa"/>
            <w:vAlign w:val="bottom"/>
          </w:tcPr>
          <w:p>
            <w:pPr>
              <w:jc w:val="right"/>
              <w:ind w:right="231"/>
              <w:spacing w:after="0"/>
              <w:rPr>
                <w:sz w:val="20"/>
                <w:szCs w:val="20"/>
                <w:color w:val="auto"/>
              </w:rPr>
            </w:pPr>
            <w:r>
              <w:rPr>
                <w:rFonts w:ascii="Arial" w:cs="Arial" w:eastAsia="Arial" w:hAnsi="Arial"/>
                <w:sz w:val="10"/>
                <w:szCs w:val="10"/>
                <w:color w:val="auto"/>
                <w:w w:val="71"/>
              </w:rPr>
              <w:t>$</w:t>
            </w:r>
          </w:p>
        </w:tc>
        <w:tc>
          <w:tcPr>
            <w:tcW w:w="1360" w:type="dxa"/>
            <w:vAlign w:val="bottom"/>
            <w:gridSpan w:val="2"/>
          </w:tcPr>
          <w:p>
            <w:pPr>
              <w:jc w:val="right"/>
              <w:ind w:right="180"/>
              <w:spacing w:after="0"/>
              <w:rPr>
                <w:sz w:val="20"/>
                <w:szCs w:val="20"/>
                <w:color w:val="auto"/>
              </w:rPr>
            </w:pPr>
            <w:r>
              <w:rPr>
                <w:rFonts w:ascii="Arial" w:cs="Arial" w:eastAsia="Arial" w:hAnsi="Arial"/>
                <w:sz w:val="13"/>
                <w:szCs w:val="13"/>
                <w:color w:val="auto"/>
              </w:rPr>
              <w:t>(19,340,542)</w:t>
            </w:r>
          </w:p>
        </w:tc>
        <w:tc>
          <w:tcPr>
            <w:tcW w:w="600" w:type="dxa"/>
            <w:vAlign w:val="bottom"/>
          </w:tcPr>
          <w:p>
            <w:pPr>
              <w:jc w:val="right"/>
              <w:ind w:right="455"/>
              <w:spacing w:after="0"/>
              <w:rPr>
                <w:sz w:val="20"/>
                <w:szCs w:val="20"/>
                <w:color w:val="auto"/>
              </w:rPr>
            </w:pPr>
            <w:r>
              <w:rPr>
                <w:rFonts w:ascii="Arial" w:cs="Arial" w:eastAsia="Arial" w:hAnsi="Arial"/>
                <w:sz w:val="13"/>
                <w:szCs w:val="13"/>
                <w:color w:val="auto"/>
                <w:w w:val="82"/>
              </w:rPr>
              <w:t>$</w:t>
            </w:r>
          </w:p>
        </w:tc>
        <w:tc>
          <w:tcPr>
            <w:tcW w:w="960" w:type="dxa"/>
            <w:vAlign w:val="bottom"/>
            <w:gridSpan w:val="3"/>
          </w:tcPr>
          <w:p>
            <w:pPr>
              <w:jc w:val="right"/>
              <w:ind w:right="60"/>
              <w:spacing w:after="0"/>
              <w:rPr>
                <w:sz w:val="20"/>
                <w:szCs w:val="20"/>
                <w:color w:val="auto"/>
              </w:rPr>
            </w:pPr>
            <w:r>
              <w:rPr>
                <w:rFonts w:ascii="Arial" w:cs="Arial" w:eastAsia="Arial" w:hAnsi="Arial"/>
                <w:sz w:val="13"/>
                <w:szCs w:val="13"/>
                <w:color w:val="auto"/>
              </w:rPr>
              <w:t>(11,957,667)</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shd w:val="clear" w:color="auto" w:fill="CCEEFF"/>
          </w:tcPr>
          <w:p>
            <w:pPr>
              <w:spacing w:after="0"/>
              <w:rPr>
                <w:sz w:val="20"/>
                <w:szCs w:val="20"/>
                <w:color w:val="auto"/>
              </w:rPr>
            </w:pPr>
            <w:r>
              <w:rPr>
                <w:rFonts w:ascii="Arial" w:cs="Arial" w:eastAsia="Arial" w:hAnsi="Arial"/>
                <w:sz w:val="13"/>
                <w:szCs w:val="13"/>
                <w:color w:val="auto"/>
              </w:rPr>
              <w:t>Adjustments to reconcile net loss to net cash used in operating activities:</w:t>
            </w:r>
          </w:p>
        </w:tc>
        <w:tc>
          <w:tcPr>
            <w:tcW w:w="340" w:type="dxa"/>
            <w:vAlign w:val="bottom"/>
            <w:shd w:val="clear" w:color="auto" w:fill="CCEEFF"/>
          </w:tcPr>
          <w:p>
            <w:pPr>
              <w:spacing w:after="0"/>
              <w:rPr>
                <w:sz w:val="13"/>
                <w:szCs w:val="13"/>
                <w:color w:val="auto"/>
              </w:rPr>
            </w:pPr>
          </w:p>
        </w:tc>
        <w:tc>
          <w:tcPr>
            <w:tcW w:w="114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600" w:type="dxa"/>
            <w:vAlign w:val="bottom"/>
            <w:shd w:val="clear" w:color="auto" w:fill="CCEEFF"/>
          </w:tcPr>
          <w:p>
            <w:pPr>
              <w:spacing w:after="0"/>
              <w:rPr>
                <w:sz w:val="13"/>
                <w:szCs w:val="13"/>
                <w:color w:val="auto"/>
              </w:rPr>
            </w:pPr>
          </w:p>
        </w:tc>
        <w:tc>
          <w:tcPr>
            <w:tcW w:w="860" w:type="dxa"/>
            <w:vAlign w:val="bottom"/>
            <w:shd w:val="clear" w:color="auto" w:fill="CCEEFF"/>
          </w:tcPr>
          <w:p>
            <w:pPr>
              <w:spacing w:after="0"/>
              <w:rPr>
                <w:sz w:val="13"/>
                <w:szCs w:val="13"/>
                <w:color w:val="auto"/>
              </w:rPr>
            </w:pPr>
          </w:p>
        </w:tc>
        <w:tc>
          <w:tcPr>
            <w:tcW w:w="20" w:type="dxa"/>
            <w:vAlign w:val="bottom"/>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Depreciation and amortization</w:t>
            </w:r>
          </w:p>
        </w:tc>
        <w:tc>
          <w:tcPr>
            <w:tcW w:w="340" w:type="dxa"/>
            <w:vAlign w:val="bottom"/>
          </w:tcPr>
          <w:p>
            <w:pPr>
              <w:spacing w:after="0"/>
              <w:rPr>
                <w:sz w:val="13"/>
                <w:szCs w:val="13"/>
                <w:color w:val="auto"/>
              </w:rPr>
            </w:pPr>
          </w:p>
        </w:tc>
        <w:tc>
          <w:tcPr>
            <w:tcW w:w="1360" w:type="dxa"/>
            <w:vAlign w:val="bottom"/>
            <w:gridSpan w:val="2"/>
          </w:tcPr>
          <w:p>
            <w:pPr>
              <w:jc w:val="right"/>
              <w:ind w:right="220"/>
              <w:spacing w:after="0"/>
              <w:rPr>
                <w:sz w:val="20"/>
                <w:szCs w:val="20"/>
                <w:color w:val="auto"/>
              </w:rPr>
            </w:pPr>
            <w:r>
              <w:rPr>
                <w:rFonts w:ascii="Arial" w:cs="Arial" w:eastAsia="Arial" w:hAnsi="Arial"/>
                <w:sz w:val="13"/>
                <w:szCs w:val="13"/>
                <w:color w:val="auto"/>
              </w:rPr>
              <w:t>1,353,892</w:t>
            </w:r>
          </w:p>
        </w:tc>
        <w:tc>
          <w:tcPr>
            <w:tcW w:w="60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1,464,045</w:t>
            </w: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Stock compensation expense</w:t>
            </w:r>
          </w:p>
        </w:tc>
        <w:tc>
          <w:tcPr>
            <w:tcW w:w="340" w:type="dxa"/>
            <w:vAlign w:val="bottom"/>
            <w:shd w:val="clear" w:color="auto" w:fill="CCEEFF"/>
          </w:tcPr>
          <w:p>
            <w:pPr>
              <w:spacing w:after="0"/>
              <w:rPr>
                <w:sz w:val="13"/>
                <w:szCs w:val="13"/>
                <w:color w:val="auto"/>
              </w:rPr>
            </w:pPr>
          </w:p>
        </w:tc>
        <w:tc>
          <w:tcPr>
            <w:tcW w:w="136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519,612</w:t>
            </w:r>
          </w:p>
        </w:tc>
        <w:tc>
          <w:tcPr>
            <w:tcW w:w="60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468,582</w:t>
            </w:r>
          </w:p>
        </w:tc>
        <w:tc>
          <w:tcPr>
            <w:tcW w:w="20" w:type="dxa"/>
            <w:vAlign w:val="bottom"/>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Proud Production warrant expense</w:t>
            </w:r>
          </w:p>
        </w:tc>
        <w:tc>
          <w:tcPr>
            <w:tcW w:w="340" w:type="dxa"/>
            <w:vAlign w:val="bottom"/>
          </w:tcPr>
          <w:p>
            <w:pPr>
              <w:spacing w:after="0"/>
              <w:rPr>
                <w:sz w:val="13"/>
                <w:szCs w:val="13"/>
                <w:color w:val="auto"/>
              </w:rPr>
            </w:pPr>
          </w:p>
        </w:tc>
        <w:tc>
          <w:tcPr>
            <w:tcW w:w="136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60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104,983</w:t>
            </w: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Change in warrants fair value</w:t>
            </w:r>
          </w:p>
        </w:tc>
        <w:tc>
          <w:tcPr>
            <w:tcW w:w="340" w:type="dxa"/>
            <w:vAlign w:val="bottom"/>
            <w:shd w:val="clear" w:color="auto" w:fill="CCEEFF"/>
          </w:tcPr>
          <w:p>
            <w:pPr>
              <w:spacing w:after="0"/>
              <w:rPr>
                <w:sz w:val="13"/>
                <w:szCs w:val="13"/>
                <w:color w:val="auto"/>
              </w:rPr>
            </w:pPr>
          </w:p>
        </w:tc>
        <w:tc>
          <w:tcPr>
            <w:tcW w:w="136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2,424,706</w:t>
            </w:r>
          </w:p>
        </w:tc>
        <w:tc>
          <w:tcPr>
            <w:tcW w:w="600" w:type="dxa"/>
            <w:vAlign w:val="bottom"/>
            <w:shd w:val="clear" w:color="auto" w:fill="CCEEFF"/>
          </w:tcPr>
          <w:p>
            <w:pPr>
              <w:spacing w:after="0"/>
              <w:rPr>
                <w:sz w:val="13"/>
                <w:szCs w:val="13"/>
                <w:color w:val="auto"/>
              </w:rPr>
            </w:pPr>
          </w:p>
        </w:tc>
        <w:tc>
          <w:tcPr>
            <w:tcW w:w="960" w:type="dxa"/>
            <w:vAlign w:val="bottom"/>
            <w:gridSpan w:val="3"/>
            <w:shd w:val="clear" w:color="auto" w:fill="CCEEFF"/>
          </w:tcPr>
          <w:p>
            <w:pPr>
              <w:jc w:val="right"/>
              <w:ind w:right="60"/>
              <w:spacing w:after="0"/>
              <w:rPr>
                <w:sz w:val="20"/>
                <w:szCs w:val="20"/>
                <w:color w:val="auto"/>
              </w:rPr>
            </w:pPr>
            <w:r>
              <w:rPr>
                <w:rFonts w:ascii="Arial" w:cs="Arial" w:eastAsia="Arial" w:hAnsi="Arial"/>
                <w:sz w:val="13"/>
                <w:szCs w:val="13"/>
                <w:color w:val="auto"/>
              </w:rPr>
              <w:t>(284,751)</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Exchange of Series m-3 to m-4 Preferred Stock</w:t>
            </w:r>
          </w:p>
        </w:tc>
        <w:tc>
          <w:tcPr>
            <w:tcW w:w="340" w:type="dxa"/>
            <w:vAlign w:val="bottom"/>
          </w:tcPr>
          <w:p>
            <w:pPr>
              <w:spacing w:after="0"/>
              <w:rPr>
                <w:sz w:val="13"/>
                <w:szCs w:val="13"/>
                <w:color w:val="auto"/>
              </w:rPr>
            </w:pPr>
          </w:p>
        </w:tc>
        <w:tc>
          <w:tcPr>
            <w:tcW w:w="136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60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900,002</w:t>
            </w: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Amortization of debt discount</w:t>
            </w:r>
          </w:p>
        </w:tc>
        <w:tc>
          <w:tcPr>
            <w:tcW w:w="340" w:type="dxa"/>
            <w:vAlign w:val="bottom"/>
            <w:shd w:val="clear" w:color="auto" w:fill="CCEEFF"/>
          </w:tcPr>
          <w:p>
            <w:pPr>
              <w:spacing w:after="0"/>
              <w:rPr>
                <w:sz w:val="13"/>
                <w:szCs w:val="13"/>
                <w:color w:val="auto"/>
              </w:rPr>
            </w:pPr>
          </w:p>
        </w:tc>
        <w:tc>
          <w:tcPr>
            <w:tcW w:w="136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974,215</w:t>
            </w:r>
          </w:p>
        </w:tc>
        <w:tc>
          <w:tcPr>
            <w:tcW w:w="60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237,687</w:t>
            </w:r>
          </w:p>
        </w:tc>
        <w:tc>
          <w:tcPr>
            <w:tcW w:w="20" w:type="dxa"/>
            <w:vAlign w:val="bottom"/>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Amortization of loan fees</w:t>
            </w:r>
          </w:p>
        </w:tc>
        <w:tc>
          <w:tcPr>
            <w:tcW w:w="340" w:type="dxa"/>
            <w:vAlign w:val="bottom"/>
          </w:tcPr>
          <w:p>
            <w:pPr>
              <w:spacing w:after="0"/>
              <w:rPr>
                <w:sz w:val="13"/>
                <w:szCs w:val="13"/>
                <w:color w:val="auto"/>
              </w:rPr>
            </w:pPr>
          </w:p>
        </w:tc>
        <w:tc>
          <w:tcPr>
            <w:tcW w:w="136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60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11,893</w:t>
            </w: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Loss from damage of Autonomous Security Robots</w:t>
            </w:r>
          </w:p>
        </w:tc>
        <w:tc>
          <w:tcPr>
            <w:tcW w:w="340" w:type="dxa"/>
            <w:vAlign w:val="bottom"/>
            <w:shd w:val="clear" w:color="auto" w:fill="CCEEFF"/>
          </w:tcPr>
          <w:p>
            <w:pPr>
              <w:spacing w:after="0"/>
              <w:rPr>
                <w:sz w:val="13"/>
                <w:szCs w:val="13"/>
                <w:color w:val="auto"/>
              </w:rPr>
            </w:pPr>
          </w:p>
        </w:tc>
        <w:tc>
          <w:tcPr>
            <w:tcW w:w="136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59,575</w:t>
            </w:r>
          </w:p>
        </w:tc>
        <w:tc>
          <w:tcPr>
            <w:tcW w:w="600" w:type="dxa"/>
            <w:vAlign w:val="bottom"/>
            <w:shd w:val="clear" w:color="auto" w:fill="CCEEFF"/>
          </w:tcPr>
          <w:p>
            <w:pPr>
              <w:spacing w:after="0"/>
              <w:rPr>
                <w:sz w:val="13"/>
                <w:szCs w:val="13"/>
                <w:color w:val="auto"/>
              </w:rPr>
            </w:pPr>
          </w:p>
        </w:tc>
        <w:tc>
          <w:tcPr>
            <w:tcW w:w="880" w:type="dxa"/>
            <w:vAlign w:val="bottom"/>
            <w:gridSpan w:val="2"/>
            <w:shd w:val="clear" w:color="auto" w:fill="CCEEFF"/>
          </w:tcPr>
          <w:p>
            <w:pPr>
              <w:jc w:val="right"/>
              <w:ind w:right="20"/>
              <w:spacing w:after="0"/>
              <w:rPr>
                <w:sz w:val="20"/>
                <w:szCs w:val="20"/>
                <w:color w:val="auto"/>
              </w:rPr>
            </w:pPr>
            <w:r>
              <w:rPr>
                <w:rFonts w:ascii="Arial" w:cs="Arial" w:eastAsia="Arial" w:hAnsi="Arial"/>
                <w:sz w:val="13"/>
                <w:szCs w:val="13"/>
                <w:color w:val="auto"/>
              </w:rPr>
              <w:t>74,222</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Changes in operating assets and liabilities:</w:t>
            </w:r>
          </w:p>
        </w:tc>
        <w:tc>
          <w:tcPr>
            <w:tcW w:w="340" w:type="dxa"/>
            <w:vAlign w:val="bottom"/>
          </w:tcPr>
          <w:p>
            <w:pPr>
              <w:spacing w:after="0"/>
              <w:rPr>
                <w:sz w:val="13"/>
                <w:szCs w:val="13"/>
                <w:color w:val="auto"/>
              </w:rPr>
            </w:pPr>
          </w:p>
        </w:tc>
        <w:tc>
          <w:tcPr>
            <w:tcW w:w="114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Accounts receivable</w:t>
            </w:r>
          </w:p>
        </w:tc>
        <w:tc>
          <w:tcPr>
            <w:tcW w:w="340" w:type="dxa"/>
            <w:vAlign w:val="bottom"/>
            <w:shd w:val="clear" w:color="auto" w:fill="CCEEFF"/>
          </w:tcPr>
          <w:p>
            <w:pPr>
              <w:spacing w:after="0"/>
              <w:rPr>
                <w:sz w:val="13"/>
                <w:szCs w:val="13"/>
                <w:color w:val="auto"/>
              </w:rPr>
            </w:pPr>
          </w:p>
        </w:tc>
        <w:tc>
          <w:tcPr>
            <w:tcW w:w="1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(218,695)</w:t>
            </w:r>
          </w:p>
        </w:tc>
        <w:tc>
          <w:tcPr>
            <w:tcW w:w="60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522,966</w:t>
            </w:r>
          </w:p>
        </w:tc>
        <w:tc>
          <w:tcPr>
            <w:tcW w:w="20" w:type="dxa"/>
            <w:vAlign w:val="bottom"/>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Prepaid expenses and other current assets</w:t>
            </w:r>
          </w:p>
        </w:tc>
        <w:tc>
          <w:tcPr>
            <w:tcW w:w="340" w:type="dxa"/>
            <w:vAlign w:val="bottom"/>
          </w:tcPr>
          <w:p>
            <w:pPr>
              <w:spacing w:after="0"/>
              <w:rPr>
                <w:sz w:val="13"/>
                <w:szCs w:val="13"/>
                <w:color w:val="auto"/>
              </w:rPr>
            </w:pPr>
          </w:p>
        </w:tc>
        <w:tc>
          <w:tcPr>
            <w:tcW w:w="1360" w:type="dxa"/>
            <w:vAlign w:val="bottom"/>
            <w:gridSpan w:val="2"/>
          </w:tcPr>
          <w:p>
            <w:pPr>
              <w:jc w:val="right"/>
              <w:ind w:right="220"/>
              <w:spacing w:after="0"/>
              <w:rPr>
                <w:sz w:val="20"/>
                <w:szCs w:val="20"/>
                <w:color w:val="auto"/>
              </w:rPr>
            </w:pPr>
            <w:r>
              <w:rPr>
                <w:rFonts w:ascii="Arial" w:cs="Arial" w:eastAsia="Arial" w:hAnsi="Arial"/>
                <w:sz w:val="13"/>
                <w:szCs w:val="13"/>
                <w:color w:val="auto"/>
              </w:rPr>
              <w:t>89,956</w:t>
            </w:r>
          </w:p>
        </w:tc>
        <w:tc>
          <w:tcPr>
            <w:tcW w:w="600" w:type="dxa"/>
            <w:vAlign w:val="bottom"/>
          </w:tcPr>
          <w:p>
            <w:pPr>
              <w:spacing w:after="0"/>
              <w:rPr>
                <w:sz w:val="13"/>
                <w:szCs w:val="13"/>
                <w:color w:val="auto"/>
              </w:rPr>
            </w:pPr>
          </w:p>
        </w:tc>
        <w:tc>
          <w:tcPr>
            <w:tcW w:w="960" w:type="dxa"/>
            <w:vAlign w:val="bottom"/>
            <w:gridSpan w:val="3"/>
          </w:tcPr>
          <w:p>
            <w:pPr>
              <w:jc w:val="right"/>
              <w:ind w:right="60"/>
              <w:spacing w:after="0"/>
              <w:rPr>
                <w:sz w:val="20"/>
                <w:szCs w:val="20"/>
                <w:color w:val="auto"/>
              </w:rPr>
            </w:pPr>
            <w:r>
              <w:rPr>
                <w:rFonts w:ascii="Arial" w:cs="Arial" w:eastAsia="Arial" w:hAnsi="Arial"/>
                <w:sz w:val="13"/>
                <w:szCs w:val="13"/>
                <w:color w:val="auto"/>
              </w:rPr>
              <w:t>(91,137)</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Other assets</w:t>
            </w:r>
          </w:p>
        </w:tc>
        <w:tc>
          <w:tcPr>
            <w:tcW w:w="340" w:type="dxa"/>
            <w:vAlign w:val="bottom"/>
            <w:shd w:val="clear" w:color="auto" w:fill="CCEEFF"/>
          </w:tcPr>
          <w:p>
            <w:pPr>
              <w:spacing w:after="0"/>
              <w:rPr>
                <w:sz w:val="13"/>
                <w:szCs w:val="13"/>
                <w:color w:val="auto"/>
              </w:rPr>
            </w:pPr>
          </w:p>
        </w:tc>
        <w:tc>
          <w:tcPr>
            <w:tcW w:w="136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100,128</w:t>
            </w:r>
          </w:p>
        </w:tc>
        <w:tc>
          <w:tcPr>
            <w:tcW w:w="600" w:type="dxa"/>
            <w:vAlign w:val="bottom"/>
            <w:shd w:val="clear" w:color="auto" w:fill="CCEEFF"/>
          </w:tcPr>
          <w:p>
            <w:pPr>
              <w:spacing w:after="0"/>
              <w:rPr>
                <w:sz w:val="13"/>
                <w:szCs w:val="13"/>
                <w:color w:val="auto"/>
              </w:rPr>
            </w:pPr>
          </w:p>
        </w:tc>
        <w:tc>
          <w:tcPr>
            <w:tcW w:w="960" w:type="dxa"/>
            <w:vAlign w:val="bottom"/>
            <w:gridSpan w:val="3"/>
            <w:shd w:val="clear" w:color="auto" w:fill="CCEEFF"/>
          </w:tcPr>
          <w:p>
            <w:pPr>
              <w:jc w:val="right"/>
              <w:ind w:right="60"/>
              <w:spacing w:after="0"/>
              <w:rPr>
                <w:sz w:val="20"/>
                <w:szCs w:val="20"/>
                <w:color w:val="auto"/>
              </w:rPr>
            </w:pPr>
            <w:r>
              <w:rPr>
                <w:rFonts w:ascii="Arial" w:cs="Arial" w:eastAsia="Arial" w:hAnsi="Arial"/>
                <w:sz w:val="13"/>
                <w:szCs w:val="13"/>
                <w:color w:val="auto"/>
              </w:rPr>
              <w:t>(242,120)</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Accounts payable</w:t>
            </w:r>
          </w:p>
        </w:tc>
        <w:tc>
          <w:tcPr>
            <w:tcW w:w="340" w:type="dxa"/>
            <w:vAlign w:val="bottom"/>
          </w:tcPr>
          <w:p>
            <w:pPr>
              <w:spacing w:after="0"/>
              <w:rPr>
                <w:sz w:val="13"/>
                <w:szCs w:val="13"/>
                <w:color w:val="auto"/>
              </w:rPr>
            </w:pPr>
          </w:p>
        </w:tc>
        <w:tc>
          <w:tcPr>
            <w:tcW w:w="1360" w:type="dxa"/>
            <w:vAlign w:val="bottom"/>
            <w:gridSpan w:val="2"/>
          </w:tcPr>
          <w:p>
            <w:pPr>
              <w:jc w:val="right"/>
              <w:ind w:right="180"/>
              <w:spacing w:after="0"/>
              <w:rPr>
                <w:sz w:val="20"/>
                <w:szCs w:val="20"/>
                <w:color w:val="auto"/>
              </w:rPr>
            </w:pPr>
            <w:r>
              <w:rPr>
                <w:rFonts w:ascii="Arial" w:cs="Arial" w:eastAsia="Arial" w:hAnsi="Arial"/>
                <w:sz w:val="13"/>
                <w:szCs w:val="13"/>
                <w:color w:val="auto"/>
              </w:rPr>
              <w:t>(736,155)</w:t>
            </w:r>
          </w:p>
        </w:tc>
        <w:tc>
          <w:tcPr>
            <w:tcW w:w="60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164,237</w:t>
            </w: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Accrued expenses</w:t>
            </w:r>
          </w:p>
        </w:tc>
        <w:tc>
          <w:tcPr>
            <w:tcW w:w="340" w:type="dxa"/>
            <w:vAlign w:val="bottom"/>
            <w:shd w:val="clear" w:color="auto" w:fill="CCEEFF"/>
          </w:tcPr>
          <w:p>
            <w:pPr>
              <w:spacing w:after="0"/>
              <w:rPr>
                <w:sz w:val="13"/>
                <w:szCs w:val="13"/>
                <w:color w:val="auto"/>
              </w:rPr>
            </w:pPr>
          </w:p>
        </w:tc>
        <w:tc>
          <w:tcPr>
            <w:tcW w:w="1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(269,081)</w:t>
            </w:r>
          </w:p>
        </w:tc>
        <w:tc>
          <w:tcPr>
            <w:tcW w:w="60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136,437</w:t>
            </w:r>
          </w:p>
        </w:tc>
        <w:tc>
          <w:tcPr>
            <w:tcW w:w="20" w:type="dxa"/>
            <w:vAlign w:val="bottom"/>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Deferred revenue</w:t>
            </w:r>
          </w:p>
        </w:tc>
        <w:tc>
          <w:tcPr>
            <w:tcW w:w="340" w:type="dxa"/>
            <w:vAlign w:val="bottom"/>
          </w:tcPr>
          <w:p>
            <w:pPr>
              <w:spacing w:after="0"/>
              <w:rPr>
                <w:sz w:val="13"/>
                <w:szCs w:val="13"/>
                <w:color w:val="auto"/>
              </w:rPr>
            </w:pPr>
          </w:p>
        </w:tc>
        <w:tc>
          <w:tcPr>
            <w:tcW w:w="1360" w:type="dxa"/>
            <w:vAlign w:val="bottom"/>
            <w:gridSpan w:val="2"/>
          </w:tcPr>
          <w:p>
            <w:pPr>
              <w:jc w:val="right"/>
              <w:ind w:right="180"/>
              <w:spacing w:after="0"/>
              <w:rPr>
                <w:sz w:val="20"/>
                <w:szCs w:val="20"/>
                <w:color w:val="auto"/>
              </w:rPr>
            </w:pPr>
            <w:r>
              <w:rPr>
                <w:rFonts w:ascii="Arial" w:cs="Arial" w:eastAsia="Arial" w:hAnsi="Arial"/>
                <w:sz w:val="13"/>
                <w:szCs w:val="13"/>
                <w:color w:val="auto"/>
              </w:rPr>
              <w:t>(35,068)</w:t>
            </w:r>
          </w:p>
        </w:tc>
        <w:tc>
          <w:tcPr>
            <w:tcW w:w="600" w:type="dxa"/>
            <w:vAlign w:val="bottom"/>
          </w:tcPr>
          <w:p>
            <w:pPr>
              <w:spacing w:after="0"/>
              <w:rPr>
                <w:sz w:val="13"/>
                <w:szCs w:val="13"/>
                <w:color w:val="auto"/>
              </w:rPr>
            </w:pPr>
          </w:p>
        </w:tc>
        <w:tc>
          <w:tcPr>
            <w:tcW w:w="960" w:type="dxa"/>
            <w:vAlign w:val="bottom"/>
            <w:gridSpan w:val="3"/>
          </w:tcPr>
          <w:p>
            <w:pPr>
              <w:jc w:val="right"/>
              <w:ind w:right="60"/>
              <w:spacing w:after="0"/>
              <w:rPr>
                <w:sz w:val="20"/>
                <w:szCs w:val="20"/>
                <w:color w:val="auto"/>
              </w:rPr>
            </w:pPr>
            <w:r>
              <w:rPr>
                <w:rFonts w:ascii="Arial" w:cs="Arial" w:eastAsia="Arial" w:hAnsi="Arial"/>
                <w:sz w:val="13"/>
                <w:szCs w:val="13"/>
                <w:color w:val="auto"/>
              </w:rPr>
              <w:t>(339,485)</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Other current and noncurrent liabilities</w:t>
            </w:r>
          </w:p>
        </w:tc>
        <w:tc>
          <w:tcPr>
            <w:tcW w:w="340" w:type="dxa"/>
            <w:vAlign w:val="bottom"/>
            <w:shd w:val="clear" w:color="auto" w:fill="CCEEFF"/>
          </w:tcPr>
          <w:p>
            <w:pPr>
              <w:spacing w:after="0"/>
              <w:rPr>
                <w:sz w:val="13"/>
                <w:szCs w:val="13"/>
                <w:color w:val="auto"/>
              </w:rPr>
            </w:pPr>
          </w:p>
        </w:tc>
        <w:tc>
          <w:tcPr>
            <w:tcW w:w="1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(91,074)</w:t>
            </w:r>
          </w:p>
        </w:tc>
        <w:tc>
          <w:tcPr>
            <w:tcW w:w="60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329,837</w:t>
            </w:r>
          </w:p>
        </w:tc>
        <w:tc>
          <w:tcPr>
            <w:tcW w:w="20" w:type="dxa"/>
            <w:vAlign w:val="bottom"/>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Deferred rent</w:t>
            </w:r>
          </w:p>
        </w:tc>
        <w:tc>
          <w:tcPr>
            <w:tcW w:w="340" w:type="dxa"/>
            <w:vAlign w:val="bottom"/>
          </w:tcPr>
          <w:p>
            <w:pPr>
              <w:spacing w:after="0"/>
              <w:rPr>
                <w:sz w:val="13"/>
                <w:szCs w:val="13"/>
                <w:color w:val="auto"/>
              </w:rPr>
            </w:pPr>
          </w:p>
        </w:tc>
        <w:tc>
          <w:tcPr>
            <w:tcW w:w="136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600" w:type="dxa"/>
            <w:vAlign w:val="bottom"/>
          </w:tcPr>
          <w:p>
            <w:pPr>
              <w:spacing w:after="0"/>
              <w:rPr>
                <w:sz w:val="13"/>
                <w:szCs w:val="13"/>
                <w:color w:val="auto"/>
              </w:rPr>
            </w:pPr>
          </w:p>
        </w:tc>
        <w:tc>
          <w:tcPr>
            <w:tcW w:w="960" w:type="dxa"/>
            <w:vAlign w:val="bottom"/>
            <w:gridSpan w:val="3"/>
          </w:tcPr>
          <w:p>
            <w:pPr>
              <w:jc w:val="right"/>
              <w:ind w:right="60"/>
              <w:spacing w:after="0"/>
              <w:rPr>
                <w:sz w:val="20"/>
                <w:szCs w:val="20"/>
                <w:color w:val="auto"/>
              </w:rPr>
            </w:pPr>
            <w:r>
              <w:rPr>
                <w:rFonts w:ascii="Arial" w:cs="Arial" w:eastAsia="Arial" w:hAnsi="Arial"/>
                <w:sz w:val="13"/>
                <w:szCs w:val="13"/>
                <w:color w:val="auto"/>
              </w:rPr>
              <w:t>(21,280)</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000" w:type="dxa"/>
            <w:vAlign w:val="bottom"/>
            <w:tcBorders>
              <w:top w:val="single" w:sz="8" w:color="CCEEFF"/>
            </w:tcBorders>
            <w:shd w:val="clear" w:color="auto" w:fill="CCEEFF"/>
          </w:tcPr>
          <w:p>
            <w:pPr>
              <w:ind w:left="340"/>
              <w:spacing w:after="0" w:line="145" w:lineRule="exact"/>
              <w:rPr>
                <w:sz w:val="20"/>
                <w:szCs w:val="20"/>
                <w:color w:val="auto"/>
              </w:rPr>
            </w:pPr>
            <w:r>
              <w:rPr>
                <w:rFonts w:ascii="Arial" w:cs="Arial" w:eastAsia="Arial" w:hAnsi="Arial"/>
                <w:sz w:val="13"/>
                <w:szCs w:val="13"/>
                <w:color w:val="auto"/>
              </w:rPr>
              <w:t>Net cash used in operating activities</w:t>
            </w:r>
          </w:p>
        </w:tc>
        <w:tc>
          <w:tcPr>
            <w:tcW w:w="340" w:type="dxa"/>
            <w:vAlign w:val="bottom"/>
            <w:tcBorders>
              <w:top w:val="single" w:sz="8" w:color="auto"/>
              <w:bottom w:val="single" w:sz="8" w:color="auto"/>
            </w:tcBorders>
            <w:shd w:val="clear" w:color="auto" w:fill="CCEEFF"/>
          </w:tcPr>
          <w:p>
            <w:pPr>
              <w:spacing w:after="0"/>
              <w:rPr>
                <w:sz w:val="12"/>
                <w:szCs w:val="12"/>
                <w:color w:val="auto"/>
              </w:rPr>
            </w:pPr>
          </w:p>
        </w:tc>
        <w:tc>
          <w:tcPr>
            <w:tcW w:w="114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(15,168,531)</w:t>
            </w:r>
          </w:p>
        </w:tc>
        <w:tc>
          <w:tcPr>
            <w:tcW w:w="220" w:type="dxa"/>
            <w:vAlign w:val="bottom"/>
            <w:tcBorders>
              <w:top w:val="single" w:sz="8" w:color="CCEEFF"/>
            </w:tcBorders>
            <w:shd w:val="clear" w:color="auto" w:fill="CCEEFF"/>
          </w:tcPr>
          <w:p>
            <w:pPr>
              <w:spacing w:after="0"/>
              <w:rPr>
                <w:sz w:val="12"/>
                <w:szCs w:val="12"/>
                <w:color w:val="auto"/>
              </w:rPr>
            </w:pPr>
          </w:p>
        </w:tc>
        <w:tc>
          <w:tcPr>
            <w:tcW w:w="600" w:type="dxa"/>
            <w:vAlign w:val="bottom"/>
            <w:tcBorders>
              <w:top w:val="single" w:sz="8" w:color="auto"/>
              <w:bottom w:val="single" w:sz="8" w:color="auto"/>
            </w:tcBorders>
            <w:shd w:val="clear" w:color="auto" w:fill="CCEEFF"/>
          </w:tcPr>
          <w:p>
            <w:pPr>
              <w:spacing w:after="0"/>
              <w:rPr>
                <w:sz w:val="12"/>
                <w:szCs w:val="12"/>
                <w:color w:val="auto"/>
              </w:rPr>
            </w:pPr>
          </w:p>
        </w:tc>
        <w:tc>
          <w:tcPr>
            <w:tcW w:w="8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(8,521,549)</w:t>
            </w:r>
          </w:p>
        </w:tc>
        <w:tc>
          <w:tcPr>
            <w:tcW w:w="100" w:type="dxa"/>
            <w:vAlign w:val="bottom"/>
            <w:tcBorders>
              <w:top w:val="single" w:sz="8" w:color="CCEEFF"/>
            </w:tcBorders>
            <w:gridSpan w:val="2"/>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8000" w:type="dxa"/>
            <w:vAlign w:val="bottom"/>
          </w:tcPr>
          <w:p>
            <w:pPr>
              <w:spacing w:after="0"/>
              <w:rPr>
                <w:sz w:val="12"/>
                <w:szCs w:val="12"/>
                <w:color w:val="auto"/>
              </w:rPr>
            </w:pPr>
          </w:p>
        </w:tc>
        <w:tc>
          <w:tcPr>
            <w:tcW w:w="340" w:type="dxa"/>
            <w:vAlign w:val="bottom"/>
          </w:tcPr>
          <w:p>
            <w:pPr>
              <w:spacing w:after="0"/>
              <w:rPr>
                <w:sz w:val="12"/>
                <w:szCs w:val="12"/>
                <w:color w:val="auto"/>
              </w:rPr>
            </w:pPr>
          </w:p>
        </w:tc>
        <w:tc>
          <w:tcPr>
            <w:tcW w:w="114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600" w:type="dxa"/>
            <w:vAlign w:val="bottom"/>
          </w:tcPr>
          <w:p>
            <w:pPr>
              <w:spacing w:after="0"/>
              <w:rPr>
                <w:sz w:val="12"/>
                <w:szCs w:val="12"/>
                <w:color w:val="auto"/>
              </w:rPr>
            </w:pPr>
          </w:p>
        </w:tc>
        <w:tc>
          <w:tcPr>
            <w:tcW w:w="86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8000" w:type="dxa"/>
            <w:vAlign w:val="bottom"/>
            <w:shd w:val="clear" w:color="auto" w:fill="CCEEFF"/>
          </w:tcPr>
          <w:p>
            <w:pPr>
              <w:spacing w:after="0"/>
              <w:rPr>
                <w:sz w:val="20"/>
                <w:szCs w:val="20"/>
                <w:color w:val="auto"/>
              </w:rPr>
            </w:pPr>
            <w:r>
              <w:rPr>
                <w:rFonts w:ascii="Arial" w:cs="Arial" w:eastAsia="Arial" w:hAnsi="Arial"/>
                <w:sz w:val="13"/>
                <w:szCs w:val="13"/>
                <w:b w:val="1"/>
                <w:bCs w:val="1"/>
                <w:color w:val="auto"/>
              </w:rPr>
              <w:t>Cash Flows From Investing Activities</w:t>
            </w:r>
          </w:p>
        </w:tc>
        <w:tc>
          <w:tcPr>
            <w:tcW w:w="340" w:type="dxa"/>
            <w:vAlign w:val="bottom"/>
            <w:shd w:val="clear" w:color="auto" w:fill="CCEEFF"/>
          </w:tcPr>
          <w:p>
            <w:pPr>
              <w:spacing w:after="0"/>
              <w:rPr>
                <w:sz w:val="13"/>
                <w:szCs w:val="13"/>
                <w:color w:val="auto"/>
              </w:rPr>
            </w:pPr>
          </w:p>
        </w:tc>
        <w:tc>
          <w:tcPr>
            <w:tcW w:w="114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600" w:type="dxa"/>
            <w:vAlign w:val="bottom"/>
            <w:shd w:val="clear" w:color="auto" w:fill="CCEEFF"/>
          </w:tcPr>
          <w:p>
            <w:pPr>
              <w:spacing w:after="0"/>
              <w:rPr>
                <w:sz w:val="13"/>
                <w:szCs w:val="13"/>
                <w:color w:val="auto"/>
              </w:rPr>
            </w:pPr>
          </w:p>
        </w:tc>
        <w:tc>
          <w:tcPr>
            <w:tcW w:w="860" w:type="dxa"/>
            <w:vAlign w:val="bottom"/>
            <w:shd w:val="clear" w:color="auto" w:fill="CCEEFF"/>
          </w:tcPr>
          <w:p>
            <w:pPr>
              <w:spacing w:after="0"/>
              <w:rPr>
                <w:sz w:val="13"/>
                <w:szCs w:val="13"/>
                <w:color w:val="auto"/>
              </w:rPr>
            </w:pPr>
          </w:p>
        </w:tc>
        <w:tc>
          <w:tcPr>
            <w:tcW w:w="20" w:type="dxa"/>
            <w:vAlign w:val="bottom"/>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Autonomous Security Robots</w:t>
            </w:r>
          </w:p>
        </w:tc>
        <w:tc>
          <w:tcPr>
            <w:tcW w:w="340" w:type="dxa"/>
            <w:vAlign w:val="bottom"/>
          </w:tcPr>
          <w:p>
            <w:pPr>
              <w:spacing w:after="0"/>
              <w:rPr>
                <w:sz w:val="13"/>
                <w:szCs w:val="13"/>
                <w:color w:val="auto"/>
              </w:rPr>
            </w:pPr>
          </w:p>
        </w:tc>
        <w:tc>
          <w:tcPr>
            <w:tcW w:w="1360" w:type="dxa"/>
            <w:vAlign w:val="bottom"/>
            <w:gridSpan w:val="2"/>
          </w:tcPr>
          <w:p>
            <w:pPr>
              <w:jc w:val="right"/>
              <w:ind w:right="180"/>
              <w:spacing w:after="0"/>
              <w:rPr>
                <w:sz w:val="20"/>
                <w:szCs w:val="20"/>
                <w:color w:val="auto"/>
              </w:rPr>
            </w:pPr>
            <w:r>
              <w:rPr>
                <w:rFonts w:ascii="Arial" w:cs="Arial" w:eastAsia="Arial" w:hAnsi="Arial"/>
                <w:sz w:val="13"/>
                <w:szCs w:val="13"/>
                <w:color w:val="auto"/>
              </w:rPr>
              <w:t>(632,454)</w:t>
            </w:r>
          </w:p>
        </w:tc>
        <w:tc>
          <w:tcPr>
            <w:tcW w:w="600" w:type="dxa"/>
            <w:vAlign w:val="bottom"/>
          </w:tcPr>
          <w:p>
            <w:pPr>
              <w:spacing w:after="0"/>
              <w:rPr>
                <w:sz w:val="13"/>
                <w:szCs w:val="13"/>
                <w:color w:val="auto"/>
              </w:rPr>
            </w:pPr>
          </w:p>
        </w:tc>
        <w:tc>
          <w:tcPr>
            <w:tcW w:w="960" w:type="dxa"/>
            <w:vAlign w:val="bottom"/>
            <w:gridSpan w:val="3"/>
          </w:tcPr>
          <w:p>
            <w:pPr>
              <w:jc w:val="right"/>
              <w:ind w:right="60"/>
              <w:spacing w:after="0"/>
              <w:rPr>
                <w:sz w:val="20"/>
                <w:szCs w:val="20"/>
                <w:color w:val="auto"/>
              </w:rPr>
            </w:pPr>
            <w:r>
              <w:rPr>
                <w:rFonts w:ascii="Arial" w:cs="Arial" w:eastAsia="Arial" w:hAnsi="Arial"/>
                <w:sz w:val="13"/>
                <w:szCs w:val="13"/>
                <w:color w:val="auto"/>
              </w:rPr>
              <w:t>(1,145,802)</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Purchase of property and equipment</w:t>
            </w:r>
          </w:p>
        </w:tc>
        <w:tc>
          <w:tcPr>
            <w:tcW w:w="340" w:type="dxa"/>
            <w:vAlign w:val="bottom"/>
            <w:shd w:val="clear" w:color="auto" w:fill="CCEEFF"/>
          </w:tcPr>
          <w:p>
            <w:pPr>
              <w:spacing w:after="0"/>
              <w:rPr>
                <w:sz w:val="13"/>
                <w:szCs w:val="13"/>
                <w:color w:val="auto"/>
              </w:rPr>
            </w:pPr>
          </w:p>
        </w:tc>
        <w:tc>
          <w:tcPr>
            <w:tcW w:w="136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600" w:type="dxa"/>
            <w:vAlign w:val="bottom"/>
            <w:shd w:val="clear" w:color="auto" w:fill="CCEEFF"/>
          </w:tcPr>
          <w:p>
            <w:pPr>
              <w:spacing w:after="0"/>
              <w:rPr>
                <w:sz w:val="13"/>
                <w:szCs w:val="13"/>
                <w:color w:val="auto"/>
              </w:rPr>
            </w:pPr>
          </w:p>
        </w:tc>
        <w:tc>
          <w:tcPr>
            <w:tcW w:w="960" w:type="dxa"/>
            <w:vAlign w:val="bottom"/>
            <w:gridSpan w:val="3"/>
            <w:shd w:val="clear" w:color="auto" w:fill="CCEEFF"/>
          </w:tcPr>
          <w:p>
            <w:pPr>
              <w:jc w:val="right"/>
              <w:ind w:right="60"/>
              <w:spacing w:after="0"/>
              <w:rPr>
                <w:sz w:val="20"/>
                <w:szCs w:val="20"/>
                <w:color w:val="auto"/>
              </w:rPr>
            </w:pPr>
            <w:r>
              <w:rPr>
                <w:rFonts w:ascii="Arial" w:cs="Arial" w:eastAsia="Arial" w:hAnsi="Arial"/>
                <w:sz w:val="13"/>
                <w:szCs w:val="13"/>
                <w:color w:val="auto"/>
              </w:rPr>
              <w:t>(16,822)</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000" w:type="dxa"/>
            <w:vAlign w:val="bottom"/>
            <w:tcBorders>
              <w:bottom w:val="single" w:sz="8" w:color="CCEEFF"/>
            </w:tcBorders>
          </w:tcPr>
          <w:p>
            <w:pPr>
              <w:ind w:left="340"/>
              <w:spacing w:after="0" w:line="145" w:lineRule="exact"/>
              <w:rPr>
                <w:sz w:val="20"/>
                <w:szCs w:val="20"/>
                <w:color w:val="auto"/>
              </w:rPr>
            </w:pPr>
            <w:r>
              <w:rPr>
                <w:rFonts w:ascii="Arial" w:cs="Arial" w:eastAsia="Arial" w:hAnsi="Arial"/>
                <w:sz w:val="13"/>
                <w:szCs w:val="13"/>
                <w:color w:val="auto"/>
              </w:rPr>
              <w:t>Net cash used in investing activities</w:t>
            </w:r>
          </w:p>
        </w:tc>
        <w:tc>
          <w:tcPr>
            <w:tcW w:w="340" w:type="dxa"/>
            <w:vAlign w:val="bottom"/>
            <w:tcBorders>
              <w:top w:val="single" w:sz="8" w:color="auto"/>
              <w:bottom w:val="single" w:sz="8" w:color="auto"/>
            </w:tcBorders>
          </w:tcPr>
          <w:p>
            <w:pPr>
              <w:spacing w:after="0"/>
              <w:rPr>
                <w:sz w:val="12"/>
                <w:szCs w:val="12"/>
                <w:color w:val="auto"/>
              </w:rPr>
            </w:pPr>
          </w:p>
        </w:tc>
        <w:tc>
          <w:tcPr>
            <w:tcW w:w="114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(632,454)</w:t>
            </w:r>
          </w:p>
        </w:tc>
        <w:tc>
          <w:tcPr>
            <w:tcW w:w="220" w:type="dxa"/>
            <w:vAlign w:val="bottom"/>
            <w:tcBorders>
              <w:bottom w:val="single" w:sz="8" w:color="CCEEFF"/>
            </w:tcBorders>
          </w:tcPr>
          <w:p>
            <w:pPr>
              <w:spacing w:after="0"/>
              <w:rPr>
                <w:sz w:val="12"/>
                <w:szCs w:val="12"/>
                <w:color w:val="auto"/>
              </w:rPr>
            </w:pPr>
          </w:p>
        </w:tc>
        <w:tc>
          <w:tcPr>
            <w:tcW w:w="600" w:type="dxa"/>
            <w:vAlign w:val="bottom"/>
            <w:tcBorders>
              <w:top w:val="single" w:sz="8" w:color="auto"/>
              <w:bottom w:val="single" w:sz="8" w:color="auto"/>
            </w:tcBorders>
          </w:tcPr>
          <w:p>
            <w:pPr>
              <w:spacing w:after="0"/>
              <w:rPr>
                <w:sz w:val="12"/>
                <w:szCs w:val="12"/>
                <w:color w:val="auto"/>
              </w:rPr>
            </w:pPr>
          </w:p>
        </w:tc>
        <w:tc>
          <w:tcPr>
            <w:tcW w:w="8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(1,162,624)</w:t>
            </w:r>
          </w:p>
        </w:tc>
        <w:tc>
          <w:tcPr>
            <w:tcW w:w="100" w:type="dxa"/>
            <w:vAlign w:val="bottom"/>
            <w:tcBorders>
              <w:bottom w:val="single" w:sz="8" w:color="CCEEFF"/>
            </w:tcBorders>
            <w:gridSpan w:val="2"/>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8000" w:type="dxa"/>
            <w:vAlign w:val="bottom"/>
            <w:shd w:val="clear" w:color="auto" w:fill="CCEEFF"/>
          </w:tcPr>
          <w:p>
            <w:pPr>
              <w:spacing w:after="0"/>
              <w:rPr>
                <w:sz w:val="12"/>
                <w:szCs w:val="12"/>
                <w:color w:val="auto"/>
              </w:rPr>
            </w:pPr>
          </w:p>
        </w:tc>
        <w:tc>
          <w:tcPr>
            <w:tcW w:w="340" w:type="dxa"/>
            <w:vAlign w:val="bottom"/>
            <w:shd w:val="clear" w:color="auto" w:fill="CCEEFF"/>
          </w:tcPr>
          <w:p>
            <w:pPr>
              <w:spacing w:after="0"/>
              <w:rPr>
                <w:sz w:val="12"/>
                <w:szCs w:val="12"/>
                <w:color w:val="auto"/>
              </w:rPr>
            </w:pPr>
          </w:p>
        </w:tc>
        <w:tc>
          <w:tcPr>
            <w:tcW w:w="114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600" w:type="dxa"/>
            <w:vAlign w:val="bottom"/>
            <w:shd w:val="clear" w:color="auto" w:fill="CCEEFF"/>
          </w:tcPr>
          <w:p>
            <w:pPr>
              <w:spacing w:after="0"/>
              <w:rPr>
                <w:sz w:val="12"/>
                <w:szCs w:val="12"/>
                <w:color w:val="auto"/>
              </w:rPr>
            </w:pPr>
          </w:p>
        </w:tc>
        <w:tc>
          <w:tcPr>
            <w:tcW w:w="86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8000" w:type="dxa"/>
            <w:vAlign w:val="bottom"/>
          </w:tcPr>
          <w:p>
            <w:pPr>
              <w:spacing w:after="0"/>
              <w:rPr>
                <w:sz w:val="20"/>
                <w:szCs w:val="20"/>
                <w:color w:val="auto"/>
              </w:rPr>
            </w:pPr>
            <w:r>
              <w:rPr>
                <w:rFonts w:ascii="Arial" w:cs="Arial" w:eastAsia="Arial" w:hAnsi="Arial"/>
                <w:sz w:val="13"/>
                <w:szCs w:val="13"/>
                <w:b w:val="1"/>
                <w:bCs w:val="1"/>
                <w:color w:val="auto"/>
              </w:rPr>
              <w:t>Cash Flows From Financing Activities</w:t>
            </w:r>
          </w:p>
        </w:tc>
        <w:tc>
          <w:tcPr>
            <w:tcW w:w="340" w:type="dxa"/>
            <w:vAlign w:val="bottom"/>
          </w:tcPr>
          <w:p>
            <w:pPr>
              <w:spacing w:after="0"/>
              <w:rPr>
                <w:sz w:val="13"/>
                <w:szCs w:val="13"/>
                <w:color w:val="auto"/>
              </w:rPr>
            </w:pPr>
          </w:p>
        </w:tc>
        <w:tc>
          <w:tcPr>
            <w:tcW w:w="114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Proceeds from Stock options exercise</w:t>
            </w:r>
          </w:p>
        </w:tc>
        <w:tc>
          <w:tcPr>
            <w:tcW w:w="340" w:type="dxa"/>
            <w:vAlign w:val="bottom"/>
            <w:shd w:val="clear" w:color="auto" w:fill="CCEEFF"/>
          </w:tcPr>
          <w:p>
            <w:pPr>
              <w:spacing w:after="0"/>
              <w:rPr>
                <w:sz w:val="13"/>
                <w:szCs w:val="13"/>
                <w:color w:val="auto"/>
              </w:rPr>
            </w:pPr>
          </w:p>
        </w:tc>
        <w:tc>
          <w:tcPr>
            <w:tcW w:w="136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2,500</w:t>
            </w:r>
          </w:p>
        </w:tc>
        <w:tc>
          <w:tcPr>
            <w:tcW w:w="60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20" w:type="dxa"/>
            <w:vAlign w:val="bottom"/>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Repayments of financing obligations</w:t>
            </w:r>
          </w:p>
        </w:tc>
        <w:tc>
          <w:tcPr>
            <w:tcW w:w="340" w:type="dxa"/>
            <w:vAlign w:val="bottom"/>
          </w:tcPr>
          <w:p>
            <w:pPr>
              <w:spacing w:after="0"/>
              <w:rPr>
                <w:sz w:val="13"/>
                <w:szCs w:val="13"/>
                <w:color w:val="auto"/>
              </w:rPr>
            </w:pPr>
          </w:p>
        </w:tc>
        <w:tc>
          <w:tcPr>
            <w:tcW w:w="136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600" w:type="dxa"/>
            <w:vAlign w:val="bottom"/>
          </w:tcPr>
          <w:p>
            <w:pPr>
              <w:spacing w:after="0"/>
              <w:rPr>
                <w:sz w:val="13"/>
                <w:szCs w:val="13"/>
                <w:color w:val="auto"/>
              </w:rPr>
            </w:pPr>
          </w:p>
        </w:tc>
        <w:tc>
          <w:tcPr>
            <w:tcW w:w="960" w:type="dxa"/>
            <w:vAlign w:val="bottom"/>
            <w:gridSpan w:val="3"/>
          </w:tcPr>
          <w:p>
            <w:pPr>
              <w:jc w:val="right"/>
              <w:ind w:right="60"/>
              <w:spacing w:after="0"/>
              <w:rPr>
                <w:sz w:val="20"/>
                <w:szCs w:val="20"/>
                <w:color w:val="auto"/>
              </w:rPr>
            </w:pPr>
            <w:r>
              <w:rPr>
                <w:rFonts w:ascii="Arial" w:cs="Arial" w:eastAsia="Arial" w:hAnsi="Arial"/>
                <w:sz w:val="13"/>
                <w:szCs w:val="13"/>
                <w:color w:val="auto"/>
              </w:rPr>
              <w:t>(4,153)</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Proceeds from issuance of Series s Preferred Stock offering, net</w:t>
            </w:r>
          </w:p>
        </w:tc>
        <w:tc>
          <w:tcPr>
            <w:tcW w:w="340" w:type="dxa"/>
            <w:vAlign w:val="bottom"/>
            <w:shd w:val="clear" w:color="auto" w:fill="CCEEFF"/>
          </w:tcPr>
          <w:p>
            <w:pPr>
              <w:spacing w:after="0"/>
              <w:rPr>
                <w:sz w:val="13"/>
                <w:szCs w:val="13"/>
                <w:color w:val="auto"/>
              </w:rPr>
            </w:pPr>
          </w:p>
        </w:tc>
        <w:tc>
          <w:tcPr>
            <w:tcW w:w="136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21,530,382</w:t>
            </w:r>
          </w:p>
        </w:tc>
        <w:tc>
          <w:tcPr>
            <w:tcW w:w="60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2,976,575</w:t>
            </w:r>
          </w:p>
        </w:tc>
        <w:tc>
          <w:tcPr>
            <w:tcW w:w="20" w:type="dxa"/>
            <w:vAlign w:val="bottom"/>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Proceeds for the issuance of convertible notes, net of issuance costs</w:t>
            </w:r>
          </w:p>
        </w:tc>
        <w:tc>
          <w:tcPr>
            <w:tcW w:w="340" w:type="dxa"/>
            <w:vAlign w:val="bottom"/>
          </w:tcPr>
          <w:p>
            <w:pPr>
              <w:spacing w:after="0"/>
              <w:rPr>
                <w:sz w:val="13"/>
                <w:szCs w:val="13"/>
                <w:color w:val="auto"/>
              </w:rPr>
            </w:pPr>
          </w:p>
        </w:tc>
        <w:tc>
          <w:tcPr>
            <w:tcW w:w="1360" w:type="dxa"/>
            <w:vAlign w:val="bottom"/>
            <w:gridSpan w:val="2"/>
          </w:tcPr>
          <w:p>
            <w:pPr>
              <w:jc w:val="right"/>
              <w:ind w:right="220"/>
              <w:spacing w:after="0"/>
              <w:rPr>
                <w:sz w:val="20"/>
                <w:szCs w:val="20"/>
                <w:color w:val="auto"/>
              </w:rPr>
            </w:pPr>
            <w:r>
              <w:rPr>
                <w:rFonts w:ascii="Arial" w:cs="Arial" w:eastAsia="Arial" w:hAnsi="Arial"/>
                <w:sz w:val="13"/>
                <w:szCs w:val="13"/>
                <w:color w:val="auto"/>
              </w:rPr>
              <w:t>2,443,570</w:t>
            </w:r>
          </w:p>
        </w:tc>
        <w:tc>
          <w:tcPr>
            <w:tcW w:w="60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3,561,632</w:t>
            </w: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Principal repayments on loan payable</w:t>
            </w:r>
          </w:p>
        </w:tc>
        <w:tc>
          <w:tcPr>
            <w:tcW w:w="340" w:type="dxa"/>
            <w:vAlign w:val="bottom"/>
            <w:shd w:val="clear" w:color="auto" w:fill="CCEEFF"/>
          </w:tcPr>
          <w:p>
            <w:pPr>
              <w:spacing w:after="0"/>
              <w:rPr>
                <w:sz w:val="13"/>
                <w:szCs w:val="13"/>
                <w:color w:val="auto"/>
              </w:rPr>
            </w:pPr>
          </w:p>
        </w:tc>
        <w:tc>
          <w:tcPr>
            <w:tcW w:w="1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(2,850,394)</w:t>
            </w:r>
          </w:p>
        </w:tc>
        <w:tc>
          <w:tcPr>
            <w:tcW w:w="600" w:type="dxa"/>
            <w:vAlign w:val="bottom"/>
            <w:shd w:val="clear" w:color="auto" w:fill="CCEEFF"/>
          </w:tcPr>
          <w:p>
            <w:pPr>
              <w:spacing w:after="0"/>
              <w:rPr>
                <w:sz w:val="13"/>
                <w:szCs w:val="13"/>
                <w:color w:val="auto"/>
              </w:rPr>
            </w:pPr>
          </w:p>
        </w:tc>
        <w:tc>
          <w:tcPr>
            <w:tcW w:w="960" w:type="dxa"/>
            <w:vAlign w:val="bottom"/>
            <w:gridSpan w:val="3"/>
            <w:shd w:val="clear" w:color="auto" w:fill="CCEEFF"/>
          </w:tcPr>
          <w:p>
            <w:pPr>
              <w:jc w:val="right"/>
              <w:ind w:right="60"/>
              <w:spacing w:after="0"/>
              <w:rPr>
                <w:sz w:val="20"/>
                <w:szCs w:val="20"/>
                <w:color w:val="auto"/>
              </w:rPr>
            </w:pPr>
            <w:r>
              <w:rPr>
                <w:rFonts w:ascii="Arial" w:cs="Arial" w:eastAsia="Arial" w:hAnsi="Arial"/>
                <w:sz w:val="13"/>
                <w:szCs w:val="13"/>
                <w:color w:val="auto"/>
              </w:rPr>
              <w:t>(949,606)</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Proceeds from issuance of loans payable, net of origination costs</w:t>
            </w:r>
          </w:p>
        </w:tc>
        <w:tc>
          <w:tcPr>
            <w:tcW w:w="340" w:type="dxa"/>
            <w:vAlign w:val="bottom"/>
          </w:tcPr>
          <w:p>
            <w:pPr>
              <w:spacing w:after="0"/>
              <w:rPr>
                <w:sz w:val="13"/>
                <w:szCs w:val="13"/>
                <w:color w:val="auto"/>
              </w:rPr>
            </w:pPr>
          </w:p>
        </w:tc>
        <w:tc>
          <w:tcPr>
            <w:tcW w:w="1360" w:type="dxa"/>
            <w:vAlign w:val="bottom"/>
            <w:gridSpan w:val="2"/>
          </w:tcPr>
          <w:p>
            <w:pPr>
              <w:jc w:val="right"/>
              <w:ind w:right="220"/>
              <w:spacing w:after="0"/>
              <w:rPr>
                <w:sz w:val="20"/>
                <w:szCs w:val="20"/>
                <w:color w:val="auto"/>
              </w:rPr>
            </w:pPr>
            <w:r>
              <w:rPr>
                <w:rFonts w:ascii="Arial" w:cs="Arial" w:eastAsia="Arial" w:hAnsi="Arial"/>
                <w:sz w:val="13"/>
                <w:szCs w:val="13"/>
                <w:color w:val="auto"/>
              </w:rPr>
              <w:t>1,122,850</w:t>
            </w:r>
          </w:p>
        </w:tc>
        <w:tc>
          <w:tcPr>
            <w:tcW w:w="60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3,250,000</w:t>
            </w: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000" w:type="dxa"/>
            <w:vAlign w:val="bottom"/>
            <w:tcBorders>
              <w:top w:val="single" w:sz="8" w:color="CCEEFF"/>
            </w:tcBorders>
            <w:shd w:val="clear" w:color="auto" w:fill="CCEEFF"/>
          </w:tcPr>
          <w:p>
            <w:pPr>
              <w:ind w:left="340"/>
              <w:spacing w:after="0" w:line="145" w:lineRule="exact"/>
              <w:rPr>
                <w:sz w:val="20"/>
                <w:szCs w:val="20"/>
                <w:color w:val="auto"/>
              </w:rPr>
            </w:pPr>
            <w:r>
              <w:rPr>
                <w:rFonts w:ascii="Arial" w:cs="Arial" w:eastAsia="Arial" w:hAnsi="Arial"/>
                <w:sz w:val="13"/>
                <w:szCs w:val="13"/>
                <w:color w:val="auto"/>
              </w:rPr>
              <w:t>Net cash provided by financing activities</w:t>
            </w:r>
          </w:p>
        </w:tc>
        <w:tc>
          <w:tcPr>
            <w:tcW w:w="340" w:type="dxa"/>
            <w:vAlign w:val="bottom"/>
            <w:tcBorders>
              <w:top w:val="single" w:sz="8" w:color="auto"/>
              <w:bottom w:val="single" w:sz="8" w:color="auto"/>
            </w:tcBorders>
            <w:shd w:val="clear" w:color="auto" w:fill="CCEEFF"/>
          </w:tcPr>
          <w:p>
            <w:pPr>
              <w:spacing w:after="0"/>
              <w:rPr>
                <w:sz w:val="12"/>
                <w:szCs w:val="12"/>
                <w:color w:val="auto"/>
              </w:rPr>
            </w:pPr>
          </w:p>
        </w:tc>
        <w:tc>
          <w:tcPr>
            <w:tcW w:w="114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22,248,908</w:t>
            </w:r>
          </w:p>
        </w:tc>
        <w:tc>
          <w:tcPr>
            <w:tcW w:w="220" w:type="dxa"/>
            <w:vAlign w:val="bottom"/>
            <w:tcBorders>
              <w:top w:val="single" w:sz="8" w:color="CCEEFF"/>
            </w:tcBorders>
            <w:shd w:val="clear" w:color="auto" w:fill="CCEEFF"/>
          </w:tcPr>
          <w:p>
            <w:pPr>
              <w:spacing w:after="0"/>
              <w:rPr>
                <w:sz w:val="12"/>
                <w:szCs w:val="12"/>
                <w:color w:val="auto"/>
              </w:rPr>
            </w:pPr>
          </w:p>
        </w:tc>
        <w:tc>
          <w:tcPr>
            <w:tcW w:w="600" w:type="dxa"/>
            <w:vAlign w:val="bottom"/>
            <w:tcBorders>
              <w:top w:val="single" w:sz="8" w:color="auto"/>
              <w:bottom w:val="single" w:sz="8" w:color="auto"/>
            </w:tcBorders>
            <w:shd w:val="clear" w:color="auto" w:fill="CCEEFF"/>
          </w:tcPr>
          <w:p>
            <w:pPr>
              <w:spacing w:after="0"/>
              <w:rPr>
                <w:sz w:val="12"/>
                <w:szCs w:val="12"/>
                <w:color w:val="auto"/>
              </w:rPr>
            </w:pPr>
          </w:p>
        </w:tc>
        <w:tc>
          <w:tcPr>
            <w:tcW w:w="8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8,834,448</w:t>
            </w:r>
          </w:p>
        </w:tc>
        <w:tc>
          <w:tcPr>
            <w:tcW w:w="20" w:type="dxa"/>
            <w:vAlign w:val="bottom"/>
            <w:tcBorders>
              <w:top w:val="single" w:sz="8" w:color="CCEEFF"/>
            </w:tcBorders>
            <w:shd w:val="clear" w:color="auto" w:fill="CCEEFF"/>
          </w:tcPr>
          <w:p>
            <w:pPr>
              <w:spacing w:after="0"/>
              <w:rPr>
                <w:sz w:val="12"/>
                <w:szCs w:val="12"/>
                <w:color w:val="auto"/>
              </w:rPr>
            </w:pPr>
          </w:p>
        </w:tc>
        <w:tc>
          <w:tcPr>
            <w:tcW w:w="8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8020" w:type="dxa"/>
            <w:vAlign w:val="bottom"/>
            <w:gridSpan w:val="2"/>
          </w:tcPr>
          <w:p>
            <w:pPr>
              <w:spacing w:after="0" w:line="145" w:lineRule="exact"/>
              <w:rPr>
                <w:sz w:val="20"/>
                <w:szCs w:val="20"/>
                <w:color w:val="auto"/>
              </w:rPr>
            </w:pPr>
            <w:r>
              <w:rPr>
                <w:rFonts w:ascii="Arial" w:cs="Arial" w:eastAsia="Arial" w:hAnsi="Arial"/>
                <w:sz w:val="13"/>
                <w:szCs w:val="13"/>
                <w:color w:val="auto"/>
              </w:rPr>
              <w:t>Net change in cash and cash equivalents</w:t>
            </w:r>
          </w:p>
        </w:tc>
        <w:tc>
          <w:tcPr>
            <w:tcW w:w="340" w:type="dxa"/>
            <w:vAlign w:val="bottom"/>
          </w:tcPr>
          <w:p>
            <w:pPr>
              <w:spacing w:after="0"/>
              <w:rPr>
                <w:sz w:val="12"/>
                <w:szCs w:val="12"/>
                <w:color w:val="auto"/>
              </w:rPr>
            </w:pPr>
          </w:p>
        </w:tc>
        <w:tc>
          <w:tcPr>
            <w:tcW w:w="1140" w:type="dxa"/>
            <w:vAlign w:val="bottom"/>
          </w:tcPr>
          <w:p>
            <w:pPr>
              <w:jc w:val="right"/>
              <w:spacing w:after="0" w:line="146" w:lineRule="exact"/>
              <w:rPr>
                <w:sz w:val="20"/>
                <w:szCs w:val="20"/>
                <w:color w:val="auto"/>
              </w:rPr>
            </w:pPr>
            <w:r>
              <w:rPr>
                <w:rFonts w:ascii="Arial" w:cs="Arial" w:eastAsia="Arial" w:hAnsi="Arial"/>
                <w:sz w:val="13"/>
                <w:szCs w:val="13"/>
                <w:color w:val="auto"/>
              </w:rPr>
              <w:t>6,447,923</w:t>
            </w:r>
          </w:p>
        </w:tc>
        <w:tc>
          <w:tcPr>
            <w:tcW w:w="220" w:type="dxa"/>
            <w:vAlign w:val="bottom"/>
          </w:tcPr>
          <w:p>
            <w:pPr>
              <w:spacing w:after="0"/>
              <w:rPr>
                <w:sz w:val="12"/>
                <w:szCs w:val="12"/>
                <w:color w:val="auto"/>
              </w:rPr>
            </w:pPr>
          </w:p>
        </w:tc>
        <w:tc>
          <w:tcPr>
            <w:tcW w:w="600" w:type="dxa"/>
            <w:vAlign w:val="bottom"/>
          </w:tcPr>
          <w:p>
            <w:pPr>
              <w:spacing w:after="0"/>
              <w:rPr>
                <w:sz w:val="12"/>
                <w:szCs w:val="12"/>
                <w:color w:val="auto"/>
              </w:rPr>
            </w:pPr>
          </w:p>
        </w:tc>
        <w:tc>
          <w:tcPr>
            <w:tcW w:w="860" w:type="dxa"/>
            <w:vAlign w:val="bottom"/>
          </w:tcPr>
          <w:p>
            <w:pPr>
              <w:jc w:val="right"/>
              <w:spacing w:after="0" w:line="146" w:lineRule="exact"/>
              <w:rPr>
                <w:sz w:val="20"/>
                <w:szCs w:val="20"/>
                <w:color w:val="auto"/>
              </w:rPr>
            </w:pPr>
            <w:r>
              <w:rPr>
                <w:rFonts w:ascii="Arial" w:cs="Arial" w:eastAsia="Arial" w:hAnsi="Arial"/>
                <w:sz w:val="13"/>
                <w:szCs w:val="13"/>
                <w:color w:val="auto"/>
              </w:rPr>
              <w:t>(849,725)</w:t>
            </w:r>
          </w:p>
        </w:tc>
        <w:tc>
          <w:tcPr>
            <w:tcW w:w="100" w:type="dxa"/>
            <w:vAlign w:val="bottom"/>
            <w:gridSpan w:val="2"/>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shd w:val="clear" w:color="auto" w:fill="CCEEFF"/>
          </w:tcPr>
          <w:p>
            <w:pPr>
              <w:spacing w:after="0"/>
              <w:rPr>
                <w:sz w:val="20"/>
                <w:szCs w:val="20"/>
                <w:color w:val="auto"/>
              </w:rPr>
            </w:pPr>
            <w:r>
              <w:rPr>
                <w:rFonts w:ascii="Arial" w:cs="Arial" w:eastAsia="Arial" w:hAnsi="Arial"/>
                <w:sz w:val="13"/>
                <w:szCs w:val="13"/>
                <w:color w:val="auto"/>
              </w:rPr>
              <w:t>Cash, cash equivalents and restricted cash at beginning of year</w:t>
            </w:r>
          </w:p>
        </w:tc>
        <w:tc>
          <w:tcPr>
            <w:tcW w:w="340" w:type="dxa"/>
            <w:vAlign w:val="bottom"/>
            <w:shd w:val="clear" w:color="auto" w:fill="CCEEFF"/>
          </w:tcPr>
          <w:p>
            <w:pPr>
              <w:spacing w:after="0"/>
              <w:rPr>
                <w:sz w:val="13"/>
                <w:szCs w:val="13"/>
                <w:color w:val="auto"/>
              </w:rPr>
            </w:pPr>
          </w:p>
        </w:tc>
        <w:tc>
          <w:tcPr>
            <w:tcW w:w="136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708,674</w:t>
            </w:r>
          </w:p>
        </w:tc>
        <w:tc>
          <w:tcPr>
            <w:tcW w:w="60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1,558,399</w:t>
            </w:r>
          </w:p>
        </w:tc>
        <w:tc>
          <w:tcPr>
            <w:tcW w:w="20" w:type="dxa"/>
            <w:vAlign w:val="bottom"/>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020" w:type="dxa"/>
            <w:vAlign w:val="bottom"/>
            <w:gridSpan w:val="2"/>
          </w:tcPr>
          <w:p>
            <w:pPr>
              <w:spacing w:after="0" w:line="146" w:lineRule="exact"/>
              <w:rPr>
                <w:sz w:val="20"/>
                <w:szCs w:val="20"/>
                <w:color w:val="auto"/>
              </w:rPr>
            </w:pPr>
            <w:r>
              <w:rPr>
                <w:rFonts w:ascii="Arial" w:cs="Arial" w:eastAsia="Arial" w:hAnsi="Arial"/>
                <w:sz w:val="13"/>
                <w:szCs w:val="13"/>
                <w:color w:val="auto"/>
              </w:rPr>
              <w:t>Cash, cash equivalents and restricted cash at end of year</w:t>
            </w:r>
          </w:p>
        </w:tc>
        <w:tc>
          <w:tcPr>
            <w:tcW w:w="340" w:type="dxa"/>
            <w:vAlign w:val="bottom"/>
            <w:tcBorders>
              <w:top w:val="single" w:sz="8" w:color="auto"/>
            </w:tcBorders>
          </w:tcPr>
          <w:p>
            <w:pPr>
              <w:jc w:val="right"/>
              <w:ind w:right="231"/>
              <w:spacing w:after="0"/>
              <w:rPr>
                <w:sz w:val="20"/>
                <w:szCs w:val="20"/>
                <w:color w:val="auto"/>
              </w:rPr>
            </w:pPr>
            <w:r>
              <w:rPr>
                <w:rFonts w:ascii="Arial" w:cs="Arial" w:eastAsia="Arial" w:hAnsi="Arial"/>
                <w:sz w:val="10"/>
                <w:szCs w:val="10"/>
                <w:color w:val="auto"/>
                <w:w w:val="71"/>
              </w:rPr>
              <w:t>$</w:t>
            </w:r>
          </w:p>
        </w:tc>
        <w:tc>
          <w:tcPr>
            <w:tcW w:w="1140" w:type="dxa"/>
            <w:vAlign w:val="bottom"/>
            <w:tcBorders>
              <w:top w:val="single" w:sz="8" w:color="auto"/>
            </w:tcBorders>
          </w:tcPr>
          <w:p>
            <w:pPr>
              <w:jc w:val="right"/>
              <w:spacing w:after="0" w:line="146" w:lineRule="exact"/>
              <w:rPr>
                <w:sz w:val="20"/>
                <w:szCs w:val="20"/>
                <w:color w:val="auto"/>
              </w:rPr>
            </w:pPr>
            <w:r>
              <w:rPr>
                <w:rFonts w:ascii="Arial" w:cs="Arial" w:eastAsia="Arial" w:hAnsi="Arial"/>
                <w:sz w:val="13"/>
                <w:szCs w:val="13"/>
                <w:color w:val="auto"/>
              </w:rPr>
              <w:t>7,156,597</w:t>
            </w:r>
          </w:p>
        </w:tc>
        <w:tc>
          <w:tcPr>
            <w:tcW w:w="220" w:type="dxa"/>
            <w:vAlign w:val="bottom"/>
          </w:tcPr>
          <w:p>
            <w:pPr>
              <w:spacing w:after="0"/>
              <w:rPr>
                <w:sz w:val="13"/>
                <w:szCs w:val="13"/>
                <w:color w:val="auto"/>
              </w:rPr>
            </w:pPr>
          </w:p>
        </w:tc>
        <w:tc>
          <w:tcPr>
            <w:tcW w:w="600" w:type="dxa"/>
            <w:vAlign w:val="bottom"/>
            <w:tcBorders>
              <w:top w:val="single" w:sz="8" w:color="auto"/>
            </w:tcBorders>
          </w:tcPr>
          <w:p>
            <w:pPr>
              <w:jc w:val="right"/>
              <w:ind w:right="455"/>
              <w:spacing w:after="0" w:line="146" w:lineRule="exact"/>
              <w:rPr>
                <w:sz w:val="20"/>
                <w:szCs w:val="20"/>
                <w:color w:val="auto"/>
              </w:rPr>
            </w:pPr>
            <w:r>
              <w:rPr>
                <w:rFonts w:ascii="Arial" w:cs="Arial" w:eastAsia="Arial" w:hAnsi="Arial"/>
                <w:sz w:val="13"/>
                <w:szCs w:val="13"/>
                <w:color w:val="auto"/>
                <w:w w:val="82"/>
              </w:rPr>
              <w:t>$</w:t>
            </w:r>
          </w:p>
        </w:tc>
        <w:tc>
          <w:tcPr>
            <w:tcW w:w="860" w:type="dxa"/>
            <w:vAlign w:val="bottom"/>
            <w:tcBorders>
              <w:top w:val="single" w:sz="8" w:color="auto"/>
            </w:tcBorders>
          </w:tcPr>
          <w:p>
            <w:pPr>
              <w:jc w:val="right"/>
              <w:spacing w:after="0" w:line="146" w:lineRule="exact"/>
              <w:rPr>
                <w:sz w:val="20"/>
                <w:szCs w:val="20"/>
                <w:color w:val="auto"/>
              </w:rPr>
            </w:pPr>
            <w:r>
              <w:rPr>
                <w:rFonts w:ascii="Arial" w:cs="Arial" w:eastAsia="Arial" w:hAnsi="Arial"/>
                <w:sz w:val="13"/>
                <w:szCs w:val="13"/>
                <w:color w:val="auto"/>
              </w:rPr>
              <w:t>708,674</w:t>
            </w: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000" w:type="dxa"/>
            <w:vAlign w:val="bottom"/>
            <w:tcBorders>
              <w:top w:val="single" w:sz="8" w:color="CCEEFF"/>
            </w:tcBorders>
            <w:shd w:val="clear" w:color="auto" w:fill="CCEEFF"/>
          </w:tcPr>
          <w:p>
            <w:pPr>
              <w:spacing w:after="0"/>
              <w:rPr>
                <w:sz w:val="20"/>
                <w:szCs w:val="20"/>
                <w:color w:val="auto"/>
              </w:rPr>
            </w:pPr>
            <w:r>
              <w:rPr>
                <w:rFonts w:ascii="Arial" w:cs="Arial" w:eastAsia="Arial" w:hAnsi="Arial"/>
                <w:sz w:val="13"/>
                <w:szCs w:val="13"/>
                <w:b w:val="1"/>
                <w:bCs w:val="1"/>
                <w:color w:val="auto"/>
              </w:rPr>
              <w:t>Supplemental Disclosure of Cash Flow Information</w:t>
            </w:r>
          </w:p>
        </w:tc>
        <w:tc>
          <w:tcPr>
            <w:tcW w:w="340" w:type="dxa"/>
            <w:vAlign w:val="bottom"/>
            <w:tcBorders>
              <w:top w:val="single" w:sz="8" w:color="auto"/>
            </w:tcBorders>
            <w:shd w:val="clear" w:color="auto" w:fill="CCEEFF"/>
          </w:tcPr>
          <w:p>
            <w:pPr>
              <w:spacing w:after="0"/>
              <w:rPr>
                <w:sz w:val="13"/>
                <w:szCs w:val="13"/>
                <w:color w:val="auto"/>
              </w:rPr>
            </w:pPr>
          </w:p>
        </w:tc>
        <w:tc>
          <w:tcPr>
            <w:tcW w:w="1140" w:type="dxa"/>
            <w:vAlign w:val="bottom"/>
            <w:tcBorders>
              <w:top w:val="single" w:sz="8" w:color="auto"/>
            </w:tcBorders>
            <w:shd w:val="clear" w:color="auto" w:fill="CCEEFF"/>
          </w:tcPr>
          <w:p>
            <w:pPr>
              <w:spacing w:after="0"/>
              <w:rPr>
                <w:sz w:val="13"/>
                <w:szCs w:val="13"/>
                <w:color w:val="auto"/>
              </w:rPr>
            </w:pPr>
          </w:p>
        </w:tc>
        <w:tc>
          <w:tcPr>
            <w:tcW w:w="220" w:type="dxa"/>
            <w:vAlign w:val="bottom"/>
            <w:tcBorders>
              <w:top w:val="single" w:sz="8" w:color="CCEEFF"/>
            </w:tcBorders>
            <w:shd w:val="clear" w:color="auto" w:fill="CCEEFF"/>
          </w:tcPr>
          <w:p>
            <w:pPr>
              <w:spacing w:after="0"/>
              <w:rPr>
                <w:sz w:val="13"/>
                <w:szCs w:val="13"/>
                <w:color w:val="auto"/>
              </w:rPr>
            </w:pPr>
          </w:p>
        </w:tc>
        <w:tc>
          <w:tcPr>
            <w:tcW w:w="600" w:type="dxa"/>
            <w:vAlign w:val="bottom"/>
            <w:tcBorders>
              <w:top w:val="single" w:sz="8" w:color="auto"/>
            </w:tcBorders>
            <w:shd w:val="clear" w:color="auto" w:fill="CCEEFF"/>
          </w:tcPr>
          <w:p>
            <w:pPr>
              <w:spacing w:after="0"/>
              <w:rPr>
                <w:sz w:val="13"/>
                <w:szCs w:val="13"/>
                <w:color w:val="auto"/>
              </w:rPr>
            </w:pPr>
          </w:p>
        </w:tc>
        <w:tc>
          <w:tcPr>
            <w:tcW w:w="860" w:type="dxa"/>
            <w:vAlign w:val="bottom"/>
            <w:tcBorders>
              <w:top w:val="single" w:sz="8" w:color="auto"/>
            </w:tcBorders>
            <w:shd w:val="clear" w:color="auto" w:fill="CCEEFF"/>
          </w:tcPr>
          <w:p>
            <w:pPr>
              <w:spacing w:after="0"/>
              <w:rPr>
                <w:sz w:val="13"/>
                <w:szCs w:val="13"/>
                <w:color w:val="auto"/>
              </w:rPr>
            </w:pPr>
          </w:p>
        </w:tc>
        <w:tc>
          <w:tcPr>
            <w:tcW w:w="20" w:type="dxa"/>
            <w:vAlign w:val="bottom"/>
            <w:tcBorders>
              <w:top w:val="single" w:sz="8" w:color="CCEEFF"/>
            </w:tcBorders>
            <w:shd w:val="clear" w:color="auto" w:fill="CCEEFF"/>
          </w:tcPr>
          <w:p>
            <w:pPr>
              <w:spacing w:after="0"/>
              <w:rPr>
                <w:sz w:val="13"/>
                <w:szCs w:val="13"/>
                <w:color w:val="auto"/>
              </w:rPr>
            </w:pPr>
          </w:p>
        </w:tc>
        <w:tc>
          <w:tcPr>
            <w:tcW w:w="80" w:type="dxa"/>
            <w:vAlign w:val="bottom"/>
            <w:tcBorders>
              <w:top w:val="single" w:sz="8" w:color="CCEEFF"/>
            </w:tcBorders>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Cash paid for interest during the year</w:t>
            </w:r>
          </w:p>
        </w:tc>
        <w:tc>
          <w:tcPr>
            <w:tcW w:w="340" w:type="dxa"/>
            <w:vAlign w:val="bottom"/>
          </w:tcPr>
          <w:p>
            <w:pPr>
              <w:jc w:val="right"/>
              <w:ind w:right="231"/>
              <w:spacing w:after="0"/>
              <w:rPr>
                <w:sz w:val="20"/>
                <w:szCs w:val="20"/>
                <w:color w:val="auto"/>
              </w:rPr>
            </w:pPr>
            <w:r>
              <w:rPr>
                <w:rFonts w:ascii="Arial" w:cs="Arial" w:eastAsia="Arial" w:hAnsi="Arial"/>
                <w:sz w:val="10"/>
                <w:szCs w:val="10"/>
                <w:color w:val="auto"/>
                <w:w w:val="71"/>
              </w:rPr>
              <w:t>$</w:t>
            </w:r>
          </w:p>
        </w:tc>
        <w:tc>
          <w:tcPr>
            <w:tcW w:w="1360" w:type="dxa"/>
            <w:vAlign w:val="bottom"/>
            <w:gridSpan w:val="2"/>
          </w:tcPr>
          <w:p>
            <w:pPr>
              <w:jc w:val="right"/>
              <w:ind w:right="220"/>
              <w:spacing w:after="0"/>
              <w:rPr>
                <w:sz w:val="20"/>
                <w:szCs w:val="20"/>
                <w:color w:val="auto"/>
              </w:rPr>
            </w:pPr>
            <w:r>
              <w:rPr>
                <w:rFonts w:ascii="Arial" w:cs="Arial" w:eastAsia="Arial" w:hAnsi="Arial"/>
                <w:sz w:val="13"/>
                <w:szCs w:val="13"/>
                <w:color w:val="auto"/>
              </w:rPr>
              <w:t>769,174</w:t>
            </w:r>
          </w:p>
        </w:tc>
        <w:tc>
          <w:tcPr>
            <w:tcW w:w="600" w:type="dxa"/>
            <w:vAlign w:val="bottom"/>
          </w:tcPr>
          <w:p>
            <w:pPr>
              <w:jc w:val="right"/>
              <w:ind w:right="455"/>
              <w:spacing w:after="0"/>
              <w:rPr>
                <w:sz w:val="20"/>
                <w:szCs w:val="20"/>
                <w:color w:val="auto"/>
              </w:rPr>
            </w:pPr>
            <w:r>
              <w:rPr>
                <w:rFonts w:ascii="Arial" w:cs="Arial" w:eastAsia="Arial" w:hAnsi="Arial"/>
                <w:sz w:val="13"/>
                <w:szCs w:val="13"/>
                <w:color w:val="auto"/>
                <w:w w:val="82"/>
              </w:rPr>
              <w:t>$</w:t>
            </w:r>
          </w:p>
        </w:tc>
        <w:tc>
          <w:tcPr>
            <w:tcW w:w="860" w:type="dxa"/>
            <w:vAlign w:val="bottom"/>
          </w:tcPr>
          <w:p>
            <w:pPr>
              <w:jc w:val="right"/>
              <w:spacing w:after="0"/>
              <w:rPr>
                <w:sz w:val="20"/>
                <w:szCs w:val="20"/>
                <w:color w:val="auto"/>
              </w:rPr>
            </w:pPr>
            <w:r>
              <w:rPr>
                <w:rFonts w:ascii="Arial" w:cs="Arial" w:eastAsia="Arial" w:hAnsi="Arial"/>
                <w:sz w:val="13"/>
                <w:szCs w:val="13"/>
                <w:color w:val="auto"/>
              </w:rPr>
              <w:t>718,446</w:t>
            </w:r>
          </w:p>
        </w:tc>
        <w:tc>
          <w:tcPr>
            <w:tcW w:w="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8000" w:type="dxa"/>
            <w:vAlign w:val="bottom"/>
            <w:tcBorders>
              <w:top w:val="single" w:sz="8" w:color="CCEEFF"/>
              <w:bottom w:val="single" w:sz="8" w:color="CCEEFF"/>
            </w:tcBorders>
            <w:shd w:val="clear" w:color="auto" w:fill="CCEEFF"/>
          </w:tcPr>
          <w:p>
            <w:pPr>
              <w:ind w:left="100"/>
              <w:spacing w:after="0"/>
              <w:rPr>
                <w:sz w:val="20"/>
                <w:szCs w:val="20"/>
                <w:color w:val="auto"/>
              </w:rPr>
            </w:pPr>
            <w:r>
              <w:rPr>
                <w:rFonts w:ascii="Arial" w:cs="Arial" w:eastAsia="Arial" w:hAnsi="Arial"/>
                <w:sz w:val="13"/>
                <w:szCs w:val="13"/>
                <w:color w:val="auto"/>
              </w:rPr>
              <w:t>Cash paid for income taxes</w:t>
            </w:r>
          </w:p>
        </w:tc>
        <w:tc>
          <w:tcPr>
            <w:tcW w:w="340" w:type="dxa"/>
            <w:vAlign w:val="bottom"/>
            <w:tcBorders>
              <w:top w:val="single" w:sz="8" w:color="auto"/>
              <w:bottom w:val="single" w:sz="8" w:color="auto"/>
            </w:tcBorders>
            <w:shd w:val="clear" w:color="auto" w:fill="CCEEFF"/>
          </w:tcPr>
          <w:p>
            <w:pPr>
              <w:jc w:val="right"/>
              <w:ind w:right="231"/>
              <w:spacing w:after="0"/>
              <w:rPr>
                <w:sz w:val="20"/>
                <w:szCs w:val="20"/>
                <w:color w:val="auto"/>
              </w:rPr>
            </w:pPr>
            <w:r>
              <w:rPr>
                <w:rFonts w:ascii="Arial" w:cs="Arial" w:eastAsia="Arial" w:hAnsi="Arial"/>
                <w:sz w:val="10"/>
                <w:szCs w:val="10"/>
                <w:color w:val="auto"/>
                <w:w w:val="71"/>
              </w:rPr>
              <w:t>$</w:t>
            </w:r>
          </w:p>
        </w:tc>
        <w:tc>
          <w:tcPr>
            <w:tcW w:w="114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3,494</w:t>
            </w:r>
          </w:p>
        </w:tc>
        <w:tc>
          <w:tcPr>
            <w:tcW w:w="220" w:type="dxa"/>
            <w:vAlign w:val="bottom"/>
            <w:tcBorders>
              <w:top w:val="single" w:sz="8" w:color="CCEEFF"/>
              <w:bottom w:val="single" w:sz="8" w:color="CCEEFF"/>
            </w:tcBorders>
            <w:shd w:val="clear" w:color="auto" w:fill="CCEEFF"/>
          </w:tcPr>
          <w:p>
            <w:pPr>
              <w:spacing w:after="0"/>
              <w:rPr>
                <w:sz w:val="14"/>
                <w:szCs w:val="14"/>
                <w:color w:val="auto"/>
              </w:rPr>
            </w:pPr>
          </w:p>
        </w:tc>
        <w:tc>
          <w:tcPr>
            <w:tcW w:w="600" w:type="dxa"/>
            <w:vAlign w:val="bottom"/>
            <w:tcBorders>
              <w:top w:val="single" w:sz="8" w:color="auto"/>
              <w:bottom w:val="single" w:sz="8" w:color="auto"/>
            </w:tcBorders>
            <w:shd w:val="clear" w:color="auto" w:fill="CCEEFF"/>
          </w:tcPr>
          <w:p>
            <w:pPr>
              <w:jc w:val="right"/>
              <w:ind w:right="455"/>
              <w:spacing w:after="0"/>
              <w:rPr>
                <w:sz w:val="20"/>
                <w:szCs w:val="20"/>
                <w:color w:val="auto"/>
              </w:rPr>
            </w:pPr>
            <w:r>
              <w:rPr>
                <w:rFonts w:ascii="Arial" w:cs="Arial" w:eastAsia="Arial" w:hAnsi="Arial"/>
                <w:sz w:val="13"/>
                <w:szCs w:val="13"/>
                <w:color w:val="auto"/>
                <w:w w:val="82"/>
              </w:rPr>
              <w:t>$</w:t>
            </w:r>
          </w:p>
        </w:tc>
        <w:tc>
          <w:tcPr>
            <w:tcW w:w="86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800</w:t>
            </w:r>
          </w:p>
        </w:tc>
        <w:tc>
          <w:tcPr>
            <w:tcW w:w="20" w:type="dxa"/>
            <w:vAlign w:val="bottom"/>
            <w:tcBorders>
              <w:top w:val="single" w:sz="8" w:color="CCEEFF"/>
              <w:bottom w:val="single" w:sz="8" w:color="CCEEFF"/>
            </w:tcBorders>
            <w:shd w:val="clear" w:color="auto" w:fill="CCEEFF"/>
          </w:tcPr>
          <w:p>
            <w:pPr>
              <w:spacing w:after="0"/>
              <w:rPr>
                <w:sz w:val="14"/>
                <w:szCs w:val="14"/>
                <w:color w:val="auto"/>
              </w:rPr>
            </w:pPr>
          </w:p>
        </w:tc>
        <w:tc>
          <w:tcPr>
            <w:tcW w:w="80" w:type="dxa"/>
            <w:vAlign w:val="bottom"/>
            <w:tcBorders>
              <w:top w:val="single" w:sz="8" w:color="CCEEFF"/>
              <w:bottom w:val="single" w:sz="8" w:color="CCEEFF"/>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8000" w:type="dxa"/>
            <w:vAlign w:val="bottom"/>
          </w:tcPr>
          <w:p>
            <w:pPr>
              <w:spacing w:after="0"/>
              <w:rPr>
                <w:sz w:val="13"/>
                <w:szCs w:val="13"/>
                <w:color w:val="auto"/>
              </w:rPr>
            </w:pPr>
          </w:p>
        </w:tc>
        <w:tc>
          <w:tcPr>
            <w:tcW w:w="340" w:type="dxa"/>
            <w:vAlign w:val="bottom"/>
          </w:tcPr>
          <w:p>
            <w:pPr>
              <w:spacing w:after="0"/>
              <w:rPr>
                <w:sz w:val="13"/>
                <w:szCs w:val="13"/>
                <w:color w:val="auto"/>
              </w:rPr>
            </w:pPr>
          </w:p>
        </w:tc>
        <w:tc>
          <w:tcPr>
            <w:tcW w:w="114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8000" w:type="dxa"/>
            <w:vAlign w:val="bottom"/>
            <w:shd w:val="clear" w:color="auto" w:fill="CCEEFF"/>
          </w:tcPr>
          <w:p>
            <w:pPr>
              <w:spacing w:after="0"/>
              <w:rPr>
                <w:sz w:val="20"/>
                <w:szCs w:val="20"/>
                <w:color w:val="auto"/>
              </w:rPr>
            </w:pPr>
            <w:r>
              <w:rPr>
                <w:rFonts w:ascii="Arial" w:cs="Arial" w:eastAsia="Arial" w:hAnsi="Arial"/>
                <w:sz w:val="13"/>
                <w:szCs w:val="13"/>
                <w:b w:val="1"/>
                <w:bCs w:val="1"/>
                <w:color w:val="auto"/>
              </w:rPr>
              <w:t>Supplemental Disclosure of Non-Cash Financing and Investing Activities</w:t>
            </w:r>
          </w:p>
        </w:tc>
        <w:tc>
          <w:tcPr>
            <w:tcW w:w="340" w:type="dxa"/>
            <w:vAlign w:val="bottom"/>
            <w:shd w:val="clear" w:color="auto" w:fill="CCEEFF"/>
          </w:tcPr>
          <w:p>
            <w:pPr>
              <w:spacing w:after="0"/>
              <w:rPr>
                <w:sz w:val="13"/>
                <w:szCs w:val="13"/>
                <w:color w:val="auto"/>
              </w:rPr>
            </w:pPr>
          </w:p>
        </w:tc>
        <w:tc>
          <w:tcPr>
            <w:tcW w:w="114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600" w:type="dxa"/>
            <w:vAlign w:val="bottom"/>
            <w:shd w:val="clear" w:color="auto" w:fill="CCEEFF"/>
          </w:tcPr>
          <w:p>
            <w:pPr>
              <w:spacing w:after="0"/>
              <w:rPr>
                <w:sz w:val="13"/>
                <w:szCs w:val="13"/>
                <w:color w:val="auto"/>
              </w:rPr>
            </w:pPr>
          </w:p>
        </w:tc>
        <w:tc>
          <w:tcPr>
            <w:tcW w:w="860" w:type="dxa"/>
            <w:vAlign w:val="bottom"/>
            <w:shd w:val="clear" w:color="auto" w:fill="CCEEFF"/>
          </w:tcPr>
          <w:p>
            <w:pPr>
              <w:spacing w:after="0"/>
              <w:rPr>
                <w:sz w:val="13"/>
                <w:szCs w:val="13"/>
                <w:color w:val="auto"/>
              </w:rPr>
            </w:pPr>
          </w:p>
        </w:tc>
        <w:tc>
          <w:tcPr>
            <w:tcW w:w="20" w:type="dxa"/>
            <w:vAlign w:val="bottom"/>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8000" w:type="dxa"/>
            <w:vAlign w:val="bottom"/>
          </w:tcPr>
          <w:p>
            <w:pPr>
              <w:ind w:left="100"/>
              <w:spacing w:after="0"/>
              <w:rPr>
                <w:sz w:val="20"/>
                <w:szCs w:val="20"/>
                <w:color w:val="auto"/>
              </w:rPr>
            </w:pPr>
            <w:r>
              <w:rPr>
                <w:rFonts w:ascii="Arial" w:cs="Arial" w:eastAsia="Arial" w:hAnsi="Arial"/>
                <w:sz w:val="13"/>
                <w:szCs w:val="13"/>
                <w:color w:val="auto"/>
              </w:rPr>
              <w:t>Issuance of warrants for Preferred Stock</w:t>
            </w:r>
          </w:p>
        </w:tc>
        <w:tc>
          <w:tcPr>
            <w:tcW w:w="340" w:type="dxa"/>
            <w:vAlign w:val="bottom"/>
          </w:tcPr>
          <w:p>
            <w:pPr>
              <w:jc w:val="right"/>
              <w:ind w:right="231"/>
              <w:spacing w:after="0"/>
              <w:rPr>
                <w:sz w:val="20"/>
                <w:szCs w:val="20"/>
                <w:color w:val="auto"/>
              </w:rPr>
            </w:pPr>
            <w:r>
              <w:rPr>
                <w:rFonts w:ascii="Arial" w:cs="Arial" w:eastAsia="Arial" w:hAnsi="Arial"/>
                <w:sz w:val="10"/>
                <w:szCs w:val="10"/>
                <w:color w:val="auto"/>
                <w:w w:val="71"/>
              </w:rPr>
              <w:t>$</w:t>
            </w:r>
          </w:p>
        </w:tc>
        <w:tc>
          <w:tcPr>
            <w:tcW w:w="1360" w:type="dxa"/>
            <w:vAlign w:val="bottom"/>
            <w:gridSpan w:val="2"/>
          </w:tcPr>
          <w:p>
            <w:pPr>
              <w:jc w:val="right"/>
              <w:ind w:right="220"/>
              <w:spacing w:after="0"/>
              <w:rPr>
                <w:sz w:val="20"/>
                <w:szCs w:val="20"/>
                <w:color w:val="auto"/>
              </w:rPr>
            </w:pPr>
            <w:r>
              <w:rPr>
                <w:rFonts w:ascii="Arial" w:cs="Arial" w:eastAsia="Arial" w:hAnsi="Arial"/>
                <w:sz w:val="13"/>
                <w:szCs w:val="13"/>
                <w:color w:val="auto"/>
              </w:rPr>
              <w:t>946,096</w:t>
            </w:r>
          </w:p>
        </w:tc>
        <w:tc>
          <w:tcPr>
            <w:tcW w:w="600" w:type="dxa"/>
            <w:vAlign w:val="bottom"/>
          </w:tcPr>
          <w:p>
            <w:pPr>
              <w:jc w:val="right"/>
              <w:ind w:right="455"/>
              <w:spacing w:after="0"/>
              <w:rPr>
                <w:sz w:val="20"/>
                <w:szCs w:val="20"/>
                <w:color w:val="auto"/>
              </w:rPr>
            </w:pPr>
            <w:r>
              <w:rPr>
                <w:rFonts w:ascii="Arial" w:cs="Arial" w:eastAsia="Arial" w:hAnsi="Arial"/>
                <w:sz w:val="13"/>
                <w:szCs w:val="13"/>
                <w:color w:val="auto"/>
                <w:w w:val="82"/>
              </w:rPr>
              <w:t>$</w:t>
            </w:r>
          </w:p>
        </w:tc>
        <w:tc>
          <w:tcPr>
            <w:tcW w:w="860" w:type="dxa"/>
            <w:vAlign w:val="bottom"/>
          </w:tcPr>
          <w:p>
            <w:pPr>
              <w:jc w:val="right"/>
              <w:spacing w:after="0"/>
              <w:rPr>
                <w:sz w:val="20"/>
                <w:szCs w:val="20"/>
                <w:color w:val="auto"/>
              </w:rPr>
            </w:pPr>
            <w:r>
              <w:rPr>
                <w:rFonts w:ascii="Arial" w:cs="Arial" w:eastAsia="Arial" w:hAnsi="Arial"/>
                <w:sz w:val="13"/>
                <w:szCs w:val="13"/>
                <w:color w:val="auto"/>
              </w:rPr>
              <w:t>2,246,382</w:t>
            </w:r>
          </w:p>
        </w:tc>
        <w:tc>
          <w:tcPr>
            <w:tcW w:w="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76"/>
        </w:trPr>
        <w:tc>
          <w:tcPr>
            <w:tcW w:w="20" w:type="dxa"/>
            <w:vAlign w:val="bottom"/>
          </w:tcPr>
          <w:p>
            <w:pPr>
              <w:spacing w:after="0"/>
              <w:rPr>
                <w:sz w:val="15"/>
                <w:szCs w:val="15"/>
                <w:color w:val="auto"/>
              </w:rPr>
            </w:pPr>
          </w:p>
        </w:tc>
        <w:tc>
          <w:tcPr>
            <w:tcW w:w="8000" w:type="dxa"/>
            <w:vAlign w:val="bottom"/>
            <w:tcBorders>
              <w:top w:val="single" w:sz="8" w:color="CCEEFF"/>
              <w:bottom w:val="single" w:sz="8" w:color="CCEEFF"/>
            </w:tcBorders>
            <w:shd w:val="clear" w:color="auto" w:fill="CCEEFF"/>
          </w:tcPr>
          <w:p>
            <w:pPr>
              <w:ind w:left="100"/>
              <w:spacing w:after="0"/>
              <w:rPr>
                <w:sz w:val="20"/>
                <w:szCs w:val="20"/>
                <w:color w:val="auto"/>
              </w:rPr>
            </w:pPr>
            <w:r>
              <w:rPr>
                <w:rFonts w:ascii="Arial" w:cs="Arial" w:eastAsia="Arial" w:hAnsi="Arial"/>
                <w:sz w:val="13"/>
                <w:szCs w:val="13"/>
                <w:color w:val="auto"/>
              </w:rPr>
              <w:t>Conversion of Series m-3 to m-4 Preferred Stock</w:t>
            </w:r>
          </w:p>
        </w:tc>
        <w:tc>
          <w:tcPr>
            <w:tcW w:w="340" w:type="dxa"/>
            <w:vAlign w:val="bottom"/>
            <w:tcBorders>
              <w:top w:val="single" w:sz="8" w:color="auto"/>
              <w:bottom w:val="single" w:sz="8" w:color="auto"/>
            </w:tcBorders>
            <w:shd w:val="clear" w:color="auto" w:fill="CCEEFF"/>
          </w:tcPr>
          <w:p>
            <w:pPr>
              <w:jc w:val="right"/>
              <w:ind w:right="231"/>
              <w:spacing w:after="0"/>
              <w:rPr>
                <w:sz w:val="20"/>
                <w:szCs w:val="20"/>
                <w:color w:val="auto"/>
              </w:rPr>
            </w:pPr>
            <w:r>
              <w:rPr>
                <w:rFonts w:ascii="Arial" w:cs="Arial" w:eastAsia="Arial" w:hAnsi="Arial"/>
                <w:sz w:val="10"/>
                <w:szCs w:val="10"/>
                <w:color w:val="auto"/>
                <w:w w:val="71"/>
              </w:rPr>
              <w:t>$</w:t>
            </w:r>
          </w:p>
        </w:tc>
        <w:tc>
          <w:tcPr>
            <w:tcW w:w="114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220" w:type="dxa"/>
            <w:vAlign w:val="bottom"/>
            <w:tcBorders>
              <w:top w:val="single" w:sz="8" w:color="CCEEFF"/>
              <w:bottom w:val="single" w:sz="8" w:color="CCEEFF"/>
            </w:tcBorders>
            <w:shd w:val="clear" w:color="auto" w:fill="CCEEFF"/>
          </w:tcPr>
          <w:p>
            <w:pPr>
              <w:spacing w:after="0"/>
              <w:rPr>
                <w:sz w:val="15"/>
                <w:szCs w:val="15"/>
                <w:color w:val="auto"/>
              </w:rPr>
            </w:pPr>
          </w:p>
        </w:tc>
        <w:tc>
          <w:tcPr>
            <w:tcW w:w="600" w:type="dxa"/>
            <w:vAlign w:val="bottom"/>
            <w:tcBorders>
              <w:top w:val="single" w:sz="8" w:color="auto"/>
              <w:bottom w:val="single" w:sz="8" w:color="auto"/>
            </w:tcBorders>
            <w:shd w:val="clear" w:color="auto" w:fill="CCEEFF"/>
          </w:tcPr>
          <w:p>
            <w:pPr>
              <w:jc w:val="right"/>
              <w:ind w:right="455"/>
              <w:spacing w:after="0"/>
              <w:rPr>
                <w:sz w:val="20"/>
                <w:szCs w:val="20"/>
                <w:color w:val="auto"/>
              </w:rPr>
            </w:pPr>
            <w:r>
              <w:rPr>
                <w:rFonts w:ascii="Arial" w:cs="Arial" w:eastAsia="Arial" w:hAnsi="Arial"/>
                <w:sz w:val="13"/>
                <w:szCs w:val="13"/>
                <w:color w:val="auto"/>
                <w:w w:val="82"/>
              </w:rPr>
              <w:t>$</w:t>
            </w:r>
          </w:p>
        </w:tc>
        <w:tc>
          <w:tcPr>
            <w:tcW w:w="86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3,928,487</w:t>
            </w:r>
          </w:p>
        </w:tc>
        <w:tc>
          <w:tcPr>
            <w:tcW w:w="20" w:type="dxa"/>
            <w:vAlign w:val="bottom"/>
            <w:tcBorders>
              <w:top w:val="single" w:sz="8" w:color="CCEEFF"/>
              <w:bottom w:val="single" w:sz="8" w:color="CCEEFF"/>
            </w:tcBorders>
            <w:shd w:val="clear" w:color="auto" w:fill="CCEEFF"/>
          </w:tcPr>
          <w:p>
            <w:pPr>
              <w:spacing w:after="0"/>
              <w:rPr>
                <w:sz w:val="15"/>
                <w:szCs w:val="15"/>
                <w:color w:val="auto"/>
              </w:rPr>
            </w:pPr>
          </w:p>
        </w:tc>
        <w:tc>
          <w:tcPr>
            <w:tcW w:w="80" w:type="dxa"/>
            <w:vAlign w:val="bottom"/>
            <w:tcBorders>
              <w:top w:val="single" w:sz="8" w:color="CCEEFF"/>
              <w:bottom w:val="single" w:sz="8" w:color="CCEEFF"/>
            </w:tcBorders>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155"/>
        </w:trPr>
        <w:tc>
          <w:tcPr>
            <w:tcW w:w="20" w:type="dxa"/>
            <w:vAlign w:val="bottom"/>
          </w:tcPr>
          <w:p>
            <w:pPr>
              <w:spacing w:after="0"/>
              <w:rPr>
                <w:sz w:val="13"/>
                <w:szCs w:val="13"/>
                <w:color w:val="auto"/>
              </w:rPr>
            </w:pPr>
          </w:p>
        </w:tc>
        <w:tc>
          <w:tcPr>
            <w:tcW w:w="8000" w:type="dxa"/>
            <w:vAlign w:val="bottom"/>
          </w:tcPr>
          <w:p>
            <w:pPr>
              <w:ind w:left="100"/>
              <w:spacing w:after="0" w:line="146" w:lineRule="exact"/>
              <w:rPr>
                <w:sz w:val="20"/>
                <w:szCs w:val="20"/>
                <w:color w:val="auto"/>
              </w:rPr>
            </w:pPr>
            <w:r>
              <w:rPr>
                <w:rFonts w:ascii="Arial" w:cs="Arial" w:eastAsia="Arial" w:hAnsi="Arial"/>
                <w:sz w:val="13"/>
                <w:szCs w:val="13"/>
                <w:color w:val="auto"/>
              </w:rPr>
              <w:t>Autonomous Security Robots costs in accounts payables and accrued expenses</w:t>
            </w:r>
          </w:p>
        </w:tc>
        <w:tc>
          <w:tcPr>
            <w:tcW w:w="340" w:type="dxa"/>
            <w:vAlign w:val="bottom"/>
            <w:tcBorders>
              <w:bottom w:val="single" w:sz="8" w:color="auto"/>
            </w:tcBorders>
          </w:tcPr>
          <w:p>
            <w:pPr>
              <w:jc w:val="right"/>
              <w:ind w:right="231"/>
              <w:spacing w:after="0"/>
              <w:rPr>
                <w:sz w:val="20"/>
                <w:szCs w:val="20"/>
                <w:color w:val="auto"/>
              </w:rPr>
            </w:pPr>
            <w:r>
              <w:rPr>
                <w:rFonts w:ascii="Arial" w:cs="Arial" w:eastAsia="Arial" w:hAnsi="Arial"/>
                <w:sz w:val="10"/>
                <w:szCs w:val="10"/>
                <w:color w:val="auto"/>
                <w:w w:val="71"/>
              </w:rPr>
              <w:t>$</w:t>
            </w:r>
          </w:p>
        </w:tc>
        <w:tc>
          <w:tcPr>
            <w:tcW w:w="1140" w:type="dxa"/>
            <w:vAlign w:val="bottom"/>
            <w:tcBorders>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58,688</w:t>
            </w:r>
          </w:p>
        </w:tc>
        <w:tc>
          <w:tcPr>
            <w:tcW w:w="220" w:type="dxa"/>
            <w:vAlign w:val="bottom"/>
          </w:tcPr>
          <w:p>
            <w:pPr>
              <w:spacing w:after="0"/>
              <w:rPr>
                <w:sz w:val="13"/>
                <w:szCs w:val="13"/>
                <w:color w:val="auto"/>
              </w:rPr>
            </w:pPr>
          </w:p>
        </w:tc>
        <w:tc>
          <w:tcPr>
            <w:tcW w:w="600" w:type="dxa"/>
            <w:vAlign w:val="bottom"/>
            <w:tcBorders>
              <w:bottom w:val="single" w:sz="8" w:color="auto"/>
            </w:tcBorders>
          </w:tcPr>
          <w:p>
            <w:pPr>
              <w:jc w:val="right"/>
              <w:ind w:right="455"/>
              <w:spacing w:after="0" w:line="146" w:lineRule="exact"/>
              <w:rPr>
                <w:sz w:val="20"/>
                <w:szCs w:val="20"/>
                <w:color w:val="auto"/>
              </w:rPr>
            </w:pPr>
            <w:r>
              <w:rPr>
                <w:rFonts w:ascii="Arial" w:cs="Arial" w:eastAsia="Arial" w:hAnsi="Arial"/>
                <w:sz w:val="13"/>
                <w:szCs w:val="13"/>
                <w:color w:val="auto"/>
                <w:w w:val="82"/>
              </w:rPr>
              <w:t>$</w:t>
            </w:r>
          </w:p>
        </w:tc>
        <w:tc>
          <w:tcPr>
            <w:tcW w:w="860" w:type="dxa"/>
            <w:vAlign w:val="bottom"/>
            <w:tcBorders>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51,915</w:t>
            </w:r>
          </w:p>
        </w:tc>
        <w:tc>
          <w:tcPr>
            <w:tcW w:w="20" w:type="dxa"/>
            <w:vAlign w:val="bottom"/>
            <w:tcBorders>
              <w:bottom w:val="single" w:sz="8" w:color="auto"/>
            </w:tcBorders>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bl>
    <w:p>
      <w:pPr>
        <w:spacing w:after="0" w:line="148"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See accompanying Notes to Financial Statements.</w:t>
      </w:r>
    </w:p>
    <w:p>
      <w:pPr>
        <w:spacing w:after="0" w:line="320"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67" w:name="page68"/>
    <w:bookmarkEnd w:id="67"/>
    <w:p>
      <w:pPr>
        <w:jc w:val="center"/>
        <w:spacing w:after="0"/>
        <w:rPr>
          <w:sz w:val="20"/>
          <w:szCs w:val="20"/>
          <w:color w:val="auto"/>
        </w:rPr>
      </w:pPr>
      <w:r>
        <w:rPr>
          <w:rFonts w:ascii="Arial" w:cs="Arial" w:eastAsia="Arial" w:hAnsi="Arial"/>
          <w:sz w:val="13"/>
          <w:szCs w:val="13"/>
          <w:b w:val="1"/>
          <w:bCs w:val="1"/>
          <w:color w:val="auto"/>
        </w:rPr>
        <w:t>KNIGHTSCOPE, INC.</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STATEMENTS OF PREFERRED STOCK AND CHANGES IN STOCKHOLDERS’ DEFICIT</w:t>
      </w:r>
    </w:p>
    <w:p>
      <w:pPr>
        <w:spacing w:after="0" w:line="146" w:lineRule="exact"/>
        <w:rPr>
          <w:sz w:val="20"/>
          <w:szCs w:val="20"/>
          <w:color w:val="auto"/>
        </w:rPr>
      </w:pPr>
    </w:p>
    <w:tbl>
      <w:tblPr>
        <w:tblLayout w:type="fixed"/>
        <w:tblInd w:w="0" w:type="dxa"/>
        <w:tblCellMar>
          <w:top w:w="0" w:type="dxa"/>
          <w:left w:w="0" w:type="dxa"/>
          <w:bottom w:w="0" w:type="dxa"/>
          <w:right w:w="0" w:type="dxa"/>
        </w:tblCellMar>
      </w:tblPr>
      <w:tr>
        <w:trPr>
          <w:trHeight w:val="103"/>
        </w:trPr>
        <w:tc>
          <w:tcPr>
            <w:tcW w:w="20" w:type="dxa"/>
            <w:vAlign w:val="bottom"/>
          </w:tcPr>
          <w:p>
            <w:pPr>
              <w:spacing w:after="0"/>
              <w:rPr>
                <w:sz w:val="8"/>
                <w:szCs w:val="8"/>
                <w:color w:val="auto"/>
              </w:rPr>
            </w:pPr>
          </w:p>
        </w:tc>
        <w:tc>
          <w:tcPr>
            <w:tcW w:w="520" w:type="dxa"/>
            <w:vAlign w:val="bottom"/>
          </w:tcPr>
          <w:p>
            <w:pPr>
              <w:spacing w:after="0"/>
              <w:rPr>
                <w:sz w:val="8"/>
                <w:szCs w:val="8"/>
                <w:color w:val="auto"/>
              </w:rPr>
            </w:pPr>
          </w:p>
        </w:tc>
        <w:tc>
          <w:tcPr>
            <w:tcW w:w="940" w:type="dxa"/>
            <w:vAlign w:val="bottom"/>
            <w:gridSpan w:val="2"/>
          </w:tcPr>
          <w:p>
            <w:pPr>
              <w:jc w:val="right"/>
              <w:ind w:right="314"/>
              <w:spacing w:after="0"/>
              <w:rPr>
                <w:sz w:val="20"/>
                <w:szCs w:val="20"/>
                <w:color w:val="auto"/>
              </w:rPr>
            </w:pPr>
            <w:r>
              <w:rPr>
                <w:rFonts w:ascii="Arial" w:cs="Arial" w:eastAsia="Arial" w:hAnsi="Arial"/>
                <w:sz w:val="9"/>
                <w:szCs w:val="9"/>
                <w:b w:val="1"/>
                <w:bCs w:val="1"/>
                <w:color w:val="auto"/>
              </w:rPr>
              <w:t>Series m</w:t>
            </w:r>
          </w:p>
        </w:tc>
        <w:tc>
          <w:tcPr>
            <w:tcW w:w="960" w:type="dxa"/>
            <w:vAlign w:val="bottom"/>
            <w:gridSpan w:val="3"/>
          </w:tcPr>
          <w:p>
            <w:pPr>
              <w:jc w:val="right"/>
              <w:ind w:right="294"/>
              <w:spacing w:after="0"/>
              <w:rPr>
                <w:sz w:val="20"/>
                <w:szCs w:val="20"/>
                <w:color w:val="auto"/>
              </w:rPr>
            </w:pPr>
            <w:r>
              <w:rPr>
                <w:rFonts w:ascii="Arial" w:cs="Arial" w:eastAsia="Arial" w:hAnsi="Arial"/>
                <w:sz w:val="9"/>
                <w:szCs w:val="9"/>
                <w:b w:val="1"/>
                <w:bCs w:val="1"/>
                <w:color w:val="auto"/>
              </w:rPr>
              <w:t>Series m-2</w:t>
            </w:r>
          </w:p>
        </w:tc>
        <w:tc>
          <w:tcPr>
            <w:tcW w:w="1060" w:type="dxa"/>
            <w:vAlign w:val="bottom"/>
            <w:gridSpan w:val="5"/>
          </w:tcPr>
          <w:p>
            <w:pPr>
              <w:jc w:val="right"/>
              <w:ind w:right="400"/>
              <w:spacing w:after="0"/>
              <w:rPr>
                <w:sz w:val="20"/>
                <w:szCs w:val="20"/>
                <w:color w:val="auto"/>
              </w:rPr>
            </w:pPr>
            <w:r>
              <w:rPr>
                <w:rFonts w:ascii="Arial" w:cs="Arial" w:eastAsia="Arial" w:hAnsi="Arial"/>
                <w:sz w:val="9"/>
                <w:szCs w:val="9"/>
                <w:b w:val="1"/>
                <w:bCs w:val="1"/>
                <w:color w:val="auto"/>
              </w:rPr>
              <w:t>Series m-3</w:t>
            </w:r>
          </w:p>
        </w:tc>
        <w:tc>
          <w:tcPr>
            <w:tcW w:w="1020" w:type="dxa"/>
            <w:vAlign w:val="bottom"/>
            <w:gridSpan w:val="4"/>
          </w:tcPr>
          <w:p>
            <w:pPr>
              <w:ind w:left="220"/>
              <w:spacing w:after="0"/>
              <w:rPr>
                <w:sz w:val="20"/>
                <w:szCs w:val="20"/>
                <w:color w:val="auto"/>
              </w:rPr>
            </w:pPr>
            <w:r>
              <w:rPr>
                <w:rFonts w:ascii="Arial" w:cs="Arial" w:eastAsia="Arial" w:hAnsi="Arial"/>
                <w:sz w:val="9"/>
                <w:szCs w:val="9"/>
                <w:b w:val="1"/>
                <w:bCs w:val="1"/>
                <w:color w:val="auto"/>
              </w:rPr>
              <w:t>Series m-4</w:t>
            </w:r>
          </w:p>
        </w:tc>
        <w:tc>
          <w:tcPr>
            <w:tcW w:w="1080" w:type="dxa"/>
            <w:vAlign w:val="bottom"/>
            <w:gridSpan w:val="5"/>
          </w:tcPr>
          <w:p>
            <w:pPr>
              <w:jc w:val="right"/>
              <w:ind w:right="500"/>
              <w:spacing w:after="0"/>
              <w:rPr>
                <w:sz w:val="20"/>
                <w:szCs w:val="20"/>
                <w:color w:val="auto"/>
              </w:rPr>
            </w:pPr>
            <w:r>
              <w:rPr>
                <w:rFonts w:ascii="Arial" w:cs="Arial" w:eastAsia="Arial" w:hAnsi="Arial"/>
                <w:sz w:val="9"/>
                <w:szCs w:val="9"/>
                <w:b w:val="1"/>
                <w:bCs w:val="1"/>
                <w:color w:val="auto"/>
              </w:rPr>
              <w:t>Series s</w:t>
            </w:r>
          </w:p>
        </w:tc>
        <w:tc>
          <w:tcPr>
            <w:tcW w:w="1020" w:type="dxa"/>
            <w:vAlign w:val="bottom"/>
            <w:gridSpan w:val="4"/>
          </w:tcPr>
          <w:p>
            <w:pPr>
              <w:jc w:val="center"/>
              <w:ind w:right="220"/>
              <w:spacing w:after="0"/>
              <w:rPr>
                <w:sz w:val="20"/>
                <w:szCs w:val="20"/>
                <w:color w:val="auto"/>
              </w:rPr>
            </w:pPr>
            <w:r>
              <w:rPr>
                <w:rFonts w:ascii="Arial" w:cs="Arial" w:eastAsia="Arial" w:hAnsi="Arial"/>
                <w:sz w:val="9"/>
                <w:szCs w:val="9"/>
                <w:b w:val="1"/>
                <w:bCs w:val="1"/>
                <w:color w:val="auto"/>
                <w:w w:val="88"/>
              </w:rPr>
              <w:t>Series A</w:t>
            </w:r>
          </w:p>
        </w:tc>
        <w:tc>
          <w:tcPr>
            <w:tcW w:w="1000" w:type="dxa"/>
            <w:vAlign w:val="bottom"/>
            <w:gridSpan w:val="4"/>
          </w:tcPr>
          <w:p>
            <w:pPr>
              <w:jc w:val="right"/>
              <w:ind w:right="420"/>
              <w:spacing w:after="0"/>
              <w:rPr>
                <w:sz w:val="20"/>
                <w:szCs w:val="20"/>
                <w:color w:val="auto"/>
              </w:rPr>
            </w:pPr>
            <w:r>
              <w:rPr>
                <w:rFonts w:ascii="Arial" w:cs="Arial" w:eastAsia="Arial" w:hAnsi="Arial"/>
                <w:sz w:val="9"/>
                <w:szCs w:val="9"/>
                <w:b w:val="1"/>
                <w:bCs w:val="1"/>
                <w:color w:val="auto"/>
              </w:rPr>
              <w:t>Series B</w:t>
            </w:r>
          </w:p>
        </w:tc>
        <w:tc>
          <w:tcPr>
            <w:tcW w:w="680" w:type="dxa"/>
            <w:vAlign w:val="bottom"/>
            <w:gridSpan w:val="3"/>
          </w:tcPr>
          <w:p>
            <w:pPr>
              <w:ind w:left="200"/>
              <w:spacing w:after="0"/>
              <w:rPr>
                <w:sz w:val="20"/>
                <w:szCs w:val="20"/>
                <w:color w:val="auto"/>
              </w:rPr>
            </w:pPr>
            <w:r>
              <w:rPr>
                <w:rFonts w:ascii="Arial" w:cs="Arial" w:eastAsia="Arial" w:hAnsi="Arial"/>
                <w:sz w:val="9"/>
                <w:szCs w:val="9"/>
                <w:b w:val="1"/>
                <w:bCs w:val="1"/>
                <w:color w:val="auto"/>
              </w:rPr>
              <w:t>Class A</w:t>
            </w:r>
          </w:p>
        </w:tc>
        <w:tc>
          <w:tcPr>
            <w:tcW w:w="180" w:type="dxa"/>
            <w:vAlign w:val="bottom"/>
          </w:tcPr>
          <w:p>
            <w:pPr>
              <w:spacing w:after="0"/>
              <w:rPr>
                <w:sz w:val="8"/>
                <w:szCs w:val="8"/>
                <w:color w:val="auto"/>
              </w:rPr>
            </w:pPr>
          </w:p>
        </w:tc>
        <w:tc>
          <w:tcPr>
            <w:tcW w:w="600" w:type="dxa"/>
            <w:vAlign w:val="bottom"/>
            <w:gridSpan w:val="3"/>
          </w:tcPr>
          <w:p>
            <w:pPr>
              <w:jc w:val="right"/>
              <w:ind w:right="30"/>
              <w:spacing w:after="0"/>
              <w:rPr>
                <w:sz w:val="20"/>
                <w:szCs w:val="20"/>
                <w:color w:val="auto"/>
              </w:rPr>
            </w:pPr>
            <w:r>
              <w:rPr>
                <w:rFonts w:ascii="Arial" w:cs="Arial" w:eastAsia="Arial" w:hAnsi="Arial"/>
                <w:sz w:val="9"/>
                <w:szCs w:val="9"/>
                <w:b w:val="1"/>
                <w:bCs w:val="1"/>
                <w:color w:val="auto"/>
              </w:rPr>
              <w:t>Class B</w:t>
            </w:r>
          </w:p>
        </w:tc>
        <w:tc>
          <w:tcPr>
            <w:tcW w:w="380" w:type="dxa"/>
            <w:vAlign w:val="bottom"/>
          </w:tcPr>
          <w:p>
            <w:pPr>
              <w:spacing w:after="0"/>
              <w:rPr>
                <w:sz w:val="8"/>
                <w:szCs w:val="8"/>
                <w:color w:val="auto"/>
              </w:rPr>
            </w:pPr>
          </w:p>
        </w:tc>
        <w:tc>
          <w:tcPr>
            <w:tcW w:w="520" w:type="dxa"/>
            <w:vAlign w:val="bottom"/>
            <w:gridSpan w:val="2"/>
          </w:tcPr>
          <w:p>
            <w:pPr>
              <w:jc w:val="center"/>
              <w:ind w:right="100"/>
              <w:spacing w:after="0"/>
              <w:rPr>
                <w:sz w:val="20"/>
                <w:szCs w:val="20"/>
                <w:color w:val="auto"/>
              </w:rPr>
            </w:pPr>
            <w:r>
              <w:rPr>
                <w:rFonts w:ascii="Arial" w:cs="Arial" w:eastAsia="Arial" w:hAnsi="Arial"/>
                <w:sz w:val="9"/>
                <w:szCs w:val="9"/>
                <w:b w:val="1"/>
                <w:bCs w:val="1"/>
                <w:color w:val="auto"/>
                <w:w w:val="95"/>
              </w:rPr>
              <w:t>Additional</w:t>
            </w:r>
          </w:p>
        </w:tc>
        <w:tc>
          <w:tcPr>
            <w:tcW w:w="60" w:type="dxa"/>
            <w:vAlign w:val="bottom"/>
          </w:tcPr>
          <w:p>
            <w:pPr>
              <w:spacing w:after="0"/>
              <w:rPr>
                <w:sz w:val="8"/>
                <w:szCs w:val="8"/>
                <w:color w:val="auto"/>
              </w:rPr>
            </w:pPr>
          </w:p>
        </w:tc>
        <w:tc>
          <w:tcPr>
            <w:tcW w:w="560" w:type="dxa"/>
            <w:vAlign w:val="bottom"/>
          </w:tcPr>
          <w:p>
            <w:pPr>
              <w:spacing w:after="0"/>
              <w:rPr>
                <w:sz w:val="8"/>
                <w:szCs w:val="8"/>
                <w:color w:val="auto"/>
              </w:rPr>
            </w:pPr>
          </w:p>
        </w:tc>
        <w:tc>
          <w:tcPr>
            <w:tcW w:w="120" w:type="dxa"/>
            <w:vAlign w:val="bottom"/>
          </w:tcPr>
          <w:p>
            <w:pPr>
              <w:spacing w:after="0"/>
              <w:rPr>
                <w:sz w:val="8"/>
                <w:szCs w:val="8"/>
                <w:color w:val="auto"/>
              </w:rPr>
            </w:pPr>
          </w:p>
        </w:tc>
        <w:tc>
          <w:tcPr>
            <w:tcW w:w="5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11"/>
        </w:trPr>
        <w:tc>
          <w:tcPr>
            <w:tcW w:w="20" w:type="dxa"/>
            <w:vAlign w:val="bottom"/>
          </w:tcPr>
          <w:p>
            <w:pPr>
              <w:spacing w:after="0"/>
              <w:rPr>
                <w:sz w:val="9"/>
                <w:szCs w:val="9"/>
                <w:color w:val="auto"/>
              </w:rPr>
            </w:pPr>
          </w:p>
        </w:tc>
        <w:tc>
          <w:tcPr>
            <w:tcW w:w="520" w:type="dxa"/>
            <w:vAlign w:val="bottom"/>
          </w:tcPr>
          <w:p>
            <w:pPr>
              <w:spacing w:after="0"/>
              <w:rPr>
                <w:sz w:val="9"/>
                <w:szCs w:val="9"/>
                <w:color w:val="auto"/>
              </w:rPr>
            </w:pPr>
          </w:p>
        </w:tc>
        <w:tc>
          <w:tcPr>
            <w:tcW w:w="940" w:type="dxa"/>
            <w:vAlign w:val="bottom"/>
            <w:gridSpan w:val="2"/>
          </w:tcPr>
          <w:p>
            <w:pPr>
              <w:jc w:val="right"/>
              <w:ind w:right="174"/>
              <w:spacing w:after="0"/>
              <w:rPr>
                <w:sz w:val="20"/>
                <w:szCs w:val="20"/>
                <w:color w:val="auto"/>
              </w:rPr>
            </w:pPr>
            <w:r>
              <w:rPr>
                <w:rFonts w:ascii="Arial" w:cs="Arial" w:eastAsia="Arial" w:hAnsi="Arial"/>
                <w:sz w:val="9"/>
                <w:szCs w:val="9"/>
                <w:b w:val="1"/>
                <w:bCs w:val="1"/>
                <w:color w:val="auto"/>
              </w:rPr>
              <w:t>Preferred Stock</w:t>
            </w:r>
          </w:p>
        </w:tc>
        <w:tc>
          <w:tcPr>
            <w:tcW w:w="960" w:type="dxa"/>
            <w:vAlign w:val="bottom"/>
            <w:gridSpan w:val="3"/>
          </w:tcPr>
          <w:p>
            <w:pPr>
              <w:jc w:val="right"/>
              <w:ind w:right="174"/>
              <w:spacing w:after="0"/>
              <w:rPr>
                <w:sz w:val="20"/>
                <w:szCs w:val="20"/>
                <w:color w:val="auto"/>
              </w:rPr>
            </w:pPr>
            <w:r>
              <w:rPr>
                <w:rFonts w:ascii="Arial" w:cs="Arial" w:eastAsia="Arial" w:hAnsi="Arial"/>
                <w:sz w:val="9"/>
                <w:szCs w:val="9"/>
                <w:b w:val="1"/>
                <w:bCs w:val="1"/>
                <w:color w:val="auto"/>
              </w:rPr>
              <w:t>Preferred Stock</w:t>
            </w:r>
          </w:p>
        </w:tc>
        <w:tc>
          <w:tcPr>
            <w:tcW w:w="1060" w:type="dxa"/>
            <w:vAlign w:val="bottom"/>
            <w:gridSpan w:val="5"/>
          </w:tcPr>
          <w:p>
            <w:pPr>
              <w:jc w:val="right"/>
              <w:ind w:right="300"/>
              <w:spacing w:after="0"/>
              <w:rPr>
                <w:sz w:val="20"/>
                <w:szCs w:val="20"/>
                <w:color w:val="auto"/>
              </w:rPr>
            </w:pPr>
            <w:r>
              <w:rPr>
                <w:rFonts w:ascii="Arial" w:cs="Arial" w:eastAsia="Arial" w:hAnsi="Arial"/>
                <w:sz w:val="9"/>
                <w:szCs w:val="9"/>
                <w:b w:val="1"/>
                <w:bCs w:val="1"/>
                <w:color w:val="auto"/>
              </w:rPr>
              <w:t>Preferred Stock</w:t>
            </w:r>
          </w:p>
        </w:tc>
        <w:tc>
          <w:tcPr>
            <w:tcW w:w="1020" w:type="dxa"/>
            <w:vAlign w:val="bottom"/>
            <w:gridSpan w:val="4"/>
          </w:tcPr>
          <w:p>
            <w:pPr>
              <w:ind w:left="120"/>
              <w:spacing w:after="0"/>
              <w:rPr>
                <w:sz w:val="20"/>
                <w:szCs w:val="20"/>
                <w:color w:val="auto"/>
              </w:rPr>
            </w:pPr>
            <w:r>
              <w:rPr>
                <w:rFonts w:ascii="Arial" w:cs="Arial" w:eastAsia="Arial" w:hAnsi="Arial"/>
                <w:sz w:val="9"/>
                <w:szCs w:val="9"/>
                <w:b w:val="1"/>
                <w:bCs w:val="1"/>
                <w:color w:val="auto"/>
              </w:rPr>
              <w:t>Preferred Stock</w:t>
            </w:r>
          </w:p>
        </w:tc>
        <w:tc>
          <w:tcPr>
            <w:tcW w:w="1080" w:type="dxa"/>
            <w:vAlign w:val="bottom"/>
            <w:gridSpan w:val="5"/>
          </w:tcPr>
          <w:p>
            <w:pPr>
              <w:jc w:val="right"/>
              <w:ind w:right="340"/>
              <w:spacing w:after="0"/>
              <w:rPr>
                <w:sz w:val="20"/>
                <w:szCs w:val="20"/>
                <w:color w:val="auto"/>
              </w:rPr>
            </w:pPr>
            <w:r>
              <w:rPr>
                <w:rFonts w:ascii="Arial" w:cs="Arial" w:eastAsia="Arial" w:hAnsi="Arial"/>
                <w:sz w:val="9"/>
                <w:szCs w:val="9"/>
                <w:b w:val="1"/>
                <w:bCs w:val="1"/>
                <w:color w:val="auto"/>
              </w:rPr>
              <w:t>Preferred Stock</w:t>
            </w:r>
          </w:p>
        </w:tc>
        <w:tc>
          <w:tcPr>
            <w:tcW w:w="1020" w:type="dxa"/>
            <w:vAlign w:val="bottom"/>
            <w:gridSpan w:val="4"/>
          </w:tcPr>
          <w:p>
            <w:pPr>
              <w:jc w:val="center"/>
              <w:ind w:right="200"/>
              <w:spacing w:after="0"/>
              <w:rPr>
                <w:sz w:val="20"/>
                <w:szCs w:val="20"/>
                <w:color w:val="auto"/>
              </w:rPr>
            </w:pPr>
            <w:r>
              <w:rPr>
                <w:rFonts w:ascii="Arial" w:cs="Arial" w:eastAsia="Arial" w:hAnsi="Arial"/>
                <w:sz w:val="9"/>
                <w:szCs w:val="9"/>
                <w:b w:val="1"/>
                <w:bCs w:val="1"/>
                <w:color w:val="auto"/>
                <w:w w:val="92"/>
              </w:rPr>
              <w:t>Preferred Stock</w:t>
            </w:r>
          </w:p>
        </w:tc>
        <w:tc>
          <w:tcPr>
            <w:tcW w:w="1000" w:type="dxa"/>
            <w:vAlign w:val="bottom"/>
            <w:gridSpan w:val="4"/>
          </w:tcPr>
          <w:p>
            <w:pPr>
              <w:jc w:val="right"/>
              <w:ind w:right="260"/>
              <w:spacing w:after="0"/>
              <w:rPr>
                <w:sz w:val="20"/>
                <w:szCs w:val="20"/>
                <w:color w:val="auto"/>
              </w:rPr>
            </w:pPr>
            <w:r>
              <w:rPr>
                <w:rFonts w:ascii="Arial" w:cs="Arial" w:eastAsia="Arial" w:hAnsi="Arial"/>
                <w:sz w:val="9"/>
                <w:szCs w:val="9"/>
                <w:b w:val="1"/>
                <w:bCs w:val="1"/>
                <w:color w:val="auto"/>
              </w:rPr>
              <w:t>Preferred Stock</w:t>
            </w:r>
          </w:p>
        </w:tc>
        <w:tc>
          <w:tcPr>
            <w:tcW w:w="680" w:type="dxa"/>
            <w:vAlign w:val="bottom"/>
            <w:gridSpan w:val="3"/>
          </w:tcPr>
          <w:p>
            <w:pPr>
              <w:ind w:left="60"/>
              <w:spacing w:after="0"/>
              <w:rPr>
                <w:sz w:val="20"/>
                <w:szCs w:val="20"/>
                <w:color w:val="auto"/>
              </w:rPr>
            </w:pPr>
            <w:r>
              <w:rPr>
                <w:rFonts w:ascii="Arial" w:cs="Arial" w:eastAsia="Arial" w:hAnsi="Arial"/>
                <w:sz w:val="9"/>
                <w:szCs w:val="9"/>
                <w:b w:val="1"/>
                <w:bCs w:val="1"/>
                <w:color w:val="auto"/>
                <w:w w:val="87"/>
              </w:rPr>
              <w:t>Common Stock</w:t>
            </w:r>
          </w:p>
        </w:tc>
        <w:tc>
          <w:tcPr>
            <w:tcW w:w="180" w:type="dxa"/>
            <w:vAlign w:val="bottom"/>
          </w:tcPr>
          <w:p>
            <w:pPr>
              <w:spacing w:after="0"/>
              <w:rPr>
                <w:sz w:val="9"/>
                <w:szCs w:val="9"/>
                <w:color w:val="auto"/>
              </w:rPr>
            </w:pPr>
          </w:p>
        </w:tc>
        <w:tc>
          <w:tcPr>
            <w:tcW w:w="980" w:type="dxa"/>
            <w:vAlign w:val="bottom"/>
            <w:gridSpan w:val="4"/>
          </w:tcPr>
          <w:p>
            <w:pPr>
              <w:jc w:val="right"/>
              <w:ind w:right="214"/>
              <w:spacing w:after="0"/>
              <w:rPr>
                <w:sz w:val="20"/>
                <w:szCs w:val="20"/>
                <w:color w:val="auto"/>
              </w:rPr>
            </w:pPr>
            <w:r>
              <w:rPr>
                <w:rFonts w:ascii="Arial" w:cs="Arial" w:eastAsia="Arial" w:hAnsi="Arial"/>
                <w:sz w:val="9"/>
                <w:szCs w:val="9"/>
                <w:b w:val="1"/>
                <w:bCs w:val="1"/>
                <w:color w:val="auto"/>
              </w:rPr>
              <w:t>Common Stock</w:t>
            </w:r>
          </w:p>
        </w:tc>
        <w:tc>
          <w:tcPr>
            <w:tcW w:w="520" w:type="dxa"/>
            <w:vAlign w:val="bottom"/>
            <w:gridSpan w:val="2"/>
          </w:tcPr>
          <w:p>
            <w:pPr>
              <w:jc w:val="center"/>
              <w:ind w:right="100"/>
              <w:spacing w:after="0"/>
              <w:rPr>
                <w:sz w:val="20"/>
                <w:szCs w:val="20"/>
                <w:color w:val="auto"/>
              </w:rPr>
            </w:pPr>
            <w:r>
              <w:rPr>
                <w:rFonts w:ascii="Arial" w:cs="Arial" w:eastAsia="Arial" w:hAnsi="Arial"/>
                <w:sz w:val="9"/>
                <w:szCs w:val="9"/>
                <w:b w:val="1"/>
                <w:bCs w:val="1"/>
                <w:color w:val="auto"/>
                <w:w w:val="90"/>
              </w:rPr>
              <w:t>Paid-in-</w:t>
            </w:r>
          </w:p>
        </w:tc>
        <w:tc>
          <w:tcPr>
            <w:tcW w:w="60" w:type="dxa"/>
            <w:vAlign w:val="bottom"/>
          </w:tcPr>
          <w:p>
            <w:pPr>
              <w:spacing w:after="0"/>
              <w:rPr>
                <w:sz w:val="9"/>
                <w:szCs w:val="9"/>
                <w:color w:val="auto"/>
              </w:rPr>
            </w:pPr>
          </w:p>
        </w:tc>
        <w:tc>
          <w:tcPr>
            <w:tcW w:w="680" w:type="dxa"/>
            <w:vAlign w:val="bottom"/>
            <w:gridSpan w:val="2"/>
          </w:tcPr>
          <w:p>
            <w:pPr>
              <w:jc w:val="right"/>
              <w:ind w:right="160"/>
              <w:spacing w:after="0"/>
              <w:rPr>
                <w:sz w:val="20"/>
                <w:szCs w:val="20"/>
                <w:color w:val="auto"/>
              </w:rPr>
            </w:pPr>
            <w:r>
              <w:rPr>
                <w:rFonts w:ascii="Arial" w:cs="Arial" w:eastAsia="Arial" w:hAnsi="Arial"/>
                <w:sz w:val="9"/>
                <w:szCs w:val="9"/>
                <w:b w:val="1"/>
                <w:bCs w:val="1"/>
                <w:color w:val="auto"/>
                <w:w w:val="88"/>
              </w:rPr>
              <w:t>Accumulated</w:t>
            </w:r>
          </w:p>
        </w:tc>
        <w:tc>
          <w:tcPr>
            <w:tcW w:w="56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88"/>
        </w:trPr>
        <w:tc>
          <w:tcPr>
            <w:tcW w:w="20" w:type="dxa"/>
            <w:vAlign w:val="bottom"/>
          </w:tcPr>
          <w:p>
            <w:pPr>
              <w:spacing w:after="0"/>
              <w:rPr>
                <w:sz w:val="7"/>
                <w:szCs w:val="7"/>
                <w:color w:val="auto"/>
              </w:rPr>
            </w:pPr>
          </w:p>
        </w:tc>
        <w:tc>
          <w:tcPr>
            <w:tcW w:w="520" w:type="dxa"/>
            <w:vAlign w:val="bottom"/>
          </w:tcPr>
          <w:p>
            <w:pPr>
              <w:spacing w:after="0"/>
              <w:rPr>
                <w:sz w:val="7"/>
                <w:szCs w:val="7"/>
                <w:color w:val="auto"/>
              </w:rPr>
            </w:pPr>
          </w:p>
        </w:tc>
        <w:tc>
          <w:tcPr>
            <w:tcW w:w="400" w:type="dxa"/>
            <w:vAlign w:val="bottom"/>
            <w:tcBorders>
              <w:top w:val="single" w:sz="8" w:color="auto"/>
            </w:tcBorders>
          </w:tcPr>
          <w:p>
            <w:pPr>
              <w:jc w:val="right"/>
              <w:ind w:right="54"/>
              <w:spacing w:after="0" w:line="88" w:lineRule="exact"/>
              <w:rPr>
                <w:sz w:val="20"/>
                <w:szCs w:val="20"/>
                <w:color w:val="auto"/>
              </w:rPr>
            </w:pPr>
            <w:r>
              <w:rPr>
                <w:rFonts w:ascii="Arial" w:cs="Arial" w:eastAsia="Arial" w:hAnsi="Arial"/>
                <w:sz w:val="9"/>
                <w:szCs w:val="9"/>
                <w:b w:val="1"/>
                <w:bCs w:val="1"/>
                <w:color w:val="auto"/>
                <w:w w:val="93"/>
              </w:rPr>
              <w:t>Shares</w:t>
            </w:r>
          </w:p>
        </w:tc>
        <w:tc>
          <w:tcPr>
            <w:tcW w:w="540" w:type="dxa"/>
            <w:vAlign w:val="bottom"/>
            <w:tcBorders>
              <w:top w:val="single" w:sz="8" w:color="auto"/>
            </w:tcBorders>
          </w:tcPr>
          <w:p>
            <w:pPr>
              <w:jc w:val="right"/>
              <w:ind w:right="94"/>
              <w:spacing w:after="0" w:line="88" w:lineRule="exact"/>
              <w:rPr>
                <w:sz w:val="20"/>
                <w:szCs w:val="20"/>
                <w:color w:val="auto"/>
              </w:rPr>
            </w:pPr>
            <w:r>
              <w:rPr>
                <w:rFonts w:ascii="Arial" w:cs="Arial" w:eastAsia="Arial" w:hAnsi="Arial"/>
                <w:sz w:val="9"/>
                <w:szCs w:val="9"/>
                <w:b w:val="1"/>
                <w:bCs w:val="1"/>
                <w:color w:val="auto"/>
              </w:rPr>
              <w:t>Amount</w:t>
            </w:r>
          </w:p>
        </w:tc>
        <w:tc>
          <w:tcPr>
            <w:tcW w:w="460" w:type="dxa"/>
            <w:vAlign w:val="bottom"/>
            <w:tcBorders>
              <w:top w:val="single" w:sz="8" w:color="auto"/>
            </w:tcBorders>
            <w:gridSpan w:val="2"/>
          </w:tcPr>
          <w:p>
            <w:pPr>
              <w:ind w:left="40"/>
              <w:spacing w:after="0" w:line="88" w:lineRule="exact"/>
              <w:rPr>
                <w:sz w:val="20"/>
                <w:szCs w:val="20"/>
                <w:color w:val="auto"/>
              </w:rPr>
            </w:pPr>
            <w:r>
              <w:rPr>
                <w:rFonts w:ascii="Arial" w:cs="Arial" w:eastAsia="Arial" w:hAnsi="Arial"/>
                <w:sz w:val="9"/>
                <w:szCs w:val="9"/>
                <w:b w:val="1"/>
                <w:bCs w:val="1"/>
                <w:color w:val="auto"/>
              </w:rPr>
              <w:t>Shares</w:t>
            </w:r>
          </w:p>
        </w:tc>
        <w:tc>
          <w:tcPr>
            <w:tcW w:w="500" w:type="dxa"/>
            <w:vAlign w:val="bottom"/>
            <w:tcBorders>
              <w:top w:val="single" w:sz="8" w:color="auto"/>
            </w:tcBorders>
          </w:tcPr>
          <w:p>
            <w:pPr>
              <w:jc w:val="right"/>
              <w:ind w:right="94"/>
              <w:spacing w:after="0" w:line="88" w:lineRule="exact"/>
              <w:rPr>
                <w:sz w:val="20"/>
                <w:szCs w:val="20"/>
                <w:color w:val="auto"/>
              </w:rPr>
            </w:pPr>
            <w:r>
              <w:rPr>
                <w:rFonts w:ascii="Arial" w:cs="Arial" w:eastAsia="Arial" w:hAnsi="Arial"/>
                <w:sz w:val="9"/>
                <w:szCs w:val="9"/>
                <w:b w:val="1"/>
                <w:bCs w:val="1"/>
                <w:color w:val="auto"/>
                <w:w w:val="99"/>
              </w:rPr>
              <w:t>Amount</w:t>
            </w:r>
          </w:p>
        </w:tc>
        <w:tc>
          <w:tcPr>
            <w:tcW w:w="480" w:type="dxa"/>
            <w:vAlign w:val="bottom"/>
            <w:tcBorders>
              <w:top w:val="single" w:sz="8" w:color="auto"/>
            </w:tcBorders>
            <w:gridSpan w:val="2"/>
          </w:tcPr>
          <w:p>
            <w:pPr>
              <w:jc w:val="right"/>
              <w:ind w:right="160"/>
              <w:spacing w:after="0" w:line="88" w:lineRule="exact"/>
              <w:rPr>
                <w:sz w:val="20"/>
                <w:szCs w:val="20"/>
                <w:color w:val="auto"/>
              </w:rPr>
            </w:pPr>
            <w:r>
              <w:rPr>
                <w:rFonts w:ascii="Arial" w:cs="Arial" w:eastAsia="Arial" w:hAnsi="Arial"/>
                <w:sz w:val="9"/>
                <w:szCs w:val="9"/>
                <w:b w:val="1"/>
                <w:bCs w:val="1"/>
                <w:color w:val="auto"/>
                <w:w w:val="99"/>
              </w:rPr>
              <w:t>Shares</w:t>
            </w:r>
          </w:p>
        </w:tc>
        <w:tc>
          <w:tcPr>
            <w:tcW w:w="60" w:type="dxa"/>
            <w:vAlign w:val="bottom"/>
            <w:tcBorders>
              <w:top w:val="single" w:sz="8" w:color="auto"/>
            </w:tcBorders>
          </w:tcPr>
          <w:p>
            <w:pPr>
              <w:spacing w:after="0"/>
              <w:rPr>
                <w:sz w:val="7"/>
                <w:szCs w:val="7"/>
                <w:color w:val="auto"/>
              </w:rPr>
            </w:pPr>
          </w:p>
        </w:tc>
        <w:tc>
          <w:tcPr>
            <w:tcW w:w="400" w:type="dxa"/>
            <w:vAlign w:val="bottom"/>
            <w:tcBorders>
              <w:top w:val="single" w:sz="8" w:color="auto"/>
            </w:tcBorders>
          </w:tcPr>
          <w:p>
            <w:pPr>
              <w:jc w:val="right"/>
              <w:ind w:right="14"/>
              <w:spacing w:after="0" w:line="88" w:lineRule="exact"/>
              <w:rPr>
                <w:sz w:val="20"/>
                <w:szCs w:val="20"/>
                <w:color w:val="auto"/>
              </w:rPr>
            </w:pPr>
            <w:r>
              <w:rPr>
                <w:rFonts w:ascii="Arial" w:cs="Arial" w:eastAsia="Arial" w:hAnsi="Arial"/>
                <w:sz w:val="9"/>
                <w:szCs w:val="9"/>
                <w:b w:val="1"/>
                <w:bCs w:val="1"/>
                <w:color w:val="auto"/>
                <w:w w:val="93"/>
              </w:rPr>
              <w:t>Amount</w:t>
            </w:r>
          </w:p>
        </w:tc>
        <w:tc>
          <w:tcPr>
            <w:tcW w:w="120" w:type="dxa"/>
            <w:vAlign w:val="bottom"/>
          </w:tcPr>
          <w:p>
            <w:pPr>
              <w:spacing w:after="0"/>
              <w:rPr>
                <w:sz w:val="7"/>
                <w:szCs w:val="7"/>
                <w:color w:val="auto"/>
              </w:rPr>
            </w:pPr>
          </w:p>
        </w:tc>
        <w:tc>
          <w:tcPr>
            <w:tcW w:w="440" w:type="dxa"/>
            <w:vAlign w:val="bottom"/>
            <w:tcBorders>
              <w:top w:val="single" w:sz="8" w:color="auto"/>
            </w:tcBorders>
          </w:tcPr>
          <w:p>
            <w:pPr>
              <w:jc w:val="right"/>
              <w:ind w:right="94"/>
              <w:spacing w:after="0" w:line="88" w:lineRule="exact"/>
              <w:rPr>
                <w:sz w:val="20"/>
                <w:szCs w:val="20"/>
                <w:color w:val="auto"/>
              </w:rPr>
            </w:pPr>
            <w:r>
              <w:rPr>
                <w:rFonts w:ascii="Arial" w:cs="Arial" w:eastAsia="Arial" w:hAnsi="Arial"/>
                <w:sz w:val="9"/>
                <w:szCs w:val="9"/>
                <w:b w:val="1"/>
                <w:bCs w:val="1"/>
                <w:color w:val="auto"/>
                <w:w w:val="93"/>
              </w:rPr>
              <w:t>Shares</w:t>
            </w:r>
          </w:p>
        </w:tc>
        <w:tc>
          <w:tcPr>
            <w:tcW w:w="60" w:type="dxa"/>
            <w:vAlign w:val="bottom"/>
            <w:tcBorders>
              <w:top w:val="single" w:sz="8" w:color="auto"/>
            </w:tcBorders>
          </w:tcPr>
          <w:p>
            <w:pPr>
              <w:spacing w:after="0"/>
              <w:rPr>
                <w:sz w:val="7"/>
                <w:szCs w:val="7"/>
                <w:color w:val="auto"/>
              </w:rPr>
            </w:pPr>
          </w:p>
        </w:tc>
        <w:tc>
          <w:tcPr>
            <w:tcW w:w="400" w:type="dxa"/>
            <w:vAlign w:val="bottom"/>
            <w:tcBorders>
              <w:top w:val="single" w:sz="8" w:color="auto"/>
            </w:tcBorders>
          </w:tcPr>
          <w:p>
            <w:pPr>
              <w:jc w:val="right"/>
              <w:ind w:right="34"/>
              <w:spacing w:after="0" w:line="88" w:lineRule="exact"/>
              <w:rPr>
                <w:sz w:val="20"/>
                <w:szCs w:val="20"/>
                <w:color w:val="auto"/>
              </w:rPr>
            </w:pPr>
            <w:r>
              <w:rPr>
                <w:rFonts w:ascii="Arial" w:cs="Arial" w:eastAsia="Arial" w:hAnsi="Arial"/>
                <w:sz w:val="9"/>
                <w:szCs w:val="9"/>
                <w:b w:val="1"/>
                <w:bCs w:val="1"/>
                <w:color w:val="auto"/>
                <w:w w:val="88"/>
              </w:rPr>
              <w:t>Amount</w:t>
            </w:r>
          </w:p>
        </w:tc>
        <w:tc>
          <w:tcPr>
            <w:tcW w:w="120" w:type="dxa"/>
            <w:vAlign w:val="bottom"/>
          </w:tcPr>
          <w:p>
            <w:pPr>
              <w:spacing w:after="0"/>
              <w:rPr>
                <w:sz w:val="7"/>
                <w:szCs w:val="7"/>
                <w:color w:val="auto"/>
              </w:rPr>
            </w:pPr>
          </w:p>
        </w:tc>
        <w:tc>
          <w:tcPr>
            <w:tcW w:w="460" w:type="dxa"/>
            <w:vAlign w:val="bottom"/>
            <w:tcBorders>
              <w:top w:val="single" w:sz="8" w:color="auto"/>
            </w:tcBorders>
            <w:gridSpan w:val="2"/>
          </w:tcPr>
          <w:p>
            <w:pPr>
              <w:jc w:val="right"/>
              <w:ind w:right="160"/>
              <w:spacing w:after="0" w:line="88" w:lineRule="exact"/>
              <w:rPr>
                <w:sz w:val="20"/>
                <w:szCs w:val="20"/>
                <w:color w:val="auto"/>
              </w:rPr>
            </w:pPr>
            <w:r>
              <w:rPr>
                <w:rFonts w:ascii="Arial" w:cs="Arial" w:eastAsia="Arial" w:hAnsi="Arial"/>
                <w:sz w:val="9"/>
                <w:szCs w:val="9"/>
                <w:b w:val="1"/>
                <w:bCs w:val="1"/>
                <w:color w:val="auto"/>
                <w:w w:val="93"/>
              </w:rPr>
              <w:t>Shares</w:t>
            </w:r>
          </w:p>
        </w:tc>
        <w:tc>
          <w:tcPr>
            <w:tcW w:w="40" w:type="dxa"/>
            <w:vAlign w:val="bottom"/>
            <w:tcBorders>
              <w:top w:val="single" w:sz="8" w:color="auto"/>
            </w:tcBorders>
          </w:tcPr>
          <w:p>
            <w:pPr>
              <w:spacing w:after="0"/>
              <w:rPr>
                <w:sz w:val="7"/>
                <w:szCs w:val="7"/>
                <w:color w:val="auto"/>
              </w:rPr>
            </w:pPr>
          </w:p>
        </w:tc>
        <w:tc>
          <w:tcPr>
            <w:tcW w:w="420" w:type="dxa"/>
            <w:vAlign w:val="bottom"/>
            <w:tcBorders>
              <w:top w:val="single" w:sz="8" w:color="auto"/>
            </w:tcBorders>
          </w:tcPr>
          <w:p>
            <w:pPr>
              <w:jc w:val="right"/>
              <w:ind w:right="34"/>
              <w:spacing w:after="0" w:line="88" w:lineRule="exact"/>
              <w:rPr>
                <w:sz w:val="20"/>
                <w:szCs w:val="20"/>
                <w:color w:val="auto"/>
              </w:rPr>
            </w:pPr>
            <w:r>
              <w:rPr>
                <w:rFonts w:ascii="Arial" w:cs="Arial" w:eastAsia="Arial" w:hAnsi="Arial"/>
                <w:sz w:val="9"/>
                <w:szCs w:val="9"/>
                <w:b w:val="1"/>
                <w:bCs w:val="1"/>
                <w:color w:val="auto"/>
                <w:w w:val="93"/>
              </w:rPr>
              <w:t>Amount</w:t>
            </w:r>
          </w:p>
        </w:tc>
        <w:tc>
          <w:tcPr>
            <w:tcW w:w="160" w:type="dxa"/>
            <w:vAlign w:val="bottom"/>
          </w:tcPr>
          <w:p>
            <w:pPr>
              <w:spacing w:after="0"/>
              <w:rPr>
                <w:sz w:val="7"/>
                <w:szCs w:val="7"/>
                <w:color w:val="auto"/>
              </w:rPr>
            </w:pPr>
          </w:p>
        </w:tc>
        <w:tc>
          <w:tcPr>
            <w:tcW w:w="440" w:type="dxa"/>
            <w:vAlign w:val="bottom"/>
            <w:tcBorders>
              <w:top w:val="single" w:sz="8" w:color="auto"/>
            </w:tcBorders>
            <w:gridSpan w:val="2"/>
          </w:tcPr>
          <w:p>
            <w:pPr>
              <w:jc w:val="right"/>
              <w:ind w:right="160"/>
              <w:spacing w:after="0" w:line="88" w:lineRule="exact"/>
              <w:rPr>
                <w:sz w:val="20"/>
                <w:szCs w:val="20"/>
                <w:color w:val="auto"/>
              </w:rPr>
            </w:pPr>
            <w:r>
              <w:rPr>
                <w:rFonts w:ascii="Arial" w:cs="Arial" w:eastAsia="Arial" w:hAnsi="Arial"/>
                <w:sz w:val="9"/>
                <w:szCs w:val="9"/>
                <w:b w:val="1"/>
                <w:bCs w:val="1"/>
                <w:color w:val="auto"/>
                <w:w w:val="86"/>
              </w:rPr>
              <w:t>Shares</w:t>
            </w:r>
          </w:p>
        </w:tc>
        <w:tc>
          <w:tcPr>
            <w:tcW w:w="440" w:type="dxa"/>
            <w:vAlign w:val="bottom"/>
            <w:tcBorders>
              <w:top w:val="single" w:sz="8" w:color="auto"/>
            </w:tcBorders>
          </w:tcPr>
          <w:p>
            <w:pPr>
              <w:jc w:val="right"/>
              <w:ind w:right="14"/>
              <w:spacing w:after="0" w:line="88" w:lineRule="exact"/>
              <w:rPr>
                <w:sz w:val="20"/>
                <w:szCs w:val="20"/>
                <w:color w:val="auto"/>
              </w:rPr>
            </w:pPr>
            <w:r>
              <w:rPr>
                <w:rFonts w:ascii="Arial" w:cs="Arial" w:eastAsia="Arial" w:hAnsi="Arial"/>
                <w:sz w:val="9"/>
                <w:szCs w:val="9"/>
                <w:b w:val="1"/>
                <w:bCs w:val="1"/>
                <w:color w:val="auto"/>
              </w:rPr>
              <w:t>Amount</w:t>
            </w:r>
          </w:p>
        </w:tc>
        <w:tc>
          <w:tcPr>
            <w:tcW w:w="140" w:type="dxa"/>
            <w:vAlign w:val="bottom"/>
          </w:tcPr>
          <w:p>
            <w:pPr>
              <w:spacing w:after="0"/>
              <w:rPr>
                <w:sz w:val="7"/>
                <w:szCs w:val="7"/>
                <w:color w:val="auto"/>
              </w:rPr>
            </w:pPr>
          </w:p>
        </w:tc>
        <w:tc>
          <w:tcPr>
            <w:tcW w:w="460" w:type="dxa"/>
            <w:vAlign w:val="bottom"/>
            <w:tcBorders>
              <w:top w:val="single" w:sz="8" w:color="auto"/>
            </w:tcBorders>
            <w:gridSpan w:val="2"/>
          </w:tcPr>
          <w:p>
            <w:pPr>
              <w:ind w:left="20"/>
              <w:spacing w:after="0" w:line="88" w:lineRule="exact"/>
              <w:rPr>
                <w:sz w:val="20"/>
                <w:szCs w:val="20"/>
                <w:color w:val="auto"/>
              </w:rPr>
            </w:pPr>
            <w:r>
              <w:rPr>
                <w:rFonts w:ascii="Arial" w:cs="Arial" w:eastAsia="Arial" w:hAnsi="Arial"/>
                <w:sz w:val="9"/>
                <w:szCs w:val="9"/>
                <w:b w:val="1"/>
                <w:bCs w:val="1"/>
                <w:color w:val="auto"/>
              </w:rPr>
              <w:t>Shares</w:t>
            </w:r>
          </w:p>
        </w:tc>
        <w:tc>
          <w:tcPr>
            <w:tcW w:w="440" w:type="dxa"/>
            <w:vAlign w:val="bottom"/>
            <w:tcBorders>
              <w:top w:val="single" w:sz="8" w:color="auto"/>
            </w:tcBorders>
          </w:tcPr>
          <w:p>
            <w:pPr>
              <w:jc w:val="right"/>
              <w:ind w:right="14"/>
              <w:spacing w:after="0" w:line="88" w:lineRule="exact"/>
              <w:rPr>
                <w:sz w:val="20"/>
                <w:szCs w:val="20"/>
                <w:color w:val="auto"/>
              </w:rPr>
            </w:pPr>
            <w:r>
              <w:rPr>
                <w:rFonts w:ascii="Arial" w:cs="Arial" w:eastAsia="Arial" w:hAnsi="Arial"/>
                <w:sz w:val="9"/>
                <w:szCs w:val="9"/>
                <w:b w:val="1"/>
                <w:bCs w:val="1"/>
                <w:color w:val="auto"/>
              </w:rPr>
              <w:t>Amount</w:t>
            </w:r>
          </w:p>
        </w:tc>
        <w:tc>
          <w:tcPr>
            <w:tcW w:w="100" w:type="dxa"/>
            <w:vAlign w:val="bottom"/>
          </w:tcPr>
          <w:p>
            <w:pPr>
              <w:spacing w:after="0"/>
              <w:rPr>
                <w:sz w:val="7"/>
                <w:szCs w:val="7"/>
                <w:color w:val="auto"/>
              </w:rPr>
            </w:pPr>
          </w:p>
        </w:tc>
        <w:tc>
          <w:tcPr>
            <w:tcW w:w="380" w:type="dxa"/>
            <w:vAlign w:val="bottom"/>
            <w:tcBorders>
              <w:top w:val="single" w:sz="8" w:color="auto"/>
            </w:tcBorders>
            <w:gridSpan w:val="2"/>
          </w:tcPr>
          <w:p>
            <w:pPr>
              <w:jc w:val="right"/>
              <w:ind w:right="100"/>
              <w:spacing w:after="0" w:line="88" w:lineRule="exact"/>
              <w:rPr>
                <w:sz w:val="20"/>
                <w:szCs w:val="20"/>
                <w:color w:val="auto"/>
              </w:rPr>
            </w:pPr>
            <w:r>
              <w:rPr>
                <w:rFonts w:ascii="Arial" w:cs="Arial" w:eastAsia="Arial" w:hAnsi="Arial"/>
                <w:sz w:val="9"/>
                <w:szCs w:val="9"/>
                <w:b w:val="1"/>
                <w:bCs w:val="1"/>
                <w:color w:val="auto"/>
                <w:w w:val="86"/>
              </w:rPr>
              <w:t>Shares</w:t>
            </w:r>
          </w:p>
        </w:tc>
        <w:tc>
          <w:tcPr>
            <w:tcW w:w="300" w:type="dxa"/>
            <w:vAlign w:val="bottom"/>
            <w:tcBorders>
              <w:top w:val="single" w:sz="8" w:color="auto"/>
            </w:tcBorders>
          </w:tcPr>
          <w:p>
            <w:pPr>
              <w:ind w:left="20"/>
              <w:spacing w:after="0" w:line="88" w:lineRule="exact"/>
              <w:rPr>
                <w:sz w:val="20"/>
                <w:szCs w:val="20"/>
                <w:color w:val="auto"/>
              </w:rPr>
            </w:pPr>
            <w:r>
              <w:rPr>
                <w:rFonts w:ascii="Arial" w:cs="Arial" w:eastAsia="Arial" w:hAnsi="Arial"/>
                <w:sz w:val="9"/>
                <w:szCs w:val="9"/>
                <w:b w:val="1"/>
                <w:bCs w:val="1"/>
                <w:color w:val="auto"/>
                <w:w w:val="70"/>
              </w:rPr>
              <w:t>Amount</w:t>
            </w:r>
          </w:p>
        </w:tc>
        <w:tc>
          <w:tcPr>
            <w:tcW w:w="180" w:type="dxa"/>
            <w:vAlign w:val="bottom"/>
          </w:tcPr>
          <w:p>
            <w:pPr>
              <w:spacing w:after="0"/>
              <w:rPr>
                <w:sz w:val="7"/>
                <w:szCs w:val="7"/>
                <w:color w:val="auto"/>
              </w:rPr>
            </w:pPr>
          </w:p>
        </w:tc>
        <w:tc>
          <w:tcPr>
            <w:tcW w:w="520" w:type="dxa"/>
            <w:vAlign w:val="bottom"/>
            <w:tcBorders>
              <w:top w:val="single" w:sz="8" w:color="auto"/>
            </w:tcBorders>
            <w:gridSpan w:val="2"/>
          </w:tcPr>
          <w:p>
            <w:pPr>
              <w:ind w:left="60"/>
              <w:spacing w:after="0" w:line="88" w:lineRule="exact"/>
              <w:rPr>
                <w:sz w:val="20"/>
                <w:szCs w:val="20"/>
                <w:color w:val="auto"/>
              </w:rPr>
            </w:pPr>
            <w:r>
              <w:rPr>
                <w:rFonts w:ascii="Arial" w:cs="Arial" w:eastAsia="Arial" w:hAnsi="Arial"/>
                <w:sz w:val="9"/>
                <w:szCs w:val="9"/>
                <w:b w:val="1"/>
                <w:bCs w:val="1"/>
                <w:color w:val="auto"/>
              </w:rPr>
              <w:t>Shares</w:t>
            </w:r>
          </w:p>
        </w:tc>
        <w:tc>
          <w:tcPr>
            <w:tcW w:w="460" w:type="dxa"/>
            <w:vAlign w:val="bottom"/>
            <w:tcBorders>
              <w:top w:val="single" w:sz="8" w:color="auto"/>
            </w:tcBorders>
            <w:gridSpan w:val="2"/>
          </w:tcPr>
          <w:p>
            <w:pPr>
              <w:jc w:val="right"/>
              <w:ind w:right="74"/>
              <w:spacing w:after="0" w:line="88" w:lineRule="exact"/>
              <w:rPr>
                <w:sz w:val="20"/>
                <w:szCs w:val="20"/>
                <w:color w:val="auto"/>
              </w:rPr>
            </w:pPr>
            <w:r>
              <w:rPr>
                <w:rFonts w:ascii="Arial" w:cs="Arial" w:eastAsia="Arial" w:hAnsi="Arial"/>
                <w:sz w:val="9"/>
                <w:szCs w:val="9"/>
                <w:b w:val="1"/>
                <w:bCs w:val="1"/>
                <w:color w:val="auto"/>
                <w:w w:val="93"/>
              </w:rPr>
              <w:t>Amount</w:t>
            </w:r>
          </w:p>
        </w:tc>
        <w:tc>
          <w:tcPr>
            <w:tcW w:w="520" w:type="dxa"/>
            <w:vAlign w:val="bottom"/>
            <w:gridSpan w:val="2"/>
          </w:tcPr>
          <w:p>
            <w:pPr>
              <w:jc w:val="center"/>
              <w:ind w:right="100"/>
              <w:spacing w:after="0" w:line="88" w:lineRule="exact"/>
              <w:rPr>
                <w:sz w:val="20"/>
                <w:szCs w:val="20"/>
                <w:color w:val="auto"/>
              </w:rPr>
            </w:pPr>
            <w:r>
              <w:rPr>
                <w:rFonts w:ascii="Arial" w:cs="Arial" w:eastAsia="Arial" w:hAnsi="Arial"/>
                <w:sz w:val="9"/>
                <w:szCs w:val="9"/>
                <w:b w:val="1"/>
                <w:bCs w:val="1"/>
                <w:color w:val="auto"/>
                <w:w w:val="91"/>
              </w:rPr>
              <w:t>capital</w:t>
            </w:r>
          </w:p>
        </w:tc>
        <w:tc>
          <w:tcPr>
            <w:tcW w:w="60" w:type="dxa"/>
            <w:vAlign w:val="bottom"/>
          </w:tcPr>
          <w:p>
            <w:pPr>
              <w:spacing w:after="0"/>
              <w:rPr>
                <w:sz w:val="7"/>
                <w:szCs w:val="7"/>
                <w:color w:val="auto"/>
              </w:rPr>
            </w:pPr>
          </w:p>
        </w:tc>
        <w:tc>
          <w:tcPr>
            <w:tcW w:w="680" w:type="dxa"/>
            <w:vAlign w:val="bottom"/>
            <w:gridSpan w:val="2"/>
          </w:tcPr>
          <w:p>
            <w:pPr>
              <w:jc w:val="right"/>
              <w:ind w:right="300"/>
              <w:spacing w:after="0" w:line="88" w:lineRule="exact"/>
              <w:rPr>
                <w:sz w:val="20"/>
                <w:szCs w:val="20"/>
                <w:color w:val="auto"/>
              </w:rPr>
            </w:pPr>
            <w:r>
              <w:rPr>
                <w:rFonts w:ascii="Arial" w:cs="Arial" w:eastAsia="Arial" w:hAnsi="Arial"/>
                <w:sz w:val="9"/>
                <w:szCs w:val="9"/>
                <w:b w:val="1"/>
                <w:bCs w:val="1"/>
                <w:color w:val="auto"/>
              </w:rPr>
              <w:t>Deficit</w:t>
            </w:r>
          </w:p>
        </w:tc>
        <w:tc>
          <w:tcPr>
            <w:tcW w:w="560" w:type="dxa"/>
            <w:vAlign w:val="bottom"/>
          </w:tcPr>
          <w:p>
            <w:pPr>
              <w:jc w:val="right"/>
              <w:ind w:right="155"/>
              <w:spacing w:after="0" w:line="88" w:lineRule="exact"/>
              <w:rPr>
                <w:sz w:val="20"/>
                <w:szCs w:val="20"/>
                <w:color w:val="auto"/>
              </w:rPr>
            </w:pPr>
            <w:r>
              <w:rPr>
                <w:rFonts w:ascii="Arial" w:cs="Arial" w:eastAsia="Arial" w:hAnsi="Arial"/>
                <w:sz w:val="9"/>
                <w:szCs w:val="9"/>
                <w:b w:val="1"/>
                <w:bCs w:val="1"/>
                <w:color w:val="auto"/>
              </w:rPr>
              <w:t>Total</w:t>
            </w:r>
          </w:p>
        </w:tc>
        <w:tc>
          <w:tcPr>
            <w:tcW w:w="0" w:type="dxa"/>
            <w:vAlign w:val="bottom"/>
          </w:tcPr>
          <w:p>
            <w:pPr>
              <w:spacing w:after="0"/>
              <w:rPr>
                <w:sz w:val="1"/>
                <w:szCs w:val="1"/>
                <w:color w:val="auto"/>
              </w:rPr>
            </w:pPr>
          </w:p>
        </w:tc>
      </w:tr>
      <w:tr>
        <w:trPr>
          <w:trHeight w:val="65"/>
        </w:trPr>
        <w:tc>
          <w:tcPr>
            <w:tcW w:w="20" w:type="dxa"/>
            <w:vAlign w:val="bottom"/>
          </w:tcPr>
          <w:p>
            <w:pPr>
              <w:spacing w:after="0"/>
              <w:rPr>
                <w:sz w:val="5"/>
                <w:szCs w:val="5"/>
                <w:color w:val="auto"/>
              </w:rPr>
            </w:pPr>
          </w:p>
        </w:tc>
        <w:tc>
          <w:tcPr>
            <w:tcW w:w="520" w:type="dxa"/>
            <w:vAlign w:val="bottom"/>
            <w:tcBorders>
              <w:top w:val="single" w:sz="8" w:color="CCEEFF"/>
              <w:right w:val="single" w:sz="8" w:color="CCEEFF"/>
            </w:tcBorders>
            <w:shd w:val="clear" w:color="auto" w:fill="CCEEFF"/>
          </w:tcPr>
          <w:p>
            <w:pPr>
              <w:spacing w:after="0" w:line="65" w:lineRule="exact"/>
              <w:rPr>
                <w:sz w:val="20"/>
                <w:szCs w:val="20"/>
                <w:color w:val="auto"/>
              </w:rPr>
            </w:pPr>
            <w:r>
              <w:rPr>
                <w:rFonts w:ascii="Arial" w:cs="Arial" w:eastAsia="Arial" w:hAnsi="Arial"/>
                <w:sz w:val="7"/>
                <w:szCs w:val="7"/>
                <w:b w:val="1"/>
                <w:bCs w:val="1"/>
                <w:color w:val="auto"/>
              </w:rPr>
              <w:t>Balance -</w:t>
            </w:r>
          </w:p>
        </w:tc>
        <w:tc>
          <w:tcPr>
            <w:tcW w:w="400" w:type="dxa"/>
            <w:vAlign w:val="bottom"/>
            <w:tcBorders>
              <w:top w:val="single" w:sz="8" w:color="auto"/>
              <w:right w:val="single" w:sz="8" w:color="CCEEFF"/>
            </w:tcBorders>
            <w:shd w:val="clear" w:color="auto" w:fill="CCEEFF"/>
          </w:tcPr>
          <w:p>
            <w:pPr>
              <w:spacing w:after="0"/>
              <w:rPr>
                <w:sz w:val="5"/>
                <w:szCs w:val="5"/>
                <w:color w:val="auto"/>
              </w:rPr>
            </w:pPr>
          </w:p>
        </w:tc>
        <w:tc>
          <w:tcPr>
            <w:tcW w:w="540" w:type="dxa"/>
            <w:vAlign w:val="bottom"/>
            <w:tcBorders>
              <w:top w:val="single" w:sz="8" w:color="auto"/>
              <w:right w:val="single" w:sz="8" w:color="CCEEFF"/>
            </w:tcBorders>
            <w:shd w:val="clear" w:color="auto" w:fill="CCEEFF"/>
          </w:tcPr>
          <w:p>
            <w:pPr>
              <w:spacing w:after="0"/>
              <w:rPr>
                <w:sz w:val="5"/>
                <w:szCs w:val="5"/>
                <w:color w:val="auto"/>
              </w:rPr>
            </w:pPr>
          </w:p>
        </w:tc>
        <w:tc>
          <w:tcPr>
            <w:tcW w:w="380" w:type="dxa"/>
            <w:vAlign w:val="bottom"/>
            <w:tcBorders>
              <w:top w:val="single" w:sz="8" w:color="auto"/>
            </w:tcBorders>
            <w:shd w:val="clear" w:color="auto" w:fill="CCEEFF"/>
          </w:tcPr>
          <w:p>
            <w:pPr>
              <w:spacing w:after="0"/>
              <w:rPr>
                <w:sz w:val="5"/>
                <w:szCs w:val="5"/>
                <w:color w:val="auto"/>
              </w:rPr>
            </w:pPr>
          </w:p>
        </w:tc>
        <w:tc>
          <w:tcPr>
            <w:tcW w:w="80" w:type="dxa"/>
            <w:vAlign w:val="bottom"/>
            <w:tcBorders>
              <w:top w:val="single" w:sz="8" w:color="CCEEFF"/>
            </w:tcBorders>
            <w:shd w:val="clear" w:color="auto" w:fill="CCEEFF"/>
          </w:tcPr>
          <w:p>
            <w:pPr>
              <w:spacing w:after="0"/>
              <w:rPr>
                <w:sz w:val="5"/>
                <w:szCs w:val="5"/>
                <w:color w:val="auto"/>
              </w:rPr>
            </w:pPr>
          </w:p>
        </w:tc>
        <w:tc>
          <w:tcPr>
            <w:tcW w:w="500" w:type="dxa"/>
            <w:vAlign w:val="bottom"/>
            <w:tcBorders>
              <w:top w:val="single" w:sz="8" w:color="auto"/>
              <w:right w:val="single" w:sz="8" w:color="CCEEFF"/>
            </w:tcBorders>
            <w:shd w:val="clear" w:color="auto" w:fill="CCEEFF"/>
          </w:tcPr>
          <w:p>
            <w:pPr>
              <w:spacing w:after="0"/>
              <w:rPr>
                <w:sz w:val="5"/>
                <w:szCs w:val="5"/>
                <w:color w:val="auto"/>
              </w:rPr>
            </w:pPr>
          </w:p>
        </w:tc>
        <w:tc>
          <w:tcPr>
            <w:tcW w:w="400" w:type="dxa"/>
            <w:vAlign w:val="bottom"/>
            <w:tcBorders>
              <w:top w:val="single" w:sz="8" w:color="auto"/>
            </w:tcBorders>
            <w:shd w:val="clear" w:color="auto" w:fill="CCEEFF"/>
          </w:tcPr>
          <w:p>
            <w:pPr>
              <w:spacing w:after="0"/>
              <w:rPr>
                <w:sz w:val="5"/>
                <w:szCs w:val="5"/>
                <w:color w:val="auto"/>
              </w:rPr>
            </w:pPr>
          </w:p>
        </w:tc>
        <w:tc>
          <w:tcPr>
            <w:tcW w:w="80" w:type="dxa"/>
            <w:vAlign w:val="bottom"/>
            <w:tcBorders>
              <w:top w:val="single" w:sz="8" w:color="CCEEFF"/>
            </w:tcBorders>
            <w:shd w:val="clear" w:color="auto" w:fill="CCEEFF"/>
          </w:tcPr>
          <w:p>
            <w:pPr>
              <w:spacing w:after="0"/>
              <w:rPr>
                <w:sz w:val="5"/>
                <w:szCs w:val="5"/>
                <w:color w:val="auto"/>
              </w:rPr>
            </w:pPr>
          </w:p>
        </w:tc>
        <w:tc>
          <w:tcPr>
            <w:tcW w:w="60" w:type="dxa"/>
            <w:vAlign w:val="bottom"/>
            <w:tcBorders>
              <w:top w:val="single" w:sz="8" w:color="auto"/>
            </w:tcBorders>
            <w:shd w:val="clear" w:color="auto" w:fill="CCEEFF"/>
          </w:tcPr>
          <w:p>
            <w:pPr>
              <w:spacing w:after="0"/>
              <w:rPr>
                <w:sz w:val="5"/>
                <w:szCs w:val="5"/>
                <w:color w:val="auto"/>
              </w:rPr>
            </w:pPr>
          </w:p>
        </w:tc>
        <w:tc>
          <w:tcPr>
            <w:tcW w:w="400" w:type="dxa"/>
            <w:vAlign w:val="bottom"/>
            <w:tcBorders>
              <w:top w:val="single" w:sz="8" w:color="auto"/>
            </w:tcBorders>
            <w:shd w:val="clear" w:color="auto" w:fill="CCEEFF"/>
          </w:tcPr>
          <w:p>
            <w:pPr>
              <w:spacing w:after="0"/>
              <w:rPr>
                <w:sz w:val="5"/>
                <w:szCs w:val="5"/>
                <w:color w:val="auto"/>
              </w:rPr>
            </w:pPr>
          </w:p>
        </w:tc>
        <w:tc>
          <w:tcPr>
            <w:tcW w:w="120" w:type="dxa"/>
            <w:vAlign w:val="bottom"/>
            <w:tcBorders>
              <w:top w:val="single" w:sz="8" w:color="CCEEFF"/>
              <w:right w:val="single" w:sz="8" w:color="CCEEFF"/>
            </w:tcBorders>
            <w:shd w:val="clear" w:color="auto" w:fill="CCEEFF"/>
          </w:tcPr>
          <w:p>
            <w:pPr>
              <w:spacing w:after="0"/>
              <w:rPr>
                <w:sz w:val="5"/>
                <w:szCs w:val="5"/>
                <w:color w:val="auto"/>
              </w:rPr>
            </w:pPr>
          </w:p>
        </w:tc>
        <w:tc>
          <w:tcPr>
            <w:tcW w:w="440" w:type="dxa"/>
            <w:vAlign w:val="bottom"/>
            <w:tcBorders>
              <w:top w:val="single" w:sz="8" w:color="auto"/>
              <w:right w:val="single" w:sz="8" w:color="CCEEFF"/>
            </w:tcBorders>
            <w:shd w:val="clear" w:color="auto" w:fill="CCEEFF"/>
          </w:tcPr>
          <w:p>
            <w:pPr>
              <w:spacing w:after="0"/>
              <w:rPr>
                <w:sz w:val="5"/>
                <w:szCs w:val="5"/>
                <w:color w:val="auto"/>
              </w:rPr>
            </w:pPr>
          </w:p>
        </w:tc>
        <w:tc>
          <w:tcPr>
            <w:tcW w:w="60" w:type="dxa"/>
            <w:vAlign w:val="bottom"/>
            <w:tcBorders>
              <w:top w:val="single" w:sz="8" w:color="auto"/>
            </w:tcBorders>
            <w:shd w:val="clear" w:color="auto" w:fill="CCEEFF"/>
          </w:tcPr>
          <w:p>
            <w:pPr>
              <w:spacing w:after="0"/>
              <w:rPr>
                <w:sz w:val="5"/>
                <w:szCs w:val="5"/>
                <w:color w:val="auto"/>
              </w:rPr>
            </w:pPr>
          </w:p>
        </w:tc>
        <w:tc>
          <w:tcPr>
            <w:tcW w:w="400" w:type="dxa"/>
            <w:vAlign w:val="bottom"/>
            <w:tcBorders>
              <w:top w:val="single" w:sz="8" w:color="auto"/>
            </w:tcBorders>
            <w:shd w:val="clear" w:color="auto" w:fill="CCEEFF"/>
          </w:tcPr>
          <w:p>
            <w:pPr>
              <w:spacing w:after="0"/>
              <w:rPr>
                <w:sz w:val="5"/>
                <w:szCs w:val="5"/>
                <w:color w:val="auto"/>
              </w:rPr>
            </w:pPr>
          </w:p>
        </w:tc>
        <w:tc>
          <w:tcPr>
            <w:tcW w:w="120" w:type="dxa"/>
            <w:vAlign w:val="bottom"/>
            <w:tcBorders>
              <w:top w:val="single" w:sz="8" w:color="CCEEFF"/>
              <w:right w:val="single" w:sz="8" w:color="CCEEFF"/>
            </w:tcBorders>
            <w:shd w:val="clear" w:color="auto" w:fill="CCEEFF"/>
          </w:tcPr>
          <w:p>
            <w:pPr>
              <w:spacing w:after="0"/>
              <w:rPr>
                <w:sz w:val="5"/>
                <w:szCs w:val="5"/>
                <w:color w:val="auto"/>
              </w:rPr>
            </w:pPr>
          </w:p>
        </w:tc>
        <w:tc>
          <w:tcPr>
            <w:tcW w:w="360" w:type="dxa"/>
            <w:vAlign w:val="bottom"/>
            <w:tcBorders>
              <w:top w:val="single" w:sz="8" w:color="auto"/>
            </w:tcBorders>
            <w:shd w:val="clear" w:color="auto" w:fill="CCEEFF"/>
          </w:tcPr>
          <w:p>
            <w:pPr>
              <w:spacing w:after="0"/>
              <w:rPr>
                <w:sz w:val="5"/>
                <w:szCs w:val="5"/>
                <w:color w:val="auto"/>
              </w:rPr>
            </w:pPr>
          </w:p>
        </w:tc>
        <w:tc>
          <w:tcPr>
            <w:tcW w:w="100" w:type="dxa"/>
            <w:vAlign w:val="bottom"/>
            <w:tcBorders>
              <w:top w:val="single" w:sz="8" w:color="CCEEFF"/>
            </w:tcBorders>
            <w:shd w:val="clear" w:color="auto" w:fill="CCEEFF"/>
          </w:tcPr>
          <w:p>
            <w:pPr>
              <w:spacing w:after="0"/>
              <w:rPr>
                <w:sz w:val="5"/>
                <w:szCs w:val="5"/>
                <w:color w:val="auto"/>
              </w:rPr>
            </w:pPr>
          </w:p>
        </w:tc>
        <w:tc>
          <w:tcPr>
            <w:tcW w:w="40" w:type="dxa"/>
            <w:vAlign w:val="bottom"/>
            <w:tcBorders>
              <w:top w:val="single" w:sz="8" w:color="auto"/>
            </w:tcBorders>
            <w:shd w:val="clear" w:color="auto" w:fill="CCEEFF"/>
          </w:tcPr>
          <w:p>
            <w:pPr>
              <w:spacing w:after="0"/>
              <w:rPr>
                <w:sz w:val="5"/>
                <w:szCs w:val="5"/>
                <w:color w:val="auto"/>
              </w:rPr>
            </w:pPr>
          </w:p>
        </w:tc>
        <w:tc>
          <w:tcPr>
            <w:tcW w:w="420" w:type="dxa"/>
            <w:vAlign w:val="bottom"/>
            <w:tcBorders>
              <w:top w:val="single" w:sz="8" w:color="auto"/>
            </w:tcBorders>
            <w:shd w:val="clear" w:color="auto" w:fill="CCEEFF"/>
          </w:tcPr>
          <w:p>
            <w:pPr>
              <w:spacing w:after="0"/>
              <w:rPr>
                <w:sz w:val="5"/>
                <w:szCs w:val="5"/>
                <w:color w:val="auto"/>
              </w:rPr>
            </w:pPr>
          </w:p>
        </w:tc>
        <w:tc>
          <w:tcPr>
            <w:tcW w:w="160" w:type="dxa"/>
            <w:vAlign w:val="bottom"/>
            <w:tcBorders>
              <w:top w:val="single" w:sz="8" w:color="CCEEFF"/>
              <w:right w:val="single" w:sz="8" w:color="CCEEFF"/>
            </w:tcBorders>
            <w:shd w:val="clear" w:color="auto" w:fill="CCEEFF"/>
          </w:tcPr>
          <w:p>
            <w:pPr>
              <w:spacing w:after="0"/>
              <w:rPr>
                <w:sz w:val="5"/>
                <w:szCs w:val="5"/>
                <w:color w:val="auto"/>
              </w:rPr>
            </w:pPr>
          </w:p>
        </w:tc>
        <w:tc>
          <w:tcPr>
            <w:tcW w:w="360" w:type="dxa"/>
            <w:vAlign w:val="bottom"/>
            <w:tcBorders>
              <w:top w:val="single" w:sz="8" w:color="auto"/>
            </w:tcBorders>
            <w:shd w:val="clear" w:color="auto" w:fill="CCEEFF"/>
          </w:tcPr>
          <w:p>
            <w:pPr>
              <w:spacing w:after="0"/>
              <w:rPr>
                <w:sz w:val="5"/>
                <w:szCs w:val="5"/>
                <w:color w:val="auto"/>
              </w:rPr>
            </w:pPr>
          </w:p>
        </w:tc>
        <w:tc>
          <w:tcPr>
            <w:tcW w:w="80" w:type="dxa"/>
            <w:vAlign w:val="bottom"/>
            <w:tcBorders>
              <w:top w:val="single" w:sz="8" w:color="CCEEFF"/>
            </w:tcBorders>
            <w:shd w:val="clear" w:color="auto" w:fill="CCEEFF"/>
          </w:tcPr>
          <w:p>
            <w:pPr>
              <w:spacing w:after="0"/>
              <w:rPr>
                <w:sz w:val="5"/>
                <w:szCs w:val="5"/>
                <w:color w:val="auto"/>
              </w:rPr>
            </w:pPr>
          </w:p>
        </w:tc>
        <w:tc>
          <w:tcPr>
            <w:tcW w:w="440" w:type="dxa"/>
            <w:vAlign w:val="bottom"/>
            <w:tcBorders>
              <w:top w:val="single" w:sz="8" w:color="auto"/>
            </w:tcBorders>
            <w:shd w:val="clear" w:color="auto" w:fill="CCEEFF"/>
          </w:tcPr>
          <w:p>
            <w:pPr>
              <w:spacing w:after="0"/>
              <w:rPr>
                <w:sz w:val="5"/>
                <w:szCs w:val="5"/>
                <w:color w:val="auto"/>
              </w:rPr>
            </w:pPr>
          </w:p>
        </w:tc>
        <w:tc>
          <w:tcPr>
            <w:tcW w:w="140" w:type="dxa"/>
            <w:vAlign w:val="bottom"/>
            <w:tcBorders>
              <w:top w:val="single" w:sz="8" w:color="CCEEFF"/>
              <w:right w:val="single" w:sz="8" w:color="CCEEFF"/>
            </w:tcBorders>
            <w:shd w:val="clear" w:color="auto" w:fill="CCEEFF"/>
          </w:tcPr>
          <w:p>
            <w:pPr>
              <w:spacing w:after="0"/>
              <w:rPr>
                <w:sz w:val="5"/>
                <w:szCs w:val="5"/>
                <w:color w:val="auto"/>
              </w:rPr>
            </w:pPr>
          </w:p>
        </w:tc>
        <w:tc>
          <w:tcPr>
            <w:tcW w:w="360" w:type="dxa"/>
            <w:vAlign w:val="bottom"/>
            <w:tcBorders>
              <w:top w:val="single" w:sz="8" w:color="auto"/>
            </w:tcBorders>
            <w:shd w:val="clear" w:color="auto" w:fill="CCEEFF"/>
          </w:tcPr>
          <w:p>
            <w:pPr>
              <w:spacing w:after="0"/>
              <w:rPr>
                <w:sz w:val="5"/>
                <w:szCs w:val="5"/>
                <w:color w:val="auto"/>
              </w:rPr>
            </w:pPr>
          </w:p>
        </w:tc>
        <w:tc>
          <w:tcPr>
            <w:tcW w:w="100" w:type="dxa"/>
            <w:vAlign w:val="bottom"/>
            <w:tcBorders>
              <w:top w:val="single" w:sz="8" w:color="CCEEFF"/>
            </w:tcBorders>
            <w:shd w:val="clear" w:color="auto" w:fill="CCEEFF"/>
          </w:tcPr>
          <w:p>
            <w:pPr>
              <w:spacing w:after="0"/>
              <w:rPr>
                <w:sz w:val="5"/>
                <w:szCs w:val="5"/>
                <w:color w:val="auto"/>
              </w:rPr>
            </w:pPr>
          </w:p>
        </w:tc>
        <w:tc>
          <w:tcPr>
            <w:tcW w:w="440" w:type="dxa"/>
            <w:vAlign w:val="bottom"/>
            <w:tcBorders>
              <w:top w:val="single" w:sz="8" w:color="auto"/>
            </w:tcBorders>
            <w:shd w:val="clear" w:color="auto" w:fill="CCEEFF"/>
          </w:tcPr>
          <w:p>
            <w:pPr>
              <w:spacing w:after="0"/>
              <w:rPr>
                <w:sz w:val="5"/>
                <w:szCs w:val="5"/>
                <w:color w:val="auto"/>
              </w:rPr>
            </w:pPr>
          </w:p>
        </w:tc>
        <w:tc>
          <w:tcPr>
            <w:tcW w:w="100" w:type="dxa"/>
            <w:vAlign w:val="bottom"/>
            <w:tcBorders>
              <w:top w:val="single" w:sz="8" w:color="CCEEFF"/>
            </w:tcBorders>
            <w:shd w:val="clear" w:color="auto" w:fill="CCEEFF"/>
          </w:tcPr>
          <w:p>
            <w:pPr>
              <w:spacing w:after="0"/>
              <w:rPr>
                <w:sz w:val="5"/>
                <w:szCs w:val="5"/>
                <w:color w:val="auto"/>
              </w:rPr>
            </w:pPr>
          </w:p>
        </w:tc>
        <w:tc>
          <w:tcPr>
            <w:tcW w:w="280" w:type="dxa"/>
            <w:vAlign w:val="bottom"/>
            <w:tcBorders>
              <w:top w:val="single" w:sz="8" w:color="auto"/>
            </w:tcBorders>
            <w:shd w:val="clear" w:color="auto" w:fill="CCEEFF"/>
          </w:tcPr>
          <w:p>
            <w:pPr>
              <w:spacing w:after="0"/>
              <w:rPr>
                <w:sz w:val="5"/>
                <w:szCs w:val="5"/>
                <w:color w:val="auto"/>
              </w:rPr>
            </w:pPr>
          </w:p>
        </w:tc>
        <w:tc>
          <w:tcPr>
            <w:tcW w:w="100" w:type="dxa"/>
            <w:vAlign w:val="bottom"/>
            <w:tcBorders>
              <w:top w:val="single" w:sz="8" w:color="CCEEFF"/>
            </w:tcBorders>
            <w:shd w:val="clear" w:color="auto" w:fill="CCEEFF"/>
          </w:tcPr>
          <w:p>
            <w:pPr>
              <w:spacing w:after="0"/>
              <w:rPr>
                <w:sz w:val="5"/>
                <w:szCs w:val="5"/>
                <w:color w:val="auto"/>
              </w:rPr>
            </w:pPr>
          </w:p>
        </w:tc>
        <w:tc>
          <w:tcPr>
            <w:tcW w:w="300" w:type="dxa"/>
            <w:vAlign w:val="bottom"/>
            <w:tcBorders>
              <w:top w:val="single" w:sz="8" w:color="auto"/>
            </w:tcBorders>
            <w:shd w:val="clear" w:color="auto" w:fill="CCEEFF"/>
          </w:tcPr>
          <w:p>
            <w:pPr>
              <w:spacing w:after="0"/>
              <w:rPr>
                <w:sz w:val="5"/>
                <w:szCs w:val="5"/>
                <w:color w:val="auto"/>
              </w:rPr>
            </w:pPr>
          </w:p>
        </w:tc>
        <w:tc>
          <w:tcPr>
            <w:tcW w:w="180" w:type="dxa"/>
            <w:vAlign w:val="bottom"/>
            <w:tcBorders>
              <w:top w:val="single" w:sz="8" w:color="CCEEFF"/>
              <w:left w:val="single" w:sz="8" w:color="CCEEFF"/>
              <w:right w:val="single" w:sz="8" w:color="CCEEFF"/>
            </w:tcBorders>
            <w:shd w:val="clear" w:color="auto" w:fill="CCEEFF"/>
          </w:tcPr>
          <w:p>
            <w:pPr>
              <w:spacing w:after="0"/>
              <w:rPr>
                <w:sz w:val="5"/>
                <w:szCs w:val="5"/>
                <w:color w:val="auto"/>
              </w:rPr>
            </w:pPr>
          </w:p>
        </w:tc>
        <w:tc>
          <w:tcPr>
            <w:tcW w:w="420" w:type="dxa"/>
            <w:vAlign w:val="bottom"/>
            <w:tcBorders>
              <w:top w:val="single" w:sz="8" w:color="auto"/>
            </w:tcBorders>
            <w:shd w:val="clear" w:color="auto" w:fill="CCEEFF"/>
          </w:tcPr>
          <w:p>
            <w:pPr>
              <w:spacing w:after="0"/>
              <w:rPr>
                <w:sz w:val="5"/>
                <w:szCs w:val="5"/>
                <w:color w:val="auto"/>
              </w:rPr>
            </w:pPr>
          </w:p>
        </w:tc>
        <w:tc>
          <w:tcPr>
            <w:tcW w:w="100" w:type="dxa"/>
            <w:vAlign w:val="bottom"/>
            <w:tcBorders>
              <w:top w:val="single" w:sz="8" w:color="CCEEFF"/>
            </w:tcBorders>
            <w:shd w:val="clear" w:color="auto" w:fill="CCEEFF"/>
          </w:tcPr>
          <w:p>
            <w:pPr>
              <w:spacing w:after="0"/>
              <w:rPr>
                <w:sz w:val="5"/>
                <w:szCs w:val="5"/>
                <w:color w:val="auto"/>
              </w:rPr>
            </w:pPr>
          </w:p>
        </w:tc>
        <w:tc>
          <w:tcPr>
            <w:tcW w:w="80" w:type="dxa"/>
            <w:vAlign w:val="bottom"/>
            <w:tcBorders>
              <w:top w:val="single" w:sz="8" w:color="auto"/>
            </w:tcBorders>
            <w:shd w:val="clear" w:color="auto" w:fill="CCEEFF"/>
          </w:tcPr>
          <w:p>
            <w:pPr>
              <w:spacing w:after="0"/>
              <w:rPr>
                <w:sz w:val="5"/>
                <w:szCs w:val="5"/>
                <w:color w:val="auto"/>
              </w:rPr>
            </w:pPr>
          </w:p>
        </w:tc>
        <w:tc>
          <w:tcPr>
            <w:tcW w:w="380" w:type="dxa"/>
            <w:vAlign w:val="bottom"/>
            <w:tcBorders>
              <w:top w:val="single" w:sz="8" w:color="auto"/>
              <w:right w:val="single" w:sz="8" w:color="CCEEFF"/>
            </w:tcBorders>
            <w:shd w:val="clear" w:color="auto" w:fill="CCEEFF"/>
          </w:tcPr>
          <w:p>
            <w:pPr>
              <w:spacing w:after="0"/>
              <w:rPr>
                <w:sz w:val="5"/>
                <w:szCs w:val="5"/>
                <w:color w:val="auto"/>
              </w:rPr>
            </w:pPr>
          </w:p>
        </w:tc>
        <w:tc>
          <w:tcPr>
            <w:tcW w:w="440" w:type="dxa"/>
            <w:vAlign w:val="bottom"/>
            <w:tcBorders>
              <w:top w:val="single" w:sz="8" w:color="auto"/>
            </w:tcBorders>
            <w:shd w:val="clear" w:color="auto" w:fill="CCEEFF"/>
          </w:tcPr>
          <w:p>
            <w:pPr>
              <w:spacing w:after="0"/>
              <w:rPr>
                <w:sz w:val="5"/>
                <w:szCs w:val="5"/>
                <w:color w:val="auto"/>
              </w:rPr>
            </w:pPr>
          </w:p>
        </w:tc>
        <w:tc>
          <w:tcPr>
            <w:tcW w:w="80" w:type="dxa"/>
            <w:vAlign w:val="bottom"/>
            <w:tcBorders>
              <w:top w:val="single" w:sz="8" w:color="CCEEFF"/>
            </w:tcBorders>
            <w:shd w:val="clear" w:color="auto" w:fill="CCEEFF"/>
          </w:tcPr>
          <w:p>
            <w:pPr>
              <w:spacing w:after="0"/>
              <w:rPr>
                <w:sz w:val="5"/>
                <w:szCs w:val="5"/>
                <w:color w:val="auto"/>
              </w:rPr>
            </w:pPr>
          </w:p>
        </w:tc>
        <w:tc>
          <w:tcPr>
            <w:tcW w:w="60" w:type="dxa"/>
            <w:vAlign w:val="bottom"/>
            <w:tcBorders>
              <w:top w:val="single" w:sz="8" w:color="auto"/>
            </w:tcBorders>
            <w:shd w:val="clear" w:color="auto" w:fill="CCEEFF"/>
          </w:tcPr>
          <w:p>
            <w:pPr>
              <w:spacing w:after="0"/>
              <w:rPr>
                <w:sz w:val="5"/>
                <w:szCs w:val="5"/>
                <w:color w:val="auto"/>
              </w:rPr>
            </w:pPr>
          </w:p>
        </w:tc>
        <w:tc>
          <w:tcPr>
            <w:tcW w:w="560" w:type="dxa"/>
            <w:vAlign w:val="bottom"/>
            <w:tcBorders>
              <w:top w:val="single" w:sz="8" w:color="auto"/>
            </w:tcBorders>
            <w:shd w:val="clear" w:color="auto" w:fill="CCEEFF"/>
          </w:tcPr>
          <w:p>
            <w:pPr>
              <w:spacing w:after="0"/>
              <w:rPr>
                <w:sz w:val="5"/>
                <w:szCs w:val="5"/>
                <w:color w:val="auto"/>
              </w:rPr>
            </w:pPr>
          </w:p>
        </w:tc>
        <w:tc>
          <w:tcPr>
            <w:tcW w:w="120" w:type="dxa"/>
            <w:vAlign w:val="bottom"/>
            <w:tcBorders>
              <w:top w:val="single" w:sz="8" w:color="CCEEFF"/>
            </w:tcBorders>
            <w:shd w:val="clear" w:color="auto" w:fill="CCEEFF"/>
          </w:tcPr>
          <w:p>
            <w:pPr>
              <w:spacing w:after="0"/>
              <w:rPr>
                <w:sz w:val="5"/>
                <w:szCs w:val="5"/>
                <w:color w:val="auto"/>
              </w:rPr>
            </w:pPr>
          </w:p>
        </w:tc>
        <w:tc>
          <w:tcPr>
            <w:tcW w:w="560" w:type="dxa"/>
            <w:vAlign w:val="bottom"/>
            <w:tcBorders>
              <w:top w:val="single" w:sz="8" w:color="auto"/>
              <w:right w:val="single" w:sz="8" w:color="CCEEFF"/>
            </w:tcBorders>
            <w:shd w:val="clear" w:color="auto" w:fill="CCEEFF"/>
          </w:tcPr>
          <w:p>
            <w:pPr>
              <w:spacing w:after="0"/>
              <w:rPr>
                <w:sz w:val="5"/>
                <w:szCs w:val="5"/>
                <w:color w:val="auto"/>
              </w:rPr>
            </w:pPr>
          </w:p>
        </w:tc>
        <w:tc>
          <w:tcPr>
            <w:tcW w:w="0" w:type="dxa"/>
            <w:vAlign w:val="bottom"/>
          </w:tcPr>
          <w:p>
            <w:pPr>
              <w:spacing w:after="0"/>
              <w:rPr>
                <w:sz w:val="1"/>
                <w:szCs w:val="1"/>
                <w:color w:val="auto"/>
              </w:rPr>
            </w:pPr>
          </w:p>
        </w:tc>
      </w:tr>
      <w:tr>
        <w:trPr>
          <w:trHeight w:val="98"/>
        </w:trPr>
        <w:tc>
          <w:tcPr>
            <w:tcW w:w="20" w:type="dxa"/>
            <w:vAlign w:val="bottom"/>
          </w:tcPr>
          <w:p>
            <w:pPr>
              <w:spacing w:after="0"/>
              <w:rPr>
                <w:sz w:val="8"/>
                <w:szCs w:val="8"/>
                <w:color w:val="auto"/>
              </w:rPr>
            </w:pPr>
          </w:p>
        </w:tc>
        <w:tc>
          <w:tcPr>
            <w:tcW w:w="520" w:type="dxa"/>
            <w:vAlign w:val="bottom"/>
            <w:tcBorders>
              <w:righ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rPr>
              <w:t>December</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560" w:type="dxa"/>
            <w:vAlign w:val="bottom"/>
            <w:shd w:val="clear" w:color="auto" w:fill="CCEEFF"/>
          </w:tcPr>
          <w:p>
            <w:pPr>
              <w:spacing w:after="0"/>
              <w:rPr>
                <w:sz w:val="8"/>
                <w:szCs w:val="8"/>
                <w:color w:val="auto"/>
              </w:rPr>
            </w:pPr>
          </w:p>
        </w:tc>
        <w:tc>
          <w:tcPr>
            <w:tcW w:w="120" w:type="dxa"/>
            <w:vAlign w:val="bottom"/>
            <w:shd w:val="clear" w:color="auto" w:fill="CCEEFF"/>
          </w:tcPr>
          <w:p>
            <w:pPr>
              <w:spacing w:after="0"/>
              <w:rPr>
                <w:sz w:val="8"/>
                <w:szCs w:val="8"/>
                <w:color w:val="auto"/>
              </w:rPr>
            </w:pPr>
          </w:p>
        </w:tc>
        <w:tc>
          <w:tcPr>
            <w:tcW w:w="560" w:type="dxa"/>
            <w:vAlign w:val="bottom"/>
            <w:tcBorders>
              <w:right w:val="single" w:sz="8" w:color="CCEEFF"/>
            </w:tcBorders>
            <w:shd w:val="clear" w:color="auto" w:fill="CCEEFF"/>
          </w:tcPr>
          <w:p>
            <w:pPr>
              <w:spacing w:after="0"/>
              <w:rPr>
                <w:sz w:val="8"/>
                <w:szCs w:val="8"/>
                <w:color w:val="auto"/>
              </w:rPr>
            </w:pPr>
          </w:p>
        </w:tc>
        <w:tc>
          <w:tcPr>
            <w:tcW w:w="0" w:type="dxa"/>
            <w:vAlign w:val="bottom"/>
          </w:tcPr>
          <w:p>
            <w:pPr>
              <w:spacing w:after="0"/>
              <w:rPr>
                <w:sz w:val="1"/>
                <w:szCs w:val="1"/>
                <w:color w:val="auto"/>
              </w:rPr>
            </w:pPr>
          </w:p>
        </w:tc>
      </w:tr>
      <w:tr>
        <w:trPr>
          <w:trHeight w:val="111"/>
        </w:trPr>
        <w:tc>
          <w:tcPr>
            <w:tcW w:w="20" w:type="dxa"/>
            <w:vAlign w:val="bottom"/>
          </w:tcPr>
          <w:p>
            <w:pPr>
              <w:spacing w:after="0"/>
              <w:rPr>
                <w:sz w:val="9"/>
                <w:szCs w:val="9"/>
                <w:color w:val="auto"/>
              </w:rPr>
            </w:pPr>
          </w:p>
        </w:tc>
        <w:tc>
          <w:tcPr>
            <w:tcW w:w="52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9"/>
                <w:szCs w:val="9"/>
                <w:b w:val="1"/>
                <w:bCs w:val="1"/>
                <w:color w:val="auto"/>
              </w:rPr>
              <w:t>31, 2018</w:t>
            </w:r>
          </w:p>
        </w:tc>
        <w:tc>
          <w:tcPr>
            <w:tcW w:w="4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9"/>
                <w:szCs w:val="9"/>
                <w:b w:val="1"/>
                <w:bCs w:val="1"/>
                <w:color w:val="auto"/>
                <w:w w:val="84"/>
              </w:rPr>
              <w:t>5,339,215</w:t>
            </w:r>
          </w:p>
        </w:tc>
        <w:tc>
          <w:tcPr>
            <w:tcW w:w="540" w:type="dxa"/>
            <w:vAlign w:val="bottom"/>
            <w:tcBorders>
              <w:right w:val="single" w:sz="8" w:color="CCEEFF"/>
            </w:tcBorders>
            <w:shd w:val="clear" w:color="auto" w:fill="CCEEFF"/>
          </w:tcPr>
          <w:p>
            <w:pPr>
              <w:jc w:val="right"/>
              <w:ind w:right="34"/>
              <w:spacing w:after="0"/>
              <w:rPr>
                <w:sz w:val="20"/>
                <w:szCs w:val="20"/>
                <w:color w:val="auto"/>
              </w:rPr>
            </w:pPr>
            <w:r>
              <w:rPr>
                <w:rFonts w:ascii="Arial" w:cs="Arial" w:eastAsia="Arial" w:hAnsi="Arial"/>
                <w:sz w:val="9"/>
                <w:szCs w:val="9"/>
                <w:b w:val="1"/>
                <w:bCs w:val="1"/>
                <w:color w:val="auto"/>
                <w:w w:val="83"/>
              </w:rPr>
              <w:t>$ 13,865,715</w:t>
            </w:r>
          </w:p>
        </w:tc>
        <w:tc>
          <w:tcPr>
            <w:tcW w:w="46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b w:val="1"/>
                <w:bCs w:val="1"/>
                <w:color w:val="auto"/>
                <w:w w:val="89"/>
              </w:rPr>
              <w:t>1,660,756</w:t>
            </w:r>
          </w:p>
        </w:tc>
        <w:tc>
          <w:tcPr>
            <w:tcW w:w="500" w:type="dxa"/>
            <w:vAlign w:val="bottom"/>
            <w:tcBorders>
              <w:right w:val="single" w:sz="8" w:color="CCEEFF"/>
            </w:tcBorders>
            <w:shd w:val="clear" w:color="auto" w:fill="CCEEFF"/>
          </w:tcPr>
          <w:p>
            <w:pPr>
              <w:jc w:val="right"/>
              <w:ind w:right="34"/>
              <w:spacing w:after="0"/>
              <w:rPr>
                <w:sz w:val="20"/>
                <w:szCs w:val="20"/>
                <w:color w:val="auto"/>
              </w:rPr>
            </w:pPr>
            <w:r>
              <w:rPr>
                <w:rFonts w:ascii="Arial" w:cs="Arial" w:eastAsia="Arial" w:hAnsi="Arial"/>
                <w:sz w:val="9"/>
                <w:szCs w:val="9"/>
                <w:b w:val="1"/>
                <w:bCs w:val="1"/>
                <w:color w:val="auto"/>
                <w:w w:val="84"/>
              </w:rPr>
              <w:t>$ 4,982,268</w:t>
            </w:r>
          </w:p>
        </w:tc>
        <w:tc>
          <w:tcPr>
            <w:tcW w:w="48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b w:val="1"/>
                <w:bCs w:val="1"/>
                <w:color w:val="auto"/>
                <w:w w:val="94"/>
              </w:rPr>
              <w:t>1,449,543</w:t>
            </w:r>
          </w:p>
        </w:tc>
        <w:tc>
          <w:tcPr>
            <w:tcW w:w="60" w:type="dxa"/>
            <w:vAlign w:val="bottom"/>
            <w:shd w:val="clear" w:color="auto" w:fill="CCEEFF"/>
          </w:tcPr>
          <w:p>
            <w:pPr>
              <w:jc w:val="right"/>
              <w:spacing w:after="0"/>
              <w:rPr>
                <w:sz w:val="20"/>
                <w:szCs w:val="20"/>
                <w:color w:val="auto"/>
              </w:rPr>
            </w:pPr>
            <w:r>
              <w:rPr>
                <w:rFonts w:ascii="Arial" w:cs="Arial" w:eastAsia="Arial" w:hAnsi="Arial"/>
                <w:sz w:val="5"/>
                <w:szCs w:val="5"/>
                <w:b w:val="1"/>
                <w:bCs w:val="1"/>
                <w:color w:val="auto"/>
                <w:w w:val="70"/>
              </w:rPr>
              <w:t>$</w:t>
            </w:r>
          </w:p>
        </w:tc>
        <w:tc>
          <w:tcPr>
            <w:tcW w:w="520" w:type="dxa"/>
            <w:vAlign w:val="bottom"/>
            <w:tcBorders>
              <w:right w:val="single" w:sz="8" w:color="CCEEFF"/>
            </w:tcBorders>
            <w:gridSpan w:val="2"/>
            <w:shd w:val="clear" w:color="auto" w:fill="CCEEFF"/>
          </w:tcPr>
          <w:p>
            <w:pPr>
              <w:jc w:val="right"/>
              <w:ind w:right="120"/>
              <w:spacing w:after="0"/>
              <w:rPr>
                <w:sz w:val="20"/>
                <w:szCs w:val="20"/>
                <w:color w:val="auto"/>
              </w:rPr>
            </w:pPr>
            <w:r>
              <w:rPr>
                <w:rFonts w:ascii="Arial" w:cs="Arial" w:eastAsia="Arial" w:hAnsi="Arial"/>
                <w:sz w:val="9"/>
                <w:szCs w:val="9"/>
                <w:b w:val="1"/>
                <w:bCs w:val="1"/>
                <w:color w:val="auto"/>
                <w:w w:val="94"/>
              </w:rPr>
              <w:t>3,974,432</w:t>
            </w:r>
          </w:p>
        </w:tc>
        <w:tc>
          <w:tcPr>
            <w:tcW w:w="440" w:type="dxa"/>
            <w:vAlign w:val="bottom"/>
            <w:tcBorders>
              <w:right w:val="single" w:sz="8" w:color="CCEEFF"/>
            </w:tcBorders>
            <w:shd w:val="clear" w:color="auto" w:fill="CCEEFF"/>
          </w:tcPr>
          <w:p>
            <w:pPr>
              <w:jc w:val="right"/>
              <w:ind w:right="34"/>
              <w:spacing w:after="0"/>
              <w:rPr>
                <w:sz w:val="20"/>
                <w:szCs w:val="20"/>
                <w:color w:val="auto"/>
              </w:rPr>
            </w:pPr>
            <w:r>
              <w:rPr>
                <w:rFonts w:ascii="Arial" w:cs="Arial" w:eastAsia="Arial" w:hAnsi="Arial"/>
                <w:sz w:val="9"/>
                <w:szCs w:val="9"/>
                <w:b w:val="1"/>
                <w:bCs w:val="1"/>
                <w:color w:val="auto"/>
              </w:rPr>
              <w:t>-</w:t>
            </w:r>
          </w:p>
        </w:tc>
        <w:tc>
          <w:tcPr>
            <w:tcW w:w="60" w:type="dxa"/>
            <w:vAlign w:val="bottom"/>
            <w:shd w:val="clear" w:color="auto" w:fill="CCEEFF"/>
          </w:tcPr>
          <w:p>
            <w:pPr>
              <w:jc w:val="right"/>
              <w:spacing w:after="0"/>
              <w:rPr>
                <w:sz w:val="20"/>
                <w:szCs w:val="20"/>
                <w:color w:val="auto"/>
              </w:rPr>
            </w:pPr>
            <w:r>
              <w:rPr>
                <w:rFonts w:ascii="Arial" w:cs="Arial" w:eastAsia="Arial" w:hAnsi="Arial"/>
                <w:sz w:val="9"/>
                <w:szCs w:val="9"/>
                <w:b w:val="1"/>
                <w:bCs w:val="1"/>
                <w:color w:val="auto"/>
                <w:w w:val="78"/>
              </w:rPr>
              <w:t>$</w:t>
            </w:r>
          </w:p>
        </w:tc>
        <w:tc>
          <w:tcPr>
            <w:tcW w:w="520" w:type="dxa"/>
            <w:vAlign w:val="bottom"/>
            <w:tcBorders>
              <w:right w:val="single" w:sz="8" w:color="CCEEFF"/>
            </w:tcBorders>
            <w:gridSpan w:val="2"/>
            <w:shd w:val="clear" w:color="auto" w:fill="CCEEFF"/>
          </w:tcPr>
          <w:p>
            <w:pPr>
              <w:jc w:val="right"/>
              <w:ind w:right="120"/>
              <w:spacing w:after="0"/>
              <w:rPr>
                <w:sz w:val="20"/>
                <w:szCs w:val="20"/>
                <w:color w:val="auto"/>
              </w:rPr>
            </w:pPr>
            <w:r>
              <w:rPr>
                <w:rFonts w:ascii="Arial" w:cs="Arial" w:eastAsia="Arial" w:hAnsi="Arial"/>
                <w:sz w:val="9"/>
                <w:szCs w:val="9"/>
                <w:b w:val="1"/>
                <w:bCs w:val="1"/>
                <w:color w:val="auto"/>
              </w:rPr>
              <w:t>-</w:t>
            </w:r>
          </w:p>
        </w:tc>
        <w:tc>
          <w:tcPr>
            <w:tcW w:w="460" w:type="dxa"/>
            <w:vAlign w:val="bottom"/>
            <w:gridSpan w:val="2"/>
            <w:shd w:val="clear" w:color="auto" w:fill="CCEEFF"/>
          </w:tcPr>
          <w:p>
            <w:pPr>
              <w:jc w:val="right"/>
              <w:ind w:right="100"/>
              <w:spacing w:after="0"/>
              <w:rPr>
                <w:sz w:val="20"/>
                <w:szCs w:val="20"/>
                <w:color w:val="auto"/>
              </w:rPr>
            </w:pPr>
            <w:r>
              <w:rPr>
                <w:rFonts w:ascii="Arial" w:cs="Arial" w:eastAsia="Arial" w:hAnsi="Arial"/>
                <w:sz w:val="9"/>
                <w:szCs w:val="9"/>
                <w:b w:val="1"/>
                <w:bCs w:val="1"/>
                <w:color w:val="auto"/>
              </w:rPr>
              <w:t>348,637</w:t>
            </w:r>
          </w:p>
        </w:tc>
        <w:tc>
          <w:tcPr>
            <w:tcW w:w="40" w:type="dxa"/>
            <w:vAlign w:val="bottom"/>
            <w:shd w:val="clear" w:color="auto" w:fill="CCEEFF"/>
          </w:tcPr>
          <w:p>
            <w:pPr>
              <w:jc w:val="right"/>
              <w:spacing w:after="0"/>
              <w:rPr>
                <w:sz w:val="20"/>
                <w:szCs w:val="20"/>
                <w:color w:val="auto"/>
              </w:rPr>
            </w:pPr>
            <w:r>
              <w:rPr>
                <w:rFonts w:ascii="Arial" w:cs="Arial" w:eastAsia="Arial" w:hAnsi="Arial"/>
                <w:sz w:val="5"/>
                <w:szCs w:val="5"/>
                <w:b w:val="1"/>
                <w:bCs w:val="1"/>
                <w:color w:val="auto"/>
                <w:w w:val="70"/>
              </w:rPr>
              <w:t>$</w:t>
            </w:r>
          </w:p>
        </w:tc>
        <w:tc>
          <w:tcPr>
            <w:tcW w:w="580" w:type="dxa"/>
            <w:vAlign w:val="bottom"/>
            <w:tcBorders>
              <w:right w:val="single" w:sz="8" w:color="CCEEFF"/>
            </w:tcBorders>
            <w:gridSpan w:val="2"/>
            <w:shd w:val="clear" w:color="auto" w:fill="CCEEFF"/>
          </w:tcPr>
          <w:p>
            <w:pPr>
              <w:jc w:val="right"/>
              <w:ind w:right="160"/>
              <w:spacing w:after="0"/>
              <w:rPr>
                <w:sz w:val="20"/>
                <w:szCs w:val="20"/>
                <w:color w:val="auto"/>
              </w:rPr>
            </w:pPr>
            <w:r>
              <w:rPr>
                <w:rFonts w:ascii="Arial" w:cs="Arial" w:eastAsia="Arial" w:hAnsi="Arial"/>
                <w:sz w:val="9"/>
                <w:szCs w:val="9"/>
                <w:b w:val="1"/>
                <w:bCs w:val="1"/>
                <w:color w:val="auto"/>
                <w:w w:val="99"/>
              </w:rPr>
              <w:t>2,627,875</w:t>
            </w:r>
          </w:p>
        </w:tc>
        <w:tc>
          <w:tcPr>
            <w:tcW w:w="44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b w:val="1"/>
                <w:bCs w:val="1"/>
                <w:color w:val="auto"/>
                <w:w w:val="84"/>
              </w:rPr>
              <w:t>8,936,015</w:t>
            </w:r>
          </w:p>
        </w:tc>
        <w:tc>
          <w:tcPr>
            <w:tcW w:w="580" w:type="dxa"/>
            <w:vAlign w:val="bottom"/>
            <w:tcBorders>
              <w:right w:val="single" w:sz="8" w:color="CCEEFF"/>
            </w:tcBorders>
            <w:gridSpan w:val="2"/>
            <w:shd w:val="clear" w:color="auto" w:fill="CCEEFF"/>
          </w:tcPr>
          <w:p>
            <w:pPr>
              <w:jc w:val="right"/>
              <w:ind w:right="140"/>
              <w:spacing w:after="0"/>
              <w:rPr>
                <w:sz w:val="20"/>
                <w:szCs w:val="20"/>
                <w:color w:val="auto"/>
              </w:rPr>
            </w:pPr>
            <w:r>
              <w:rPr>
                <w:rFonts w:ascii="Arial" w:cs="Arial" w:eastAsia="Arial" w:hAnsi="Arial"/>
                <w:sz w:val="9"/>
                <w:szCs w:val="9"/>
                <w:b w:val="1"/>
                <w:bCs w:val="1"/>
                <w:color w:val="auto"/>
                <w:w w:val="88"/>
              </w:rPr>
              <w:t>$ 3,865,155</w:t>
            </w:r>
          </w:p>
        </w:tc>
        <w:tc>
          <w:tcPr>
            <w:tcW w:w="360" w:type="dxa"/>
            <w:vAlign w:val="bottom"/>
            <w:shd w:val="clear" w:color="auto" w:fill="CCEEFF"/>
          </w:tcPr>
          <w:p>
            <w:pPr>
              <w:jc w:val="right"/>
              <w:spacing w:after="0"/>
              <w:rPr>
                <w:sz w:val="20"/>
                <w:szCs w:val="20"/>
                <w:color w:val="auto"/>
              </w:rPr>
            </w:pPr>
            <w:r>
              <w:rPr>
                <w:rFonts w:ascii="Arial" w:cs="Arial" w:eastAsia="Arial" w:hAnsi="Arial"/>
                <w:sz w:val="9"/>
                <w:szCs w:val="9"/>
                <w:b w:val="1"/>
                <w:bCs w:val="1"/>
                <w:color w:val="auto"/>
                <w:w w:val="84"/>
              </w:rPr>
              <w:t>4,653,583</w:t>
            </w:r>
          </w:p>
        </w:tc>
        <w:tc>
          <w:tcPr>
            <w:tcW w:w="100" w:type="dxa"/>
            <w:vAlign w:val="bottom"/>
            <w:shd w:val="clear" w:color="auto" w:fill="CCEEFF"/>
          </w:tcPr>
          <w:p>
            <w:pPr>
              <w:spacing w:after="0"/>
              <w:rPr>
                <w:sz w:val="9"/>
                <w:szCs w:val="9"/>
                <w:color w:val="auto"/>
              </w:rPr>
            </w:pPr>
          </w:p>
        </w:tc>
        <w:tc>
          <w:tcPr>
            <w:tcW w:w="540" w:type="dxa"/>
            <w:vAlign w:val="bottom"/>
            <w:gridSpan w:val="2"/>
            <w:shd w:val="clear" w:color="auto" w:fill="CCEEFF"/>
          </w:tcPr>
          <w:p>
            <w:pPr>
              <w:jc w:val="right"/>
              <w:ind w:right="100"/>
              <w:spacing w:after="0"/>
              <w:rPr>
                <w:sz w:val="20"/>
                <w:szCs w:val="20"/>
                <w:color w:val="auto"/>
              </w:rPr>
            </w:pPr>
            <w:r>
              <w:rPr>
                <w:rFonts w:ascii="Arial" w:cs="Arial" w:eastAsia="Arial" w:hAnsi="Arial"/>
                <w:sz w:val="9"/>
                <w:szCs w:val="9"/>
                <w:b w:val="1"/>
                <w:bCs w:val="1"/>
                <w:color w:val="auto"/>
                <w:w w:val="88"/>
              </w:rPr>
              <w:t>$ 9,441,770</w:t>
            </w:r>
          </w:p>
        </w:tc>
        <w:tc>
          <w:tcPr>
            <w:tcW w:w="380" w:type="dxa"/>
            <w:vAlign w:val="bottom"/>
            <w:gridSpan w:val="2"/>
            <w:shd w:val="clear" w:color="auto" w:fill="CCEEFF"/>
          </w:tcPr>
          <w:p>
            <w:pPr>
              <w:jc w:val="right"/>
              <w:ind w:right="100"/>
              <w:spacing w:after="0"/>
              <w:rPr>
                <w:sz w:val="20"/>
                <w:szCs w:val="20"/>
                <w:color w:val="auto"/>
              </w:rPr>
            </w:pPr>
            <w:r>
              <w:rPr>
                <w:rFonts w:ascii="Arial" w:cs="Arial" w:eastAsia="Arial" w:hAnsi="Arial"/>
                <w:sz w:val="9"/>
                <w:szCs w:val="9"/>
                <w:b w:val="1"/>
                <w:bCs w:val="1"/>
                <w:color w:val="auto"/>
              </w:rPr>
              <w:t>-</w:t>
            </w:r>
          </w:p>
        </w:tc>
        <w:tc>
          <w:tcPr>
            <w:tcW w:w="300" w:type="dxa"/>
            <w:vAlign w:val="bottom"/>
            <w:shd w:val="clear" w:color="auto" w:fill="CCEEFF"/>
          </w:tcPr>
          <w:p>
            <w:pPr>
              <w:spacing w:after="0"/>
              <w:rPr>
                <w:sz w:val="20"/>
                <w:szCs w:val="20"/>
                <w:color w:val="auto"/>
              </w:rPr>
            </w:pPr>
            <w:r>
              <w:rPr>
                <w:rFonts w:ascii="Arial" w:cs="Arial" w:eastAsia="Arial" w:hAnsi="Arial"/>
                <w:sz w:val="9"/>
                <w:szCs w:val="9"/>
                <w:b w:val="1"/>
                <w:bCs w:val="1"/>
                <w:color w:val="auto"/>
              </w:rPr>
              <w:t>$</w:t>
            </w:r>
          </w:p>
        </w:tc>
        <w:tc>
          <w:tcPr>
            <w:tcW w:w="180" w:type="dxa"/>
            <w:vAlign w:val="bottom"/>
            <w:tcBorders>
              <w:left w:val="single" w:sz="8" w:color="CCEEFF"/>
              <w:right w:val="single" w:sz="8" w:color="CCEEFF"/>
            </w:tcBorders>
            <w:shd w:val="clear" w:color="auto" w:fill="CCEEFF"/>
          </w:tcPr>
          <w:p>
            <w:pPr>
              <w:jc w:val="right"/>
              <w:ind w:right="100"/>
              <w:spacing w:after="0"/>
              <w:rPr>
                <w:sz w:val="20"/>
                <w:szCs w:val="20"/>
                <w:color w:val="auto"/>
              </w:rPr>
            </w:pPr>
            <w:r>
              <w:rPr>
                <w:rFonts w:ascii="Arial" w:cs="Arial" w:eastAsia="Arial" w:hAnsi="Arial"/>
                <w:sz w:val="8"/>
                <w:szCs w:val="8"/>
                <w:b w:val="1"/>
                <w:bCs w:val="1"/>
                <w:color w:val="auto"/>
                <w:w w:val="73"/>
              </w:rPr>
              <w:t>-</w:t>
            </w:r>
          </w:p>
        </w:tc>
        <w:tc>
          <w:tcPr>
            <w:tcW w:w="420" w:type="dxa"/>
            <w:vAlign w:val="bottom"/>
            <w:shd w:val="clear" w:color="auto" w:fill="CCEEFF"/>
          </w:tcPr>
          <w:p>
            <w:pPr>
              <w:jc w:val="right"/>
              <w:spacing w:after="0"/>
              <w:rPr>
                <w:sz w:val="20"/>
                <w:szCs w:val="20"/>
                <w:color w:val="auto"/>
              </w:rPr>
            </w:pPr>
            <w:r>
              <w:rPr>
                <w:rFonts w:ascii="Arial" w:cs="Arial" w:eastAsia="Arial" w:hAnsi="Arial"/>
                <w:sz w:val="9"/>
                <w:szCs w:val="9"/>
                <w:b w:val="1"/>
                <w:bCs w:val="1"/>
                <w:color w:val="auto"/>
                <w:w w:val="88"/>
              </w:rPr>
              <w:t>10,179,000</w:t>
            </w:r>
          </w:p>
        </w:tc>
        <w:tc>
          <w:tcPr>
            <w:tcW w:w="100" w:type="dxa"/>
            <w:vAlign w:val="bottom"/>
            <w:shd w:val="clear" w:color="auto" w:fill="CCEEFF"/>
          </w:tcPr>
          <w:p>
            <w:pPr>
              <w:spacing w:after="0"/>
              <w:rPr>
                <w:sz w:val="9"/>
                <w:szCs w:val="9"/>
                <w:color w:val="auto"/>
              </w:rPr>
            </w:pPr>
          </w:p>
        </w:tc>
        <w:tc>
          <w:tcPr>
            <w:tcW w:w="80" w:type="dxa"/>
            <w:vAlign w:val="bottom"/>
            <w:shd w:val="clear" w:color="auto" w:fill="CCEEFF"/>
          </w:tcPr>
          <w:p>
            <w:pPr>
              <w:jc w:val="right"/>
              <w:ind w:right="10"/>
              <w:spacing w:after="0"/>
              <w:rPr>
                <w:sz w:val="20"/>
                <w:szCs w:val="20"/>
                <w:color w:val="auto"/>
              </w:rPr>
            </w:pPr>
            <w:r>
              <w:rPr>
                <w:rFonts w:ascii="Arial" w:cs="Arial" w:eastAsia="Arial" w:hAnsi="Arial"/>
                <w:sz w:val="5"/>
                <w:szCs w:val="5"/>
                <w:b w:val="1"/>
                <w:bCs w:val="1"/>
                <w:color w:val="auto"/>
                <w:w w:val="70"/>
              </w:rPr>
              <w:t>$</w:t>
            </w:r>
          </w:p>
        </w:tc>
        <w:tc>
          <w:tcPr>
            <w:tcW w:w="380" w:type="dxa"/>
            <w:vAlign w:val="bottom"/>
            <w:tcBorders>
              <w:right w:val="single" w:sz="8" w:color="CCEEFF"/>
            </w:tcBorders>
            <w:shd w:val="clear" w:color="auto" w:fill="CCEEFF"/>
          </w:tcPr>
          <w:p>
            <w:pPr>
              <w:jc w:val="right"/>
              <w:ind w:right="54"/>
              <w:spacing w:after="0"/>
              <w:rPr>
                <w:sz w:val="20"/>
                <w:szCs w:val="20"/>
                <w:color w:val="auto"/>
              </w:rPr>
            </w:pPr>
            <w:r>
              <w:rPr>
                <w:rFonts w:ascii="Arial" w:cs="Arial" w:eastAsia="Arial" w:hAnsi="Arial"/>
                <w:sz w:val="9"/>
                <w:szCs w:val="9"/>
                <w:b w:val="1"/>
                <w:bCs w:val="1"/>
                <w:color w:val="auto"/>
                <w:w w:val="94"/>
              </w:rPr>
              <w:t>10,179</w:t>
            </w:r>
          </w:p>
        </w:tc>
        <w:tc>
          <w:tcPr>
            <w:tcW w:w="52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b w:val="1"/>
                <w:bCs w:val="1"/>
                <w:color w:val="auto"/>
                <w:w w:val="88"/>
              </w:rPr>
              <w:t>$ 2,060,071</w:t>
            </w:r>
          </w:p>
        </w:tc>
        <w:tc>
          <w:tcPr>
            <w:tcW w:w="60" w:type="dxa"/>
            <w:vAlign w:val="bottom"/>
            <w:shd w:val="clear" w:color="auto" w:fill="CCEEFF"/>
          </w:tcPr>
          <w:p>
            <w:pPr>
              <w:jc w:val="right"/>
              <w:spacing w:after="0"/>
              <w:rPr>
                <w:sz w:val="20"/>
                <w:szCs w:val="20"/>
                <w:color w:val="auto"/>
              </w:rPr>
            </w:pPr>
            <w:r>
              <w:rPr>
                <w:rFonts w:ascii="Arial" w:cs="Arial" w:eastAsia="Arial" w:hAnsi="Arial"/>
                <w:sz w:val="9"/>
                <w:szCs w:val="9"/>
                <w:b w:val="1"/>
                <w:bCs w:val="1"/>
                <w:color w:val="auto"/>
                <w:w w:val="78"/>
              </w:rPr>
              <w:t>$</w:t>
            </w:r>
          </w:p>
        </w:tc>
        <w:tc>
          <w:tcPr>
            <w:tcW w:w="68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b w:val="1"/>
                <w:bCs w:val="1"/>
                <w:color w:val="auto"/>
              </w:rPr>
              <w:t>(36,950,619)</w:t>
            </w:r>
          </w:p>
        </w:tc>
        <w:tc>
          <w:tcPr>
            <w:tcW w:w="56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9"/>
                <w:szCs w:val="9"/>
                <w:b w:val="1"/>
                <w:bCs w:val="1"/>
                <w:color w:val="auto"/>
                <w:w w:val="88"/>
              </w:rPr>
              <w:t>$ (34,880,369)</w:t>
            </w:r>
          </w:p>
        </w:tc>
        <w:tc>
          <w:tcPr>
            <w:tcW w:w="0" w:type="dxa"/>
            <w:vAlign w:val="bottom"/>
          </w:tcPr>
          <w:p>
            <w:pPr>
              <w:spacing w:after="0"/>
              <w:rPr>
                <w:sz w:val="1"/>
                <w:szCs w:val="1"/>
                <w:color w:val="auto"/>
              </w:rPr>
            </w:pPr>
          </w:p>
        </w:tc>
      </w:tr>
      <w:tr>
        <w:trPr>
          <w:trHeight w:val="98"/>
        </w:trPr>
        <w:tc>
          <w:tcPr>
            <w:tcW w:w="20" w:type="dxa"/>
            <w:vAlign w:val="bottom"/>
            <w:vMerge w:val="restart"/>
          </w:tcPr>
          <w:p>
            <w:pPr>
              <w:spacing w:after="0"/>
              <w:rPr>
                <w:sz w:val="8"/>
                <w:szCs w:val="8"/>
                <w:color w:val="auto"/>
              </w:rPr>
            </w:pPr>
          </w:p>
        </w:tc>
        <w:tc>
          <w:tcPr>
            <w:tcW w:w="520" w:type="dxa"/>
            <w:vAlign w:val="bottom"/>
          </w:tcPr>
          <w:p>
            <w:pPr>
              <w:spacing w:after="0"/>
              <w:rPr>
                <w:sz w:val="8"/>
                <w:szCs w:val="8"/>
                <w:color w:val="auto"/>
              </w:rPr>
            </w:pPr>
          </w:p>
        </w:tc>
        <w:tc>
          <w:tcPr>
            <w:tcW w:w="400" w:type="dxa"/>
            <w:vAlign w:val="bottom"/>
          </w:tcPr>
          <w:p>
            <w:pPr>
              <w:spacing w:after="0"/>
              <w:rPr>
                <w:sz w:val="8"/>
                <w:szCs w:val="8"/>
                <w:color w:val="auto"/>
              </w:rPr>
            </w:pPr>
          </w:p>
        </w:tc>
        <w:tc>
          <w:tcPr>
            <w:tcW w:w="540" w:type="dxa"/>
            <w:vAlign w:val="bottom"/>
          </w:tcPr>
          <w:p>
            <w:pPr>
              <w:spacing w:after="0"/>
              <w:rPr>
                <w:sz w:val="8"/>
                <w:szCs w:val="8"/>
                <w:color w:val="auto"/>
              </w:rPr>
            </w:pPr>
          </w:p>
        </w:tc>
        <w:tc>
          <w:tcPr>
            <w:tcW w:w="380" w:type="dxa"/>
            <w:vAlign w:val="bottom"/>
          </w:tcPr>
          <w:p>
            <w:pPr>
              <w:spacing w:after="0"/>
              <w:rPr>
                <w:sz w:val="8"/>
                <w:szCs w:val="8"/>
                <w:color w:val="auto"/>
              </w:rPr>
            </w:pPr>
          </w:p>
        </w:tc>
        <w:tc>
          <w:tcPr>
            <w:tcW w:w="80" w:type="dxa"/>
            <w:vAlign w:val="bottom"/>
          </w:tcPr>
          <w:p>
            <w:pPr>
              <w:spacing w:after="0"/>
              <w:rPr>
                <w:sz w:val="8"/>
                <w:szCs w:val="8"/>
                <w:color w:val="auto"/>
              </w:rPr>
            </w:pPr>
          </w:p>
        </w:tc>
        <w:tc>
          <w:tcPr>
            <w:tcW w:w="500" w:type="dxa"/>
            <w:vAlign w:val="bottom"/>
          </w:tcPr>
          <w:p>
            <w:pPr>
              <w:spacing w:after="0"/>
              <w:rPr>
                <w:sz w:val="8"/>
                <w:szCs w:val="8"/>
                <w:color w:val="auto"/>
              </w:rPr>
            </w:pPr>
          </w:p>
        </w:tc>
        <w:tc>
          <w:tcPr>
            <w:tcW w:w="40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44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0" w:type="dxa"/>
            <w:vAlign w:val="bottom"/>
          </w:tcPr>
          <w:p>
            <w:pPr>
              <w:spacing w:after="0"/>
              <w:rPr>
                <w:sz w:val="8"/>
                <w:szCs w:val="8"/>
                <w:color w:val="auto"/>
              </w:rPr>
            </w:pPr>
          </w:p>
        </w:tc>
        <w:tc>
          <w:tcPr>
            <w:tcW w:w="420" w:type="dxa"/>
            <w:vAlign w:val="bottom"/>
          </w:tcPr>
          <w:p>
            <w:pPr>
              <w:spacing w:after="0"/>
              <w:rPr>
                <w:sz w:val="8"/>
                <w:szCs w:val="8"/>
                <w:color w:val="auto"/>
              </w:rPr>
            </w:pPr>
          </w:p>
        </w:tc>
        <w:tc>
          <w:tcPr>
            <w:tcW w:w="16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40" w:type="dxa"/>
            <w:vAlign w:val="bottom"/>
          </w:tcPr>
          <w:p>
            <w:pPr>
              <w:spacing w:after="0"/>
              <w:rPr>
                <w:sz w:val="8"/>
                <w:szCs w:val="8"/>
                <w:color w:val="auto"/>
              </w:rPr>
            </w:pPr>
          </w:p>
        </w:tc>
        <w:tc>
          <w:tcPr>
            <w:tcW w:w="14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40" w:type="dxa"/>
            <w:vAlign w:val="bottom"/>
          </w:tcPr>
          <w:p>
            <w:pPr>
              <w:spacing w:after="0"/>
              <w:rPr>
                <w:sz w:val="8"/>
                <w:szCs w:val="8"/>
                <w:color w:val="auto"/>
              </w:rPr>
            </w:pPr>
          </w:p>
        </w:tc>
        <w:tc>
          <w:tcPr>
            <w:tcW w:w="100" w:type="dxa"/>
            <w:vAlign w:val="bottom"/>
          </w:tcPr>
          <w:p>
            <w:pPr>
              <w:spacing w:after="0"/>
              <w:rPr>
                <w:sz w:val="8"/>
                <w:szCs w:val="8"/>
                <w:color w:val="auto"/>
              </w:rPr>
            </w:pPr>
          </w:p>
        </w:tc>
        <w:tc>
          <w:tcPr>
            <w:tcW w:w="280" w:type="dxa"/>
            <w:vAlign w:val="bottom"/>
          </w:tcPr>
          <w:p>
            <w:pPr>
              <w:spacing w:after="0"/>
              <w:rPr>
                <w:sz w:val="8"/>
                <w:szCs w:val="8"/>
                <w:color w:val="auto"/>
              </w:rPr>
            </w:pPr>
          </w:p>
        </w:tc>
        <w:tc>
          <w:tcPr>
            <w:tcW w:w="100" w:type="dxa"/>
            <w:vAlign w:val="bottom"/>
          </w:tcPr>
          <w:p>
            <w:pPr>
              <w:spacing w:after="0"/>
              <w:rPr>
                <w:sz w:val="8"/>
                <w:szCs w:val="8"/>
                <w:color w:val="auto"/>
              </w:rPr>
            </w:pPr>
          </w:p>
        </w:tc>
        <w:tc>
          <w:tcPr>
            <w:tcW w:w="300" w:type="dxa"/>
            <w:vAlign w:val="bottom"/>
          </w:tcPr>
          <w:p>
            <w:pPr>
              <w:spacing w:after="0"/>
              <w:rPr>
                <w:sz w:val="8"/>
                <w:szCs w:val="8"/>
                <w:color w:val="auto"/>
              </w:rPr>
            </w:pPr>
          </w:p>
        </w:tc>
        <w:tc>
          <w:tcPr>
            <w:tcW w:w="180" w:type="dxa"/>
            <w:vAlign w:val="bottom"/>
          </w:tcPr>
          <w:p>
            <w:pPr>
              <w:spacing w:after="0"/>
              <w:rPr>
                <w:sz w:val="8"/>
                <w:szCs w:val="8"/>
                <w:color w:val="auto"/>
              </w:rPr>
            </w:pPr>
          </w:p>
        </w:tc>
        <w:tc>
          <w:tcPr>
            <w:tcW w:w="420" w:type="dxa"/>
            <w:vAlign w:val="bottom"/>
          </w:tcPr>
          <w:p>
            <w:pPr>
              <w:spacing w:after="0"/>
              <w:rPr>
                <w:sz w:val="8"/>
                <w:szCs w:val="8"/>
                <w:color w:val="auto"/>
              </w:rPr>
            </w:pPr>
          </w:p>
        </w:tc>
        <w:tc>
          <w:tcPr>
            <w:tcW w:w="1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0" w:type="dxa"/>
            <w:vAlign w:val="bottom"/>
          </w:tcPr>
          <w:p>
            <w:pPr>
              <w:spacing w:after="0"/>
              <w:rPr>
                <w:sz w:val="8"/>
                <w:szCs w:val="8"/>
                <w:color w:val="auto"/>
              </w:rPr>
            </w:pPr>
          </w:p>
        </w:tc>
        <w:tc>
          <w:tcPr>
            <w:tcW w:w="44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560" w:type="dxa"/>
            <w:vAlign w:val="bottom"/>
          </w:tcPr>
          <w:p>
            <w:pPr>
              <w:spacing w:after="0"/>
              <w:rPr>
                <w:sz w:val="8"/>
                <w:szCs w:val="8"/>
                <w:color w:val="auto"/>
              </w:rPr>
            </w:pPr>
          </w:p>
        </w:tc>
        <w:tc>
          <w:tcPr>
            <w:tcW w:w="120" w:type="dxa"/>
            <w:vAlign w:val="bottom"/>
          </w:tcPr>
          <w:p>
            <w:pPr>
              <w:spacing w:after="0"/>
              <w:rPr>
                <w:sz w:val="8"/>
                <w:szCs w:val="8"/>
                <w:color w:val="auto"/>
              </w:rPr>
            </w:pPr>
          </w:p>
        </w:tc>
        <w:tc>
          <w:tcPr>
            <w:tcW w:w="5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87"/>
        </w:trPr>
        <w:tc>
          <w:tcPr>
            <w:tcW w:w="20" w:type="dxa"/>
            <w:vAlign w:val="bottom"/>
            <w:vMerge w:val="continue"/>
          </w:tcPr>
          <w:p>
            <w:pPr>
              <w:spacing w:after="0"/>
              <w:rPr>
                <w:sz w:val="7"/>
                <w:szCs w:val="7"/>
                <w:color w:val="auto"/>
              </w:rPr>
            </w:pPr>
          </w:p>
        </w:tc>
        <w:tc>
          <w:tcPr>
            <w:tcW w:w="520" w:type="dxa"/>
            <w:vAlign w:val="bottom"/>
            <w:tcBorders>
              <w:right w:val="single" w:sz="8" w:color="CCEEFF"/>
            </w:tcBorders>
            <w:shd w:val="clear" w:color="auto" w:fill="CCEEFF"/>
          </w:tcPr>
          <w:p>
            <w:pPr>
              <w:spacing w:after="0" w:line="87" w:lineRule="exact"/>
              <w:rPr>
                <w:sz w:val="20"/>
                <w:szCs w:val="20"/>
                <w:color w:val="auto"/>
              </w:rPr>
            </w:pPr>
            <w:r>
              <w:rPr>
                <w:rFonts w:ascii="Arial" w:cs="Arial" w:eastAsia="Arial" w:hAnsi="Arial"/>
                <w:sz w:val="9"/>
                <w:szCs w:val="9"/>
                <w:color w:val="auto"/>
                <w:w w:val="96"/>
              </w:rPr>
              <w:t>Stock based</w:t>
            </w:r>
          </w:p>
        </w:tc>
        <w:tc>
          <w:tcPr>
            <w:tcW w:w="400" w:type="dxa"/>
            <w:vAlign w:val="bottom"/>
            <w:tcBorders>
              <w:right w:val="single" w:sz="8" w:color="CCEEFF"/>
            </w:tcBorders>
            <w:shd w:val="clear" w:color="auto" w:fill="CCEEFF"/>
          </w:tcPr>
          <w:p>
            <w:pPr>
              <w:spacing w:after="0"/>
              <w:rPr>
                <w:sz w:val="7"/>
                <w:szCs w:val="7"/>
                <w:color w:val="auto"/>
              </w:rPr>
            </w:pPr>
          </w:p>
        </w:tc>
        <w:tc>
          <w:tcPr>
            <w:tcW w:w="540" w:type="dxa"/>
            <w:vAlign w:val="bottom"/>
            <w:tcBorders>
              <w:right w:val="single" w:sz="8" w:color="CCEEFF"/>
            </w:tcBorders>
            <w:shd w:val="clear" w:color="auto" w:fill="CCEEFF"/>
          </w:tcPr>
          <w:p>
            <w:pPr>
              <w:spacing w:after="0"/>
              <w:rPr>
                <w:sz w:val="7"/>
                <w:szCs w:val="7"/>
                <w:color w:val="auto"/>
              </w:rPr>
            </w:pPr>
          </w:p>
        </w:tc>
        <w:tc>
          <w:tcPr>
            <w:tcW w:w="38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500" w:type="dxa"/>
            <w:vAlign w:val="bottom"/>
            <w:tcBorders>
              <w:right w:val="single" w:sz="8" w:color="CCEEFF"/>
            </w:tcBorders>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440" w:type="dxa"/>
            <w:vAlign w:val="bottom"/>
            <w:tcBorders>
              <w:right w:val="single" w:sz="8" w:color="CCEEFF"/>
            </w:tcBorders>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0" w:type="dxa"/>
            <w:vAlign w:val="bottom"/>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6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4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28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300" w:type="dxa"/>
            <w:vAlign w:val="bottom"/>
            <w:shd w:val="clear" w:color="auto" w:fill="CCEEFF"/>
          </w:tcPr>
          <w:p>
            <w:pPr>
              <w:spacing w:after="0"/>
              <w:rPr>
                <w:sz w:val="7"/>
                <w:szCs w:val="7"/>
                <w:color w:val="auto"/>
              </w:rPr>
            </w:pPr>
          </w:p>
        </w:tc>
        <w:tc>
          <w:tcPr>
            <w:tcW w:w="180" w:type="dxa"/>
            <w:vAlign w:val="bottom"/>
            <w:tcBorders>
              <w:left w:val="single" w:sz="8" w:color="CCEEFF"/>
              <w:right w:val="single" w:sz="8" w:color="CCEEFF"/>
            </w:tcBorders>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380" w:type="dxa"/>
            <w:vAlign w:val="bottom"/>
            <w:tcBorders>
              <w:right w:val="single" w:sz="8" w:color="CCEEFF"/>
            </w:tcBorders>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560" w:type="dxa"/>
            <w:vAlign w:val="bottom"/>
            <w:shd w:val="clear" w:color="auto" w:fill="CCEEFF"/>
          </w:tcPr>
          <w:p>
            <w:pPr>
              <w:spacing w:after="0"/>
              <w:rPr>
                <w:sz w:val="7"/>
                <w:szCs w:val="7"/>
                <w:color w:val="auto"/>
              </w:rPr>
            </w:pPr>
          </w:p>
        </w:tc>
        <w:tc>
          <w:tcPr>
            <w:tcW w:w="120" w:type="dxa"/>
            <w:vAlign w:val="bottom"/>
            <w:shd w:val="clear" w:color="auto" w:fill="CCEEFF"/>
          </w:tcPr>
          <w:p>
            <w:pPr>
              <w:spacing w:after="0"/>
              <w:rPr>
                <w:sz w:val="7"/>
                <w:szCs w:val="7"/>
                <w:color w:val="auto"/>
              </w:rPr>
            </w:pPr>
          </w:p>
        </w:tc>
        <w:tc>
          <w:tcPr>
            <w:tcW w:w="560" w:type="dxa"/>
            <w:vAlign w:val="bottom"/>
            <w:tcBorders>
              <w:right w:val="single" w:sz="8" w:color="CCEEFF"/>
            </w:tcBorders>
            <w:vMerge w:val="restart"/>
            <w:shd w:val="clear" w:color="auto" w:fill="CCEEFF"/>
          </w:tcPr>
          <w:p>
            <w:pPr>
              <w:jc w:val="right"/>
              <w:spacing w:after="0"/>
              <w:rPr>
                <w:sz w:val="20"/>
                <w:szCs w:val="20"/>
                <w:color w:val="auto"/>
              </w:rPr>
            </w:pPr>
            <w:r>
              <w:rPr>
                <w:rFonts w:ascii="Arial" w:cs="Arial" w:eastAsia="Arial" w:hAnsi="Arial"/>
                <w:sz w:val="9"/>
                <w:szCs w:val="9"/>
                <w:b w:val="1"/>
                <w:bCs w:val="1"/>
                <w:color w:val="auto"/>
              </w:rPr>
              <w:t>468,582</w:t>
            </w:r>
          </w:p>
        </w:tc>
        <w:tc>
          <w:tcPr>
            <w:tcW w:w="0" w:type="dxa"/>
            <w:vAlign w:val="bottom"/>
          </w:tcPr>
          <w:p>
            <w:pPr>
              <w:spacing w:after="0"/>
              <w:rPr>
                <w:sz w:val="1"/>
                <w:szCs w:val="1"/>
                <w:color w:val="auto"/>
              </w:rPr>
            </w:pPr>
          </w:p>
        </w:tc>
      </w:tr>
      <w:tr>
        <w:trPr>
          <w:trHeight w:val="109"/>
        </w:trPr>
        <w:tc>
          <w:tcPr>
            <w:tcW w:w="20" w:type="dxa"/>
            <w:vAlign w:val="bottom"/>
          </w:tcPr>
          <w:p>
            <w:pPr>
              <w:spacing w:after="0"/>
              <w:rPr>
                <w:sz w:val="9"/>
                <w:szCs w:val="9"/>
                <w:color w:val="auto"/>
              </w:rPr>
            </w:pPr>
          </w:p>
        </w:tc>
        <w:tc>
          <w:tcPr>
            <w:tcW w:w="52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9"/>
                <w:szCs w:val="9"/>
                <w:color w:val="auto"/>
                <w:w w:val="85"/>
              </w:rPr>
              <w:t>compensation</w:t>
            </w:r>
          </w:p>
        </w:tc>
        <w:tc>
          <w:tcPr>
            <w:tcW w:w="400" w:type="dxa"/>
            <w:vAlign w:val="bottom"/>
            <w:tcBorders>
              <w:right w:val="single" w:sz="8" w:color="CCEEFF"/>
            </w:tcBorders>
            <w:shd w:val="clear" w:color="auto" w:fill="CCEEFF"/>
          </w:tcPr>
          <w:p>
            <w:pPr>
              <w:spacing w:after="0"/>
              <w:rPr>
                <w:sz w:val="9"/>
                <w:szCs w:val="9"/>
                <w:color w:val="auto"/>
              </w:rPr>
            </w:pPr>
          </w:p>
        </w:tc>
        <w:tc>
          <w:tcPr>
            <w:tcW w:w="540" w:type="dxa"/>
            <w:vAlign w:val="bottom"/>
            <w:tcBorders>
              <w:right w:val="single" w:sz="8" w:color="CCEEFF"/>
            </w:tcBorders>
            <w:shd w:val="clear" w:color="auto" w:fill="CCEEFF"/>
          </w:tcPr>
          <w:p>
            <w:pPr>
              <w:spacing w:after="0"/>
              <w:rPr>
                <w:sz w:val="9"/>
                <w:szCs w:val="9"/>
                <w:color w:val="auto"/>
              </w:rPr>
            </w:pPr>
          </w:p>
        </w:tc>
        <w:tc>
          <w:tcPr>
            <w:tcW w:w="38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500" w:type="dxa"/>
            <w:vAlign w:val="bottom"/>
            <w:tcBorders>
              <w:right w:val="single" w:sz="8" w:color="CCEEFF"/>
            </w:tcBorders>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120" w:type="dxa"/>
            <w:vAlign w:val="bottom"/>
            <w:tcBorders>
              <w:right w:val="single" w:sz="8" w:color="CCEEFF"/>
            </w:tcBorders>
            <w:shd w:val="clear" w:color="auto" w:fill="CCEEFF"/>
          </w:tcPr>
          <w:p>
            <w:pPr>
              <w:spacing w:after="0"/>
              <w:rPr>
                <w:sz w:val="9"/>
                <w:szCs w:val="9"/>
                <w:color w:val="auto"/>
              </w:rPr>
            </w:pPr>
          </w:p>
        </w:tc>
        <w:tc>
          <w:tcPr>
            <w:tcW w:w="440" w:type="dxa"/>
            <w:vAlign w:val="bottom"/>
            <w:tcBorders>
              <w:right w:val="single" w:sz="8" w:color="CCEEFF"/>
            </w:tcBorders>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12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40" w:type="dxa"/>
            <w:vAlign w:val="bottom"/>
            <w:shd w:val="clear" w:color="auto" w:fill="CCEEFF"/>
          </w:tcPr>
          <w:p>
            <w:pPr>
              <w:spacing w:after="0"/>
              <w:rPr>
                <w:sz w:val="9"/>
                <w:szCs w:val="9"/>
                <w:color w:val="auto"/>
              </w:rPr>
            </w:pPr>
          </w:p>
        </w:tc>
        <w:tc>
          <w:tcPr>
            <w:tcW w:w="420" w:type="dxa"/>
            <w:vAlign w:val="bottom"/>
            <w:shd w:val="clear" w:color="auto" w:fill="CCEEFF"/>
          </w:tcPr>
          <w:p>
            <w:pPr>
              <w:spacing w:after="0"/>
              <w:rPr>
                <w:sz w:val="9"/>
                <w:szCs w:val="9"/>
                <w:color w:val="auto"/>
              </w:rPr>
            </w:pPr>
          </w:p>
        </w:tc>
        <w:tc>
          <w:tcPr>
            <w:tcW w:w="16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4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28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300" w:type="dxa"/>
            <w:vAlign w:val="bottom"/>
            <w:shd w:val="clear" w:color="auto" w:fill="CCEEFF"/>
          </w:tcPr>
          <w:p>
            <w:pPr>
              <w:spacing w:after="0"/>
              <w:rPr>
                <w:sz w:val="9"/>
                <w:szCs w:val="9"/>
                <w:color w:val="auto"/>
              </w:rPr>
            </w:pPr>
          </w:p>
        </w:tc>
        <w:tc>
          <w:tcPr>
            <w:tcW w:w="180" w:type="dxa"/>
            <w:vAlign w:val="bottom"/>
            <w:tcBorders>
              <w:left w:val="single" w:sz="8" w:color="CCEEFF"/>
              <w:right w:val="single" w:sz="8" w:color="CCEEFF"/>
            </w:tcBorders>
            <w:shd w:val="clear" w:color="auto" w:fill="CCEEFF"/>
          </w:tcPr>
          <w:p>
            <w:pPr>
              <w:spacing w:after="0"/>
              <w:rPr>
                <w:sz w:val="9"/>
                <w:szCs w:val="9"/>
                <w:color w:val="auto"/>
              </w:rPr>
            </w:pPr>
          </w:p>
        </w:tc>
        <w:tc>
          <w:tcPr>
            <w:tcW w:w="42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380" w:type="dxa"/>
            <w:vAlign w:val="bottom"/>
            <w:tcBorders>
              <w:right w:val="single" w:sz="8" w:color="CCEEFF"/>
            </w:tcBorders>
            <w:shd w:val="clear" w:color="auto" w:fill="CCEEFF"/>
          </w:tcPr>
          <w:p>
            <w:pPr>
              <w:spacing w:after="0"/>
              <w:rPr>
                <w:sz w:val="9"/>
                <w:szCs w:val="9"/>
                <w:color w:val="auto"/>
              </w:rPr>
            </w:pPr>
          </w:p>
        </w:tc>
        <w:tc>
          <w:tcPr>
            <w:tcW w:w="52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color w:val="auto"/>
              </w:rPr>
              <w:t>468,582</w:t>
            </w:r>
          </w:p>
        </w:tc>
        <w:tc>
          <w:tcPr>
            <w:tcW w:w="60" w:type="dxa"/>
            <w:vAlign w:val="bottom"/>
            <w:shd w:val="clear" w:color="auto" w:fill="CCEEFF"/>
          </w:tcPr>
          <w:p>
            <w:pPr>
              <w:spacing w:after="0"/>
              <w:rPr>
                <w:sz w:val="9"/>
                <w:szCs w:val="9"/>
                <w:color w:val="auto"/>
              </w:rPr>
            </w:pPr>
          </w:p>
        </w:tc>
        <w:tc>
          <w:tcPr>
            <w:tcW w:w="560" w:type="dxa"/>
            <w:vAlign w:val="bottom"/>
            <w:shd w:val="clear" w:color="auto" w:fill="CCEEFF"/>
          </w:tcPr>
          <w:p>
            <w:pPr>
              <w:spacing w:after="0"/>
              <w:rPr>
                <w:sz w:val="9"/>
                <w:szCs w:val="9"/>
                <w:color w:val="auto"/>
              </w:rPr>
            </w:pPr>
          </w:p>
        </w:tc>
        <w:tc>
          <w:tcPr>
            <w:tcW w:w="120" w:type="dxa"/>
            <w:vAlign w:val="bottom"/>
            <w:shd w:val="clear" w:color="auto" w:fill="CCEEFF"/>
          </w:tcPr>
          <w:p>
            <w:pPr>
              <w:spacing w:after="0"/>
              <w:rPr>
                <w:sz w:val="9"/>
                <w:szCs w:val="9"/>
                <w:color w:val="auto"/>
              </w:rPr>
            </w:pPr>
          </w:p>
        </w:tc>
        <w:tc>
          <w:tcPr>
            <w:tcW w:w="560" w:type="dxa"/>
            <w:vAlign w:val="bottom"/>
            <w:tcBorders>
              <w:right w:val="single" w:sz="8" w:color="CCEEFF"/>
            </w:tcBorders>
            <w:vMerge w:val="continue"/>
            <w:shd w:val="clear" w:color="auto" w:fill="CCEEFF"/>
          </w:tcPr>
          <w:p>
            <w:pPr>
              <w:spacing w:after="0"/>
              <w:rPr>
                <w:sz w:val="9"/>
                <w:szCs w:val="9"/>
                <w:color w:val="auto"/>
              </w:rPr>
            </w:pPr>
          </w:p>
        </w:tc>
        <w:tc>
          <w:tcPr>
            <w:tcW w:w="0" w:type="dxa"/>
            <w:vAlign w:val="bottom"/>
          </w:tcPr>
          <w:p>
            <w:pPr>
              <w:spacing w:after="0"/>
              <w:rPr>
                <w:sz w:val="1"/>
                <w:szCs w:val="1"/>
                <w:color w:val="auto"/>
              </w:rPr>
            </w:pPr>
          </w:p>
        </w:tc>
      </w:tr>
      <w:tr>
        <w:trPr>
          <w:trHeight w:val="98"/>
        </w:trPr>
        <w:tc>
          <w:tcPr>
            <w:tcW w:w="20" w:type="dxa"/>
            <w:vAlign w:val="bottom"/>
            <w:vMerge w:val="restart"/>
          </w:tcPr>
          <w:p>
            <w:pPr>
              <w:spacing w:after="0"/>
              <w:rPr>
                <w:sz w:val="8"/>
                <w:szCs w:val="8"/>
                <w:color w:val="auto"/>
              </w:rPr>
            </w:pPr>
          </w:p>
        </w:tc>
        <w:tc>
          <w:tcPr>
            <w:tcW w:w="520" w:type="dxa"/>
            <w:vAlign w:val="bottom"/>
          </w:tcPr>
          <w:p>
            <w:pPr>
              <w:spacing w:after="0"/>
              <w:rPr>
                <w:sz w:val="8"/>
                <w:szCs w:val="8"/>
                <w:color w:val="auto"/>
              </w:rPr>
            </w:pPr>
          </w:p>
        </w:tc>
        <w:tc>
          <w:tcPr>
            <w:tcW w:w="400" w:type="dxa"/>
            <w:vAlign w:val="bottom"/>
          </w:tcPr>
          <w:p>
            <w:pPr>
              <w:spacing w:after="0"/>
              <w:rPr>
                <w:sz w:val="8"/>
                <w:szCs w:val="8"/>
                <w:color w:val="auto"/>
              </w:rPr>
            </w:pPr>
          </w:p>
        </w:tc>
        <w:tc>
          <w:tcPr>
            <w:tcW w:w="540" w:type="dxa"/>
            <w:vAlign w:val="bottom"/>
          </w:tcPr>
          <w:p>
            <w:pPr>
              <w:spacing w:after="0"/>
              <w:rPr>
                <w:sz w:val="8"/>
                <w:szCs w:val="8"/>
                <w:color w:val="auto"/>
              </w:rPr>
            </w:pPr>
          </w:p>
        </w:tc>
        <w:tc>
          <w:tcPr>
            <w:tcW w:w="380" w:type="dxa"/>
            <w:vAlign w:val="bottom"/>
          </w:tcPr>
          <w:p>
            <w:pPr>
              <w:spacing w:after="0"/>
              <w:rPr>
                <w:sz w:val="8"/>
                <w:szCs w:val="8"/>
                <w:color w:val="auto"/>
              </w:rPr>
            </w:pPr>
          </w:p>
        </w:tc>
        <w:tc>
          <w:tcPr>
            <w:tcW w:w="80" w:type="dxa"/>
            <w:vAlign w:val="bottom"/>
          </w:tcPr>
          <w:p>
            <w:pPr>
              <w:spacing w:after="0"/>
              <w:rPr>
                <w:sz w:val="8"/>
                <w:szCs w:val="8"/>
                <w:color w:val="auto"/>
              </w:rPr>
            </w:pPr>
          </w:p>
        </w:tc>
        <w:tc>
          <w:tcPr>
            <w:tcW w:w="500" w:type="dxa"/>
            <w:vAlign w:val="bottom"/>
          </w:tcPr>
          <w:p>
            <w:pPr>
              <w:spacing w:after="0"/>
              <w:rPr>
                <w:sz w:val="8"/>
                <w:szCs w:val="8"/>
                <w:color w:val="auto"/>
              </w:rPr>
            </w:pPr>
          </w:p>
        </w:tc>
        <w:tc>
          <w:tcPr>
            <w:tcW w:w="40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44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0" w:type="dxa"/>
            <w:vAlign w:val="bottom"/>
          </w:tcPr>
          <w:p>
            <w:pPr>
              <w:spacing w:after="0"/>
              <w:rPr>
                <w:sz w:val="8"/>
                <w:szCs w:val="8"/>
                <w:color w:val="auto"/>
              </w:rPr>
            </w:pPr>
          </w:p>
        </w:tc>
        <w:tc>
          <w:tcPr>
            <w:tcW w:w="420" w:type="dxa"/>
            <w:vAlign w:val="bottom"/>
          </w:tcPr>
          <w:p>
            <w:pPr>
              <w:spacing w:after="0"/>
              <w:rPr>
                <w:sz w:val="8"/>
                <w:szCs w:val="8"/>
                <w:color w:val="auto"/>
              </w:rPr>
            </w:pPr>
          </w:p>
        </w:tc>
        <w:tc>
          <w:tcPr>
            <w:tcW w:w="16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40" w:type="dxa"/>
            <w:vAlign w:val="bottom"/>
          </w:tcPr>
          <w:p>
            <w:pPr>
              <w:spacing w:after="0"/>
              <w:rPr>
                <w:sz w:val="8"/>
                <w:szCs w:val="8"/>
                <w:color w:val="auto"/>
              </w:rPr>
            </w:pPr>
          </w:p>
        </w:tc>
        <w:tc>
          <w:tcPr>
            <w:tcW w:w="14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40" w:type="dxa"/>
            <w:vAlign w:val="bottom"/>
          </w:tcPr>
          <w:p>
            <w:pPr>
              <w:spacing w:after="0"/>
              <w:rPr>
                <w:sz w:val="8"/>
                <w:szCs w:val="8"/>
                <w:color w:val="auto"/>
              </w:rPr>
            </w:pPr>
          </w:p>
        </w:tc>
        <w:tc>
          <w:tcPr>
            <w:tcW w:w="100" w:type="dxa"/>
            <w:vAlign w:val="bottom"/>
          </w:tcPr>
          <w:p>
            <w:pPr>
              <w:spacing w:after="0"/>
              <w:rPr>
                <w:sz w:val="8"/>
                <w:szCs w:val="8"/>
                <w:color w:val="auto"/>
              </w:rPr>
            </w:pPr>
          </w:p>
        </w:tc>
        <w:tc>
          <w:tcPr>
            <w:tcW w:w="280" w:type="dxa"/>
            <w:vAlign w:val="bottom"/>
          </w:tcPr>
          <w:p>
            <w:pPr>
              <w:spacing w:after="0"/>
              <w:rPr>
                <w:sz w:val="8"/>
                <w:szCs w:val="8"/>
                <w:color w:val="auto"/>
              </w:rPr>
            </w:pPr>
          </w:p>
        </w:tc>
        <w:tc>
          <w:tcPr>
            <w:tcW w:w="100" w:type="dxa"/>
            <w:vAlign w:val="bottom"/>
          </w:tcPr>
          <w:p>
            <w:pPr>
              <w:spacing w:after="0"/>
              <w:rPr>
                <w:sz w:val="8"/>
                <w:szCs w:val="8"/>
                <w:color w:val="auto"/>
              </w:rPr>
            </w:pPr>
          </w:p>
        </w:tc>
        <w:tc>
          <w:tcPr>
            <w:tcW w:w="300" w:type="dxa"/>
            <w:vAlign w:val="bottom"/>
          </w:tcPr>
          <w:p>
            <w:pPr>
              <w:spacing w:after="0"/>
              <w:rPr>
                <w:sz w:val="8"/>
                <w:szCs w:val="8"/>
                <w:color w:val="auto"/>
              </w:rPr>
            </w:pPr>
          </w:p>
        </w:tc>
        <w:tc>
          <w:tcPr>
            <w:tcW w:w="180" w:type="dxa"/>
            <w:vAlign w:val="bottom"/>
          </w:tcPr>
          <w:p>
            <w:pPr>
              <w:spacing w:after="0"/>
              <w:rPr>
                <w:sz w:val="8"/>
                <w:szCs w:val="8"/>
                <w:color w:val="auto"/>
              </w:rPr>
            </w:pPr>
          </w:p>
        </w:tc>
        <w:tc>
          <w:tcPr>
            <w:tcW w:w="420" w:type="dxa"/>
            <w:vAlign w:val="bottom"/>
          </w:tcPr>
          <w:p>
            <w:pPr>
              <w:spacing w:after="0"/>
              <w:rPr>
                <w:sz w:val="8"/>
                <w:szCs w:val="8"/>
                <w:color w:val="auto"/>
              </w:rPr>
            </w:pPr>
          </w:p>
        </w:tc>
        <w:tc>
          <w:tcPr>
            <w:tcW w:w="1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0" w:type="dxa"/>
            <w:vAlign w:val="bottom"/>
          </w:tcPr>
          <w:p>
            <w:pPr>
              <w:spacing w:after="0"/>
              <w:rPr>
                <w:sz w:val="8"/>
                <w:szCs w:val="8"/>
                <w:color w:val="auto"/>
              </w:rPr>
            </w:pPr>
          </w:p>
        </w:tc>
        <w:tc>
          <w:tcPr>
            <w:tcW w:w="44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560" w:type="dxa"/>
            <w:vAlign w:val="bottom"/>
          </w:tcPr>
          <w:p>
            <w:pPr>
              <w:spacing w:after="0"/>
              <w:rPr>
                <w:sz w:val="8"/>
                <w:szCs w:val="8"/>
                <w:color w:val="auto"/>
              </w:rPr>
            </w:pPr>
          </w:p>
        </w:tc>
        <w:tc>
          <w:tcPr>
            <w:tcW w:w="120" w:type="dxa"/>
            <w:vAlign w:val="bottom"/>
          </w:tcPr>
          <w:p>
            <w:pPr>
              <w:spacing w:after="0"/>
              <w:rPr>
                <w:sz w:val="8"/>
                <w:szCs w:val="8"/>
                <w:color w:val="auto"/>
              </w:rPr>
            </w:pPr>
          </w:p>
        </w:tc>
        <w:tc>
          <w:tcPr>
            <w:tcW w:w="5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87"/>
        </w:trPr>
        <w:tc>
          <w:tcPr>
            <w:tcW w:w="20" w:type="dxa"/>
            <w:vAlign w:val="bottom"/>
            <w:vMerge w:val="continue"/>
          </w:tcPr>
          <w:p>
            <w:pPr>
              <w:spacing w:after="0"/>
              <w:rPr>
                <w:sz w:val="7"/>
                <w:szCs w:val="7"/>
                <w:color w:val="auto"/>
              </w:rPr>
            </w:pPr>
          </w:p>
        </w:tc>
        <w:tc>
          <w:tcPr>
            <w:tcW w:w="520" w:type="dxa"/>
            <w:vAlign w:val="bottom"/>
            <w:tcBorders>
              <w:right w:val="single" w:sz="8" w:color="CCEEFF"/>
            </w:tcBorders>
            <w:shd w:val="clear" w:color="auto" w:fill="CCEEFF"/>
          </w:tcPr>
          <w:p>
            <w:pPr>
              <w:spacing w:after="0" w:line="87" w:lineRule="exact"/>
              <w:rPr>
                <w:sz w:val="20"/>
                <w:szCs w:val="20"/>
                <w:color w:val="auto"/>
              </w:rPr>
            </w:pPr>
            <w:r>
              <w:rPr>
                <w:rFonts w:ascii="Arial" w:cs="Arial" w:eastAsia="Arial" w:hAnsi="Arial"/>
                <w:sz w:val="9"/>
                <w:szCs w:val="9"/>
                <w:color w:val="auto"/>
              </w:rPr>
              <w:t>Issuance of</w:t>
            </w:r>
          </w:p>
        </w:tc>
        <w:tc>
          <w:tcPr>
            <w:tcW w:w="400" w:type="dxa"/>
            <w:vAlign w:val="bottom"/>
            <w:tcBorders>
              <w:right w:val="single" w:sz="8" w:color="CCEEFF"/>
            </w:tcBorders>
            <w:shd w:val="clear" w:color="auto" w:fill="CCEEFF"/>
          </w:tcPr>
          <w:p>
            <w:pPr>
              <w:spacing w:after="0"/>
              <w:rPr>
                <w:sz w:val="7"/>
                <w:szCs w:val="7"/>
                <w:color w:val="auto"/>
              </w:rPr>
            </w:pPr>
          </w:p>
        </w:tc>
        <w:tc>
          <w:tcPr>
            <w:tcW w:w="540" w:type="dxa"/>
            <w:vAlign w:val="bottom"/>
            <w:tcBorders>
              <w:right w:val="single" w:sz="8" w:color="CCEEFF"/>
            </w:tcBorders>
            <w:shd w:val="clear" w:color="auto" w:fill="CCEEFF"/>
          </w:tcPr>
          <w:p>
            <w:pPr>
              <w:spacing w:after="0"/>
              <w:rPr>
                <w:sz w:val="7"/>
                <w:szCs w:val="7"/>
                <w:color w:val="auto"/>
              </w:rPr>
            </w:pPr>
          </w:p>
        </w:tc>
        <w:tc>
          <w:tcPr>
            <w:tcW w:w="38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500" w:type="dxa"/>
            <w:vAlign w:val="bottom"/>
            <w:tcBorders>
              <w:right w:val="single" w:sz="8" w:color="CCEEFF"/>
            </w:tcBorders>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440" w:type="dxa"/>
            <w:vAlign w:val="bottom"/>
            <w:tcBorders>
              <w:right w:val="single" w:sz="8" w:color="CCEEFF"/>
            </w:tcBorders>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0" w:type="dxa"/>
            <w:vAlign w:val="bottom"/>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6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4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28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300" w:type="dxa"/>
            <w:vAlign w:val="bottom"/>
            <w:shd w:val="clear" w:color="auto" w:fill="CCEEFF"/>
          </w:tcPr>
          <w:p>
            <w:pPr>
              <w:spacing w:after="0"/>
              <w:rPr>
                <w:sz w:val="7"/>
                <w:szCs w:val="7"/>
                <w:color w:val="auto"/>
              </w:rPr>
            </w:pPr>
          </w:p>
        </w:tc>
        <w:tc>
          <w:tcPr>
            <w:tcW w:w="180" w:type="dxa"/>
            <w:vAlign w:val="bottom"/>
            <w:tcBorders>
              <w:left w:val="single" w:sz="8" w:color="CCEEFF"/>
              <w:right w:val="single" w:sz="8" w:color="CCEEFF"/>
            </w:tcBorders>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380" w:type="dxa"/>
            <w:vAlign w:val="bottom"/>
            <w:tcBorders>
              <w:right w:val="single" w:sz="8" w:color="CCEEFF"/>
            </w:tcBorders>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560" w:type="dxa"/>
            <w:vAlign w:val="bottom"/>
            <w:shd w:val="clear" w:color="auto" w:fill="CCEEFF"/>
          </w:tcPr>
          <w:p>
            <w:pPr>
              <w:spacing w:after="0"/>
              <w:rPr>
                <w:sz w:val="7"/>
                <w:szCs w:val="7"/>
                <w:color w:val="auto"/>
              </w:rPr>
            </w:pPr>
          </w:p>
        </w:tc>
        <w:tc>
          <w:tcPr>
            <w:tcW w:w="120" w:type="dxa"/>
            <w:vAlign w:val="bottom"/>
            <w:shd w:val="clear" w:color="auto" w:fill="CCEEFF"/>
          </w:tcPr>
          <w:p>
            <w:pPr>
              <w:spacing w:after="0"/>
              <w:rPr>
                <w:sz w:val="7"/>
                <w:szCs w:val="7"/>
                <w:color w:val="auto"/>
              </w:rPr>
            </w:pPr>
          </w:p>
        </w:tc>
        <w:tc>
          <w:tcPr>
            <w:tcW w:w="560" w:type="dxa"/>
            <w:vAlign w:val="bottom"/>
            <w:tcBorders>
              <w:right w:val="single" w:sz="8" w:color="CCEEFF"/>
            </w:tcBorders>
            <w:shd w:val="clear" w:color="auto" w:fill="CCEEFF"/>
          </w:tcPr>
          <w:p>
            <w:pPr>
              <w:spacing w:after="0"/>
              <w:rPr>
                <w:sz w:val="7"/>
                <w:szCs w:val="7"/>
                <w:color w:val="auto"/>
              </w:rPr>
            </w:pPr>
          </w:p>
        </w:tc>
        <w:tc>
          <w:tcPr>
            <w:tcW w:w="0" w:type="dxa"/>
            <w:vAlign w:val="bottom"/>
          </w:tcPr>
          <w:p>
            <w:pPr>
              <w:spacing w:after="0"/>
              <w:rPr>
                <w:sz w:val="1"/>
                <w:szCs w:val="1"/>
                <w:color w:val="auto"/>
              </w:rPr>
            </w:pPr>
          </w:p>
        </w:tc>
      </w:tr>
      <w:tr>
        <w:trPr>
          <w:trHeight w:val="98"/>
        </w:trPr>
        <w:tc>
          <w:tcPr>
            <w:tcW w:w="20" w:type="dxa"/>
            <w:vAlign w:val="bottom"/>
          </w:tcPr>
          <w:p>
            <w:pPr>
              <w:spacing w:after="0"/>
              <w:rPr>
                <w:sz w:val="8"/>
                <w:szCs w:val="8"/>
                <w:color w:val="auto"/>
              </w:rPr>
            </w:pPr>
          </w:p>
        </w:tc>
        <w:tc>
          <w:tcPr>
            <w:tcW w:w="520" w:type="dxa"/>
            <w:vAlign w:val="bottom"/>
            <w:tcBorders>
              <w:right w:val="single" w:sz="8" w:color="CCEEFF"/>
            </w:tcBorders>
            <w:shd w:val="clear" w:color="auto" w:fill="CCEEFF"/>
          </w:tcPr>
          <w:p>
            <w:pPr>
              <w:spacing w:after="0" w:line="98" w:lineRule="exact"/>
              <w:rPr>
                <w:sz w:val="20"/>
                <w:szCs w:val="20"/>
                <w:color w:val="auto"/>
              </w:rPr>
            </w:pPr>
            <w:r>
              <w:rPr>
                <w:rFonts w:ascii="Arial" w:cs="Arial" w:eastAsia="Arial" w:hAnsi="Arial"/>
                <w:sz w:val="9"/>
                <w:szCs w:val="9"/>
                <w:color w:val="auto"/>
              </w:rPr>
              <w:t>Series s</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560" w:type="dxa"/>
            <w:vAlign w:val="bottom"/>
            <w:shd w:val="clear" w:color="auto" w:fill="CCEEFF"/>
          </w:tcPr>
          <w:p>
            <w:pPr>
              <w:spacing w:after="0"/>
              <w:rPr>
                <w:sz w:val="8"/>
                <w:szCs w:val="8"/>
                <w:color w:val="auto"/>
              </w:rPr>
            </w:pPr>
          </w:p>
        </w:tc>
        <w:tc>
          <w:tcPr>
            <w:tcW w:w="120" w:type="dxa"/>
            <w:vAlign w:val="bottom"/>
            <w:shd w:val="clear" w:color="auto" w:fill="CCEEFF"/>
          </w:tcPr>
          <w:p>
            <w:pPr>
              <w:spacing w:after="0"/>
              <w:rPr>
                <w:sz w:val="8"/>
                <w:szCs w:val="8"/>
                <w:color w:val="auto"/>
              </w:rPr>
            </w:pPr>
          </w:p>
        </w:tc>
        <w:tc>
          <w:tcPr>
            <w:tcW w:w="560" w:type="dxa"/>
            <w:vAlign w:val="bottom"/>
            <w:tcBorders>
              <w:right w:val="single" w:sz="8" w:color="CCEEFF"/>
            </w:tcBorders>
            <w:shd w:val="clear" w:color="auto" w:fill="CCEEFF"/>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0" w:type="dxa"/>
            <w:vAlign w:val="bottom"/>
          </w:tcPr>
          <w:p>
            <w:pPr>
              <w:spacing w:after="0"/>
              <w:rPr>
                <w:sz w:val="8"/>
                <w:szCs w:val="8"/>
                <w:color w:val="auto"/>
              </w:rPr>
            </w:pPr>
          </w:p>
        </w:tc>
        <w:tc>
          <w:tcPr>
            <w:tcW w:w="520" w:type="dxa"/>
            <w:vAlign w:val="bottom"/>
            <w:tcBorders>
              <w:right w:val="single" w:sz="8" w:color="CCEEFF"/>
            </w:tcBorders>
            <w:shd w:val="clear" w:color="auto" w:fill="CCEEFF"/>
          </w:tcPr>
          <w:p>
            <w:pPr>
              <w:spacing w:after="0" w:line="98" w:lineRule="exact"/>
              <w:rPr>
                <w:sz w:val="20"/>
                <w:szCs w:val="20"/>
                <w:color w:val="auto"/>
              </w:rPr>
            </w:pPr>
            <w:r>
              <w:rPr>
                <w:rFonts w:ascii="Arial" w:cs="Arial" w:eastAsia="Arial" w:hAnsi="Arial"/>
                <w:sz w:val="9"/>
                <w:szCs w:val="9"/>
                <w:color w:val="auto"/>
              </w:rPr>
              <w:t>Preferred</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560" w:type="dxa"/>
            <w:vAlign w:val="bottom"/>
            <w:shd w:val="clear" w:color="auto" w:fill="CCEEFF"/>
          </w:tcPr>
          <w:p>
            <w:pPr>
              <w:spacing w:after="0"/>
              <w:rPr>
                <w:sz w:val="8"/>
                <w:szCs w:val="8"/>
                <w:color w:val="auto"/>
              </w:rPr>
            </w:pPr>
          </w:p>
        </w:tc>
        <w:tc>
          <w:tcPr>
            <w:tcW w:w="120" w:type="dxa"/>
            <w:vAlign w:val="bottom"/>
            <w:shd w:val="clear" w:color="auto" w:fill="CCEEFF"/>
          </w:tcPr>
          <w:p>
            <w:pPr>
              <w:spacing w:after="0"/>
              <w:rPr>
                <w:sz w:val="8"/>
                <w:szCs w:val="8"/>
                <w:color w:val="auto"/>
              </w:rPr>
            </w:pPr>
          </w:p>
        </w:tc>
        <w:tc>
          <w:tcPr>
            <w:tcW w:w="560" w:type="dxa"/>
            <w:vAlign w:val="bottom"/>
            <w:tcBorders>
              <w:right w:val="single" w:sz="8" w:color="CCEEFF"/>
            </w:tcBorders>
            <w:vMerge w:val="restart"/>
            <w:shd w:val="clear" w:color="auto" w:fill="CCEEFF"/>
          </w:tcPr>
          <w:p>
            <w:pPr>
              <w:jc w:val="right"/>
              <w:spacing w:after="0"/>
              <w:rPr>
                <w:sz w:val="20"/>
                <w:szCs w:val="20"/>
                <w:color w:val="auto"/>
              </w:rPr>
            </w:pPr>
            <w:r>
              <w:rPr>
                <w:rFonts w:ascii="Arial" w:cs="Arial" w:eastAsia="Arial" w:hAnsi="Arial"/>
                <w:sz w:val="9"/>
                <w:szCs w:val="9"/>
                <w:b w:val="1"/>
                <w:bCs w:val="1"/>
                <w:color w:val="auto"/>
              </w:rPr>
              <w:t>-</w:t>
            </w:r>
          </w:p>
        </w:tc>
        <w:tc>
          <w:tcPr>
            <w:tcW w:w="0" w:type="dxa"/>
            <w:vAlign w:val="bottom"/>
          </w:tcPr>
          <w:p>
            <w:pPr>
              <w:spacing w:after="0"/>
              <w:rPr>
                <w:sz w:val="1"/>
                <w:szCs w:val="1"/>
                <w:color w:val="auto"/>
              </w:rPr>
            </w:pPr>
          </w:p>
        </w:tc>
      </w:tr>
      <w:tr>
        <w:trPr>
          <w:trHeight w:val="109"/>
        </w:trPr>
        <w:tc>
          <w:tcPr>
            <w:tcW w:w="20" w:type="dxa"/>
            <w:vAlign w:val="bottom"/>
          </w:tcPr>
          <w:p>
            <w:pPr>
              <w:spacing w:after="0"/>
              <w:rPr>
                <w:sz w:val="9"/>
                <w:szCs w:val="9"/>
                <w:color w:val="auto"/>
              </w:rPr>
            </w:pPr>
          </w:p>
        </w:tc>
        <w:tc>
          <w:tcPr>
            <w:tcW w:w="52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9"/>
                <w:szCs w:val="9"/>
                <w:color w:val="auto"/>
              </w:rPr>
              <w:t>stock</w:t>
            </w:r>
          </w:p>
        </w:tc>
        <w:tc>
          <w:tcPr>
            <w:tcW w:w="400" w:type="dxa"/>
            <w:vAlign w:val="bottom"/>
            <w:tcBorders>
              <w:right w:val="single" w:sz="8" w:color="CCEEFF"/>
            </w:tcBorders>
            <w:shd w:val="clear" w:color="auto" w:fill="CCEEFF"/>
          </w:tcPr>
          <w:p>
            <w:pPr>
              <w:spacing w:after="0"/>
              <w:rPr>
                <w:sz w:val="9"/>
                <w:szCs w:val="9"/>
                <w:color w:val="auto"/>
              </w:rPr>
            </w:pPr>
          </w:p>
        </w:tc>
        <w:tc>
          <w:tcPr>
            <w:tcW w:w="540" w:type="dxa"/>
            <w:vAlign w:val="bottom"/>
            <w:tcBorders>
              <w:right w:val="single" w:sz="8" w:color="CCEEFF"/>
            </w:tcBorders>
            <w:shd w:val="clear" w:color="auto" w:fill="CCEEFF"/>
          </w:tcPr>
          <w:p>
            <w:pPr>
              <w:spacing w:after="0"/>
              <w:rPr>
                <w:sz w:val="9"/>
                <w:szCs w:val="9"/>
                <w:color w:val="auto"/>
              </w:rPr>
            </w:pPr>
          </w:p>
        </w:tc>
        <w:tc>
          <w:tcPr>
            <w:tcW w:w="38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500" w:type="dxa"/>
            <w:vAlign w:val="bottom"/>
            <w:tcBorders>
              <w:right w:val="single" w:sz="8" w:color="CCEEFF"/>
            </w:tcBorders>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120" w:type="dxa"/>
            <w:vAlign w:val="bottom"/>
            <w:tcBorders>
              <w:right w:val="single" w:sz="8" w:color="CCEEFF"/>
            </w:tcBorders>
            <w:shd w:val="clear" w:color="auto" w:fill="CCEEFF"/>
          </w:tcPr>
          <w:p>
            <w:pPr>
              <w:spacing w:after="0"/>
              <w:rPr>
                <w:sz w:val="9"/>
                <w:szCs w:val="9"/>
                <w:color w:val="auto"/>
              </w:rPr>
            </w:pPr>
          </w:p>
        </w:tc>
        <w:tc>
          <w:tcPr>
            <w:tcW w:w="440" w:type="dxa"/>
            <w:vAlign w:val="bottom"/>
            <w:tcBorders>
              <w:right w:val="single" w:sz="8" w:color="CCEEFF"/>
            </w:tcBorders>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120" w:type="dxa"/>
            <w:vAlign w:val="bottom"/>
            <w:tcBorders>
              <w:right w:val="single" w:sz="8" w:color="CCEEFF"/>
            </w:tcBorders>
            <w:shd w:val="clear" w:color="auto" w:fill="CCEEFF"/>
          </w:tcPr>
          <w:p>
            <w:pPr>
              <w:spacing w:after="0"/>
              <w:rPr>
                <w:sz w:val="9"/>
                <w:szCs w:val="9"/>
                <w:color w:val="auto"/>
              </w:rPr>
            </w:pPr>
          </w:p>
        </w:tc>
        <w:tc>
          <w:tcPr>
            <w:tcW w:w="460" w:type="dxa"/>
            <w:vAlign w:val="bottom"/>
            <w:gridSpan w:val="2"/>
            <w:shd w:val="clear" w:color="auto" w:fill="CCEEFF"/>
          </w:tcPr>
          <w:p>
            <w:pPr>
              <w:jc w:val="right"/>
              <w:ind w:right="100"/>
              <w:spacing w:after="0"/>
              <w:rPr>
                <w:sz w:val="20"/>
                <w:szCs w:val="20"/>
                <w:color w:val="auto"/>
              </w:rPr>
            </w:pPr>
            <w:r>
              <w:rPr>
                <w:rFonts w:ascii="Arial" w:cs="Arial" w:eastAsia="Arial" w:hAnsi="Arial"/>
                <w:sz w:val="9"/>
                <w:szCs w:val="9"/>
                <w:color w:val="auto"/>
              </w:rPr>
              <w:t>433,233</w:t>
            </w:r>
          </w:p>
        </w:tc>
        <w:tc>
          <w:tcPr>
            <w:tcW w:w="40" w:type="dxa"/>
            <w:vAlign w:val="bottom"/>
            <w:shd w:val="clear" w:color="auto" w:fill="CCEEFF"/>
          </w:tcPr>
          <w:p>
            <w:pPr>
              <w:spacing w:after="0"/>
              <w:rPr>
                <w:sz w:val="9"/>
                <w:szCs w:val="9"/>
                <w:color w:val="auto"/>
              </w:rPr>
            </w:pPr>
          </w:p>
        </w:tc>
        <w:tc>
          <w:tcPr>
            <w:tcW w:w="580" w:type="dxa"/>
            <w:vAlign w:val="bottom"/>
            <w:tcBorders>
              <w:right w:val="single" w:sz="8" w:color="CCEEFF"/>
            </w:tcBorders>
            <w:gridSpan w:val="2"/>
            <w:shd w:val="clear" w:color="auto" w:fill="CCEEFF"/>
          </w:tcPr>
          <w:p>
            <w:pPr>
              <w:jc w:val="right"/>
              <w:ind w:right="160"/>
              <w:spacing w:after="0"/>
              <w:rPr>
                <w:sz w:val="20"/>
                <w:szCs w:val="20"/>
                <w:color w:val="auto"/>
              </w:rPr>
            </w:pPr>
            <w:r>
              <w:rPr>
                <w:rFonts w:ascii="Arial" w:cs="Arial" w:eastAsia="Arial" w:hAnsi="Arial"/>
                <w:sz w:val="9"/>
                <w:szCs w:val="9"/>
                <w:color w:val="auto"/>
                <w:w w:val="99"/>
              </w:rPr>
              <w:t>2,976,575</w:t>
            </w:r>
          </w:p>
        </w:tc>
        <w:tc>
          <w:tcPr>
            <w:tcW w:w="36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4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28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300" w:type="dxa"/>
            <w:vAlign w:val="bottom"/>
            <w:shd w:val="clear" w:color="auto" w:fill="CCEEFF"/>
          </w:tcPr>
          <w:p>
            <w:pPr>
              <w:spacing w:after="0"/>
              <w:rPr>
                <w:sz w:val="9"/>
                <w:szCs w:val="9"/>
                <w:color w:val="auto"/>
              </w:rPr>
            </w:pPr>
          </w:p>
        </w:tc>
        <w:tc>
          <w:tcPr>
            <w:tcW w:w="180" w:type="dxa"/>
            <w:vAlign w:val="bottom"/>
            <w:tcBorders>
              <w:left w:val="single" w:sz="8" w:color="CCEEFF"/>
              <w:right w:val="single" w:sz="8" w:color="CCEEFF"/>
            </w:tcBorders>
            <w:shd w:val="clear" w:color="auto" w:fill="CCEEFF"/>
          </w:tcPr>
          <w:p>
            <w:pPr>
              <w:spacing w:after="0"/>
              <w:rPr>
                <w:sz w:val="9"/>
                <w:szCs w:val="9"/>
                <w:color w:val="auto"/>
              </w:rPr>
            </w:pPr>
          </w:p>
        </w:tc>
        <w:tc>
          <w:tcPr>
            <w:tcW w:w="42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380" w:type="dxa"/>
            <w:vAlign w:val="bottom"/>
            <w:tcBorders>
              <w:right w:val="single" w:sz="8" w:color="CCEEFF"/>
            </w:tcBorders>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560" w:type="dxa"/>
            <w:vAlign w:val="bottom"/>
            <w:shd w:val="clear" w:color="auto" w:fill="CCEEFF"/>
          </w:tcPr>
          <w:p>
            <w:pPr>
              <w:spacing w:after="0"/>
              <w:rPr>
                <w:sz w:val="9"/>
                <w:szCs w:val="9"/>
                <w:color w:val="auto"/>
              </w:rPr>
            </w:pPr>
          </w:p>
        </w:tc>
        <w:tc>
          <w:tcPr>
            <w:tcW w:w="120" w:type="dxa"/>
            <w:vAlign w:val="bottom"/>
            <w:shd w:val="clear" w:color="auto" w:fill="CCEEFF"/>
          </w:tcPr>
          <w:p>
            <w:pPr>
              <w:spacing w:after="0"/>
              <w:rPr>
                <w:sz w:val="9"/>
                <w:szCs w:val="9"/>
                <w:color w:val="auto"/>
              </w:rPr>
            </w:pPr>
          </w:p>
        </w:tc>
        <w:tc>
          <w:tcPr>
            <w:tcW w:w="560" w:type="dxa"/>
            <w:vAlign w:val="bottom"/>
            <w:tcBorders>
              <w:right w:val="single" w:sz="8" w:color="CCEEFF"/>
            </w:tcBorders>
            <w:vMerge w:val="continue"/>
            <w:shd w:val="clear" w:color="auto" w:fill="CCEEFF"/>
          </w:tcPr>
          <w:p>
            <w:pPr>
              <w:spacing w:after="0"/>
              <w:rPr>
                <w:sz w:val="9"/>
                <w:szCs w:val="9"/>
                <w:color w:val="auto"/>
              </w:rPr>
            </w:pPr>
          </w:p>
        </w:tc>
        <w:tc>
          <w:tcPr>
            <w:tcW w:w="0" w:type="dxa"/>
            <w:vAlign w:val="bottom"/>
          </w:tcPr>
          <w:p>
            <w:pPr>
              <w:spacing w:after="0"/>
              <w:rPr>
                <w:sz w:val="1"/>
                <w:szCs w:val="1"/>
                <w:color w:val="auto"/>
              </w:rPr>
            </w:pPr>
          </w:p>
        </w:tc>
      </w:tr>
      <w:tr>
        <w:trPr>
          <w:trHeight w:val="98"/>
        </w:trPr>
        <w:tc>
          <w:tcPr>
            <w:tcW w:w="20" w:type="dxa"/>
            <w:vAlign w:val="bottom"/>
            <w:vMerge w:val="restart"/>
          </w:tcPr>
          <w:p>
            <w:pPr>
              <w:spacing w:after="0"/>
              <w:rPr>
                <w:sz w:val="8"/>
                <w:szCs w:val="8"/>
                <w:color w:val="auto"/>
              </w:rPr>
            </w:pPr>
          </w:p>
        </w:tc>
        <w:tc>
          <w:tcPr>
            <w:tcW w:w="520" w:type="dxa"/>
            <w:vAlign w:val="bottom"/>
          </w:tcPr>
          <w:p>
            <w:pPr>
              <w:spacing w:after="0"/>
              <w:rPr>
                <w:sz w:val="8"/>
                <w:szCs w:val="8"/>
                <w:color w:val="auto"/>
              </w:rPr>
            </w:pPr>
          </w:p>
        </w:tc>
        <w:tc>
          <w:tcPr>
            <w:tcW w:w="400" w:type="dxa"/>
            <w:vAlign w:val="bottom"/>
          </w:tcPr>
          <w:p>
            <w:pPr>
              <w:spacing w:after="0"/>
              <w:rPr>
                <w:sz w:val="8"/>
                <w:szCs w:val="8"/>
                <w:color w:val="auto"/>
              </w:rPr>
            </w:pPr>
          </w:p>
        </w:tc>
        <w:tc>
          <w:tcPr>
            <w:tcW w:w="540" w:type="dxa"/>
            <w:vAlign w:val="bottom"/>
          </w:tcPr>
          <w:p>
            <w:pPr>
              <w:spacing w:after="0"/>
              <w:rPr>
                <w:sz w:val="8"/>
                <w:szCs w:val="8"/>
                <w:color w:val="auto"/>
              </w:rPr>
            </w:pPr>
          </w:p>
        </w:tc>
        <w:tc>
          <w:tcPr>
            <w:tcW w:w="380" w:type="dxa"/>
            <w:vAlign w:val="bottom"/>
          </w:tcPr>
          <w:p>
            <w:pPr>
              <w:spacing w:after="0"/>
              <w:rPr>
                <w:sz w:val="8"/>
                <w:szCs w:val="8"/>
                <w:color w:val="auto"/>
              </w:rPr>
            </w:pPr>
          </w:p>
        </w:tc>
        <w:tc>
          <w:tcPr>
            <w:tcW w:w="80" w:type="dxa"/>
            <w:vAlign w:val="bottom"/>
          </w:tcPr>
          <w:p>
            <w:pPr>
              <w:spacing w:after="0"/>
              <w:rPr>
                <w:sz w:val="8"/>
                <w:szCs w:val="8"/>
                <w:color w:val="auto"/>
              </w:rPr>
            </w:pPr>
          </w:p>
        </w:tc>
        <w:tc>
          <w:tcPr>
            <w:tcW w:w="500" w:type="dxa"/>
            <w:vAlign w:val="bottom"/>
          </w:tcPr>
          <w:p>
            <w:pPr>
              <w:spacing w:after="0"/>
              <w:rPr>
                <w:sz w:val="8"/>
                <w:szCs w:val="8"/>
                <w:color w:val="auto"/>
              </w:rPr>
            </w:pPr>
          </w:p>
        </w:tc>
        <w:tc>
          <w:tcPr>
            <w:tcW w:w="40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44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0" w:type="dxa"/>
            <w:vAlign w:val="bottom"/>
          </w:tcPr>
          <w:p>
            <w:pPr>
              <w:spacing w:after="0"/>
              <w:rPr>
                <w:sz w:val="8"/>
                <w:szCs w:val="8"/>
                <w:color w:val="auto"/>
              </w:rPr>
            </w:pPr>
          </w:p>
        </w:tc>
        <w:tc>
          <w:tcPr>
            <w:tcW w:w="420" w:type="dxa"/>
            <w:vAlign w:val="bottom"/>
          </w:tcPr>
          <w:p>
            <w:pPr>
              <w:spacing w:after="0"/>
              <w:rPr>
                <w:sz w:val="8"/>
                <w:szCs w:val="8"/>
                <w:color w:val="auto"/>
              </w:rPr>
            </w:pPr>
          </w:p>
        </w:tc>
        <w:tc>
          <w:tcPr>
            <w:tcW w:w="16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40" w:type="dxa"/>
            <w:vAlign w:val="bottom"/>
          </w:tcPr>
          <w:p>
            <w:pPr>
              <w:spacing w:after="0"/>
              <w:rPr>
                <w:sz w:val="8"/>
                <w:szCs w:val="8"/>
                <w:color w:val="auto"/>
              </w:rPr>
            </w:pPr>
          </w:p>
        </w:tc>
        <w:tc>
          <w:tcPr>
            <w:tcW w:w="14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40" w:type="dxa"/>
            <w:vAlign w:val="bottom"/>
          </w:tcPr>
          <w:p>
            <w:pPr>
              <w:spacing w:after="0"/>
              <w:rPr>
                <w:sz w:val="8"/>
                <w:szCs w:val="8"/>
                <w:color w:val="auto"/>
              </w:rPr>
            </w:pPr>
          </w:p>
        </w:tc>
        <w:tc>
          <w:tcPr>
            <w:tcW w:w="100" w:type="dxa"/>
            <w:vAlign w:val="bottom"/>
          </w:tcPr>
          <w:p>
            <w:pPr>
              <w:spacing w:after="0"/>
              <w:rPr>
                <w:sz w:val="8"/>
                <w:szCs w:val="8"/>
                <w:color w:val="auto"/>
              </w:rPr>
            </w:pPr>
          </w:p>
        </w:tc>
        <w:tc>
          <w:tcPr>
            <w:tcW w:w="280" w:type="dxa"/>
            <w:vAlign w:val="bottom"/>
          </w:tcPr>
          <w:p>
            <w:pPr>
              <w:spacing w:after="0"/>
              <w:rPr>
                <w:sz w:val="8"/>
                <w:szCs w:val="8"/>
                <w:color w:val="auto"/>
              </w:rPr>
            </w:pPr>
          </w:p>
        </w:tc>
        <w:tc>
          <w:tcPr>
            <w:tcW w:w="100" w:type="dxa"/>
            <w:vAlign w:val="bottom"/>
          </w:tcPr>
          <w:p>
            <w:pPr>
              <w:spacing w:after="0"/>
              <w:rPr>
                <w:sz w:val="8"/>
                <w:szCs w:val="8"/>
                <w:color w:val="auto"/>
              </w:rPr>
            </w:pPr>
          </w:p>
        </w:tc>
        <w:tc>
          <w:tcPr>
            <w:tcW w:w="300" w:type="dxa"/>
            <w:vAlign w:val="bottom"/>
          </w:tcPr>
          <w:p>
            <w:pPr>
              <w:spacing w:after="0"/>
              <w:rPr>
                <w:sz w:val="8"/>
                <w:szCs w:val="8"/>
                <w:color w:val="auto"/>
              </w:rPr>
            </w:pPr>
          </w:p>
        </w:tc>
        <w:tc>
          <w:tcPr>
            <w:tcW w:w="180" w:type="dxa"/>
            <w:vAlign w:val="bottom"/>
          </w:tcPr>
          <w:p>
            <w:pPr>
              <w:spacing w:after="0"/>
              <w:rPr>
                <w:sz w:val="8"/>
                <w:szCs w:val="8"/>
                <w:color w:val="auto"/>
              </w:rPr>
            </w:pPr>
          </w:p>
        </w:tc>
        <w:tc>
          <w:tcPr>
            <w:tcW w:w="420" w:type="dxa"/>
            <w:vAlign w:val="bottom"/>
          </w:tcPr>
          <w:p>
            <w:pPr>
              <w:spacing w:after="0"/>
              <w:rPr>
                <w:sz w:val="8"/>
                <w:szCs w:val="8"/>
                <w:color w:val="auto"/>
              </w:rPr>
            </w:pPr>
          </w:p>
        </w:tc>
        <w:tc>
          <w:tcPr>
            <w:tcW w:w="1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0" w:type="dxa"/>
            <w:vAlign w:val="bottom"/>
          </w:tcPr>
          <w:p>
            <w:pPr>
              <w:spacing w:after="0"/>
              <w:rPr>
                <w:sz w:val="8"/>
                <w:szCs w:val="8"/>
                <w:color w:val="auto"/>
              </w:rPr>
            </w:pPr>
          </w:p>
        </w:tc>
        <w:tc>
          <w:tcPr>
            <w:tcW w:w="44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560" w:type="dxa"/>
            <w:vAlign w:val="bottom"/>
          </w:tcPr>
          <w:p>
            <w:pPr>
              <w:spacing w:after="0"/>
              <w:rPr>
                <w:sz w:val="8"/>
                <w:szCs w:val="8"/>
                <w:color w:val="auto"/>
              </w:rPr>
            </w:pPr>
          </w:p>
        </w:tc>
        <w:tc>
          <w:tcPr>
            <w:tcW w:w="120" w:type="dxa"/>
            <w:vAlign w:val="bottom"/>
          </w:tcPr>
          <w:p>
            <w:pPr>
              <w:spacing w:after="0"/>
              <w:rPr>
                <w:sz w:val="8"/>
                <w:szCs w:val="8"/>
                <w:color w:val="auto"/>
              </w:rPr>
            </w:pPr>
          </w:p>
        </w:tc>
        <w:tc>
          <w:tcPr>
            <w:tcW w:w="5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87"/>
        </w:trPr>
        <w:tc>
          <w:tcPr>
            <w:tcW w:w="20" w:type="dxa"/>
            <w:vAlign w:val="bottom"/>
            <w:vMerge w:val="continue"/>
          </w:tcPr>
          <w:p>
            <w:pPr>
              <w:spacing w:after="0"/>
              <w:rPr>
                <w:sz w:val="7"/>
                <w:szCs w:val="7"/>
                <w:color w:val="auto"/>
              </w:rPr>
            </w:pPr>
          </w:p>
        </w:tc>
        <w:tc>
          <w:tcPr>
            <w:tcW w:w="520" w:type="dxa"/>
            <w:vAlign w:val="bottom"/>
            <w:tcBorders>
              <w:right w:val="single" w:sz="8" w:color="CCEEFF"/>
            </w:tcBorders>
            <w:shd w:val="clear" w:color="auto" w:fill="CCEEFF"/>
          </w:tcPr>
          <w:p>
            <w:pPr>
              <w:spacing w:after="0" w:line="87" w:lineRule="exact"/>
              <w:rPr>
                <w:sz w:val="20"/>
                <w:szCs w:val="20"/>
                <w:color w:val="auto"/>
              </w:rPr>
            </w:pPr>
            <w:r>
              <w:rPr>
                <w:rFonts w:ascii="Arial" w:cs="Arial" w:eastAsia="Arial" w:hAnsi="Arial"/>
                <w:sz w:val="9"/>
                <w:szCs w:val="9"/>
                <w:color w:val="auto"/>
              </w:rPr>
              <w:t>Series m-3</w:t>
            </w:r>
          </w:p>
        </w:tc>
        <w:tc>
          <w:tcPr>
            <w:tcW w:w="400" w:type="dxa"/>
            <w:vAlign w:val="bottom"/>
            <w:tcBorders>
              <w:right w:val="single" w:sz="8" w:color="CCEEFF"/>
            </w:tcBorders>
            <w:shd w:val="clear" w:color="auto" w:fill="CCEEFF"/>
          </w:tcPr>
          <w:p>
            <w:pPr>
              <w:spacing w:after="0"/>
              <w:rPr>
                <w:sz w:val="7"/>
                <w:szCs w:val="7"/>
                <w:color w:val="auto"/>
              </w:rPr>
            </w:pPr>
          </w:p>
        </w:tc>
        <w:tc>
          <w:tcPr>
            <w:tcW w:w="540" w:type="dxa"/>
            <w:vAlign w:val="bottom"/>
            <w:tcBorders>
              <w:right w:val="single" w:sz="8" w:color="CCEEFF"/>
            </w:tcBorders>
            <w:shd w:val="clear" w:color="auto" w:fill="CCEEFF"/>
          </w:tcPr>
          <w:p>
            <w:pPr>
              <w:spacing w:after="0"/>
              <w:rPr>
                <w:sz w:val="7"/>
                <w:szCs w:val="7"/>
                <w:color w:val="auto"/>
              </w:rPr>
            </w:pPr>
          </w:p>
        </w:tc>
        <w:tc>
          <w:tcPr>
            <w:tcW w:w="38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500" w:type="dxa"/>
            <w:vAlign w:val="bottom"/>
            <w:tcBorders>
              <w:right w:val="single" w:sz="8" w:color="CCEEFF"/>
            </w:tcBorders>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440" w:type="dxa"/>
            <w:vAlign w:val="bottom"/>
            <w:tcBorders>
              <w:right w:val="single" w:sz="8" w:color="CCEEFF"/>
            </w:tcBorders>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0" w:type="dxa"/>
            <w:vAlign w:val="bottom"/>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6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4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28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300" w:type="dxa"/>
            <w:vAlign w:val="bottom"/>
            <w:shd w:val="clear" w:color="auto" w:fill="CCEEFF"/>
          </w:tcPr>
          <w:p>
            <w:pPr>
              <w:spacing w:after="0"/>
              <w:rPr>
                <w:sz w:val="7"/>
                <w:szCs w:val="7"/>
                <w:color w:val="auto"/>
              </w:rPr>
            </w:pPr>
          </w:p>
        </w:tc>
        <w:tc>
          <w:tcPr>
            <w:tcW w:w="180" w:type="dxa"/>
            <w:vAlign w:val="bottom"/>
            <w:tcBorders>
              <w:left w:val="single" w:sz="8" w:color="CCEEFF"/>
              <w:right w:val="single" w:sz="8" w:color="CCEEFF"/>
            </w:tcBorders>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380" w:type="dxa"/>
            <w:vAlign w:val="bottom"/>
            <w:tcBorders>
              <w:right w:val="single" w:sz="8" w:color="CCEEFF"/>
            </w:tcBorders>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560" w:type="dxa"/>
            <w:vAlign w:val="bottom"/>
            <w:shd w:val="clear" w:color="auto" w:fill="CCEEFF"/>
          </w:tcPr>
          <w:p>
            <w:pPr>
              <w:spacing w:after="0"/>
              <w:rPr>
                <w:sz w:val="7"/>
                <w:szCs w:val="7"/>
                <w:color w:val="auto"/>
              </w:rPr>
            </w:pPr>
          </w:p>
        </w:tc>
        <w:tc>
          <w:tcPr>
            <w:tcW w:w="120" w:type="dxa"/>
            <w:vAlign w:val="bottom"/>
            <w:shd w:val="clear" w:color="auto" w:fill="CCEEFF"/>
          </w:tcPr>
          <w:p>
            <w:pPr>
              <w:spacing w:after="0"/>
              <w:rPr>
                <w:sz w:val="7"/>
                <w:szCs w:val="7"/>
                <w:color w:val="auto"/>
              </w:rPr>
            </w:pPr>
          </w:p>
        </w:tc>
        <w:tc>
          <w:tcPr>
            <w:tcW w:w="560" w:type="dxa"/>
            <w:vAlign w:val="bottom"/>
            <w:tcBorders>
              <w:right w:val="single" w:sz="8" w:color="CCEEFF"/>
            </w:tcBorders>
            <w:shd w:val="clear" w:color="auto" w:fill="CCEEFF"/>
          </w:tcPr>
          <w:p>
            <w:pPr>
              <w:spacing w:after="0"/>
              <w:rPr>
                <w:sz w:val="7"/>
                <w:szCs w:val="7"/>
                <w:color w:val="auto"/>
              </w:rPr>
            </w:pPr>
          </w:p>
        </w:tc>
        <w:tc>
          <w:tcPr>
            <w:tcW w:w="0" w:type="dxa"/>
            <w:vAlign w:val="bottom"/>
          </w:tcPr>
          <w:p>
            <w:pPr>
              <w:spacing w:after="0"/>
              <w:rPr>
                <w:sz w:val="1"/>
                <w:szCs w:val="1"/>
                <w:color w:val="auto"/>
              </w:rPr>
            </w:pPr>
          </w:p>
        </w:tc>
      </w:tr>
      <w:tr>
        <w:trPr>
          <w:trHeight w:val="98"/>
        </w:trPr>
        <w:tc>
          <w:tcPr>
            <w:tcW w:w="20" w:type="dxa"/>
            <w:vAlign w:val="bottom"/>
          </w:tcPr>
          <w:p>
            <w:pPr>
              <w:spacing w:after="0"/>
              <w:rPr>
                <w:sz w:val="8"/>
                <w:szCs w:val="8"/>
                <w:color w:val="auto"/>
              </w:rPr>
            </w:pPr>
          </w:p>
        </w:tc>
        <w:tc>
          <w:tcPr>
            <w:tcW w:w="520" w:type="dxa"/>
            <w:vAlign w:val="bottom"/>
            <w:tcBorders>
              <w:right w:val="single" w:sz="8" w:color="CCEEFF"/>
            </w:tcBorders>
            <w:shd w:val="clear" w:color="auto" w:fill="CCEEFF"/>
          </w:tcPr>
          <w:p>
            <w:pPr>
              <w:spacing w:after="0" w:line="98" w:lineRule="exact"/>
              <w:rPr>
                <w:sz w:val="20"/>
                <w:szCs w:val="20"/>
                <w:color w:val="auto"/>
              </w:rPr>
            </w:pPr>
            <w:r>
              <w:rPr>
                <w:rFonts w:ascii="Arial" w:cs="Arial" w:eastAsia="Arial" w:hAnsi="Arial"/>
                <w:sz w:val="9"/>
                <w:szCs w:val="9"/>
                <w:color w:val="auto"/>
                <w:w w:val="92"/>
              </w:rPr>
              <w:t>exchange for</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560" w:type="dxa"/>
            <w:vAlign w:val="bottom"/>
            <w:shd w:val="clear" w:color="auto" w:fill="CCEEFF"/>
          </w:tcPr>
          <w:p>
            <w:pPr>
              <w:spacing w:after="0"/>
              <w:rPr>
                <w:sz w:val="8"/>
                <w:szCs w:val="8"/>
                <w:color w:val="auto"/>
              </w:rPr>
            </w:pPr>
          </w:p>
        </w:tc>
        <w:tc>
          <w:tcPr>
            <w:tcW w:w="120" w:type="dxa"/>
            <w:vAlign w:val="bottom"/>
            <w:shd w:val="clear" w:color="auto" w:fill="CCEEFF"/>
          </w:tcPr>
          <w:p>
            <w:pPr>
              <w:spacing w:after="0"/>
              <w:rPr>
                <w:sz w:val="8"/>
                <w:szCs w:val="8"/>
                <w:color w:val="auto"/>
              </w:rPr>
            </w:pPr>
          </w:p>
        </w:tc>
        <w:tc>
          <w:tcPr>
            <w:tcW w:w="560" w:type="dxa"/>
            <w:vAlign w:val="bottom"/>
            <w:tcBorders>
              <w:right w:val="single" w:sz="8" w:color="CCEEFF"/>
            </w:tcBorders>
            <w:shd w:val="clear" w:color="auto" w:fill="CCEEFF"/>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0" w:type="dxa"/>
            <w:vAlign w:val="bottom"/>
          </w:tcPr>
          <w:p>
            <w:pPr>
              <w:spacing w:after="0"/>
              <w:rPr>
                <w:sz w:val="8"/>
                <w:szCs w:val="8"/>
                <w:color w:val="auto"/>
              </w:rPr>
            </w:pPr>
          </w:p>
        </w:tc>
        <w:tc>
          <w:tcPr>
            <w:tcW w:w="520" w:type="dxa"/>
            <w:vAlign w:val="bottom"/>
            <w:tcBorders>
              <w:right w:val="single" w:sz="8" w:color="CCEEFF"/>
            </w:tcBorders>
            <w:shd w:val="clear" w:color="auto" w:fill="CCEEFF"/>
          </w:tcPr>
          <w:p>
            <w:pPr>
              <w:spacing w:after="0" w:line="98" w:lineRule="exact"/>
              <w:rPr>
                <w:sz w:val="20"/>
                <w:szCs w:val="20"/>
                <w:color w:val="auto"/>
              </w:rPr>
            </w:pPr>
            <w:r>
              <w:rPr>
                <w:rFonts w:ascii="Arial" w:cs="Arial" w:eastAsia="Arial" w:hAnsi="Arial"/>
                <w:sz w:val="9"/>
                <w:szCs w:val="9"/>
                <w:color w:val="auto"/>
              </w:rPr>
              <w:t>Series m-4</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560" w:type="dxa"/>
            <w:vAlign w:val="bottom"/>
            <w:shd w:val="clear" w:color="auto" w:fill="CCEEFF"/>
          </w:tcPr>
          <w:p>
            <w:pPr>
              <w:spacing w:after="0"/>
              <w:rPr>
                <w:sz w:val="8"/>
                <w:szCs w:val="8"/>
                <w:color w:val="auto"/>
              </w:rPr>
            </w:pPr>
          </w:p>
        </w:tc>
        <w:tc>
          <w:tcPr>
            <w:tcW w:w="120" w:type="dxa"/>
            <w:vAlign w:val="bottom"/>
            <w:shd w:val="clear" w:color="auto" w:fill="CCEEFF"/>
          </w:tcPr>
          <w:p>
            <w:pPr>
              <w:spacing w:after="0"/>
              <w:rPr>
                <w:sz w:val="8"/>
                <w:szCs w:val="8"/>
                <w:color w:val="auto"/>
              </w:rPr>
            </w:pPr>
          </w:p>
        </w:tc>
        <w:tc>
          <w:tcPr>
            <w:tcW w:w="560" w:type="dxa"/>
            <w:vAlign w:val="bottom"/>
            <w:tcBorders>
              <w:right w:val="single" w:sz="8" w:color="CCEEFF"/>
            </w:tcBorders>
            <w:vMerge w:val="restart"/>
            <w:shd w:val="clear" w:color="auto" w:fill="CCEEFF"/>
          </w:tcPr>
          <w:p>
            <w:pPr>
              <w:jc w:val="right"/>
              <w:spacing w:after="0"/>
              <w:rPr>
                <w:sz w:val="20"/>
                <w:szCs w:val="20"/>
                <w:color w:val="auto"/>
              </w:rPr>
            </w:pPr>
            <w:r>
              <w:rPr>
                <w:rFonts w:ascii="Arial" w:cs="Arial" w:eastAsia="Arial" w:hAnsi="Arial"/>
                <w:sz w:val="9"/>
                <w:szCs w:val="9"/>
                <w:b w:val="1"/>
                <w:bCs w:val="1"/>
                <w:color w:val="auto"/>
              </w:rPr>
              <w:t>-</w:t>
            </w:r>
          </w:p>
        </w:tc>
        <w:tc>
          <w:tcPr>
            <w:tcW w:w="0" w:type="dxa"/>
            <w:vAlign w:val="bottom"/>
          </w:tcPr>
          <w:p>
            <w:pPr>
              <w:spacing w:after="0"/>
              <w:rPr>
                <w:sz w:val="1"/>
                <w:szCs w:val="1"/>
                <w:color w:val="auto"/>
              </w:rPr>
            </w:pPr>
          </w:p>
        </w:tc>
      </w:tr>
      <w:tr>
        <w:trPr>
          <w:trHeight w:val="109"/>
        </w:trPr>
        <w:tc>
          <w:tcPr>
            <w:tcW w:w="20" w:type="dxa"/>
            <w:vAlign w:val="bottom"/>
          </w:tcPr>
          <w:p>
            <w:pPr>
              <w:spacing w:after="0"/>
              <w:rPr>
                <w:sz w:val="9"/>
                <w:szCs w:val="9"/>
                <w:color w:val="auto"/>
              </w:rPr>
            </w:pPr>
          </w:p>
        </w:tc>
        <w:tc>
          <w:tcPr>
            <w:tcW w:w="52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9"/>
                <w:szCs w:val="9"/>
                <w:color w:val="auto"/>
              </w:rPr>
              <w:t>shares</w:t>
            </w:r>
          </w:p>
        </w:tc>
        <w:tc>
          <w:tcPr>
            <w:tcW w:w="400" w:type="dxa"/>
            <w:vAlign w:val="bottom"/>
            <w:tcBorders>
              <w:right w:val="single" w:sz="8" w:color="CCEEFF"/>
            </w:tcBorders>
            <w:shd w:val="clear" w:color="auto" w:fill="CCEEFF"/>
          </w:tcPr>
          <w:p>
            <w:pPr>
              <w:spacing w:after="0"/>
              <w:rPr>
                <w:sz w:val="9"/>
                <w:szCs w:val="9"/>
                <w:color w:val="auto"/>
              </w:rPr>
            </w:pPr>
          </w:p>
        </w:tc>
        <w:tc>
          <w:tcPr>
            <w:tcW w:w="540" w:type="dxa"/>
            <w:vAlign w:val="bottom"/>
            <w:tcBorders>
              <w:right w:val="single" w:sz="8" w:color="CCEEFF"/>
            </w:tcBorders>
            <w:shd w:val="clear" w:color="auto" w:fill="CCEEFF"/>
          </w:tcPr>
          <w:p>
            <w:pPr>
              <w:spacing w:after="0"/>
              <w:rPr>
                <w:sz w:val="9"/>
                <w:szCs w:val="9"/>
                <w:color w:val="auto"/>
              </w:rPr>
            </w:pPr>
          </w:p>
        </w:tc>
        <w:tc>
          <w:tcPr>
            <w:tcW w:w="38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500" w:type="dxa"/>
            <w:vAlign w:val="bottom"/>
            <w:tcBorders>
              <w:right w:val="single" w:sz="8" w:color="CCEEFF"/>
            </w:tcBorders>
            <w:shd w:val="clear" w:color="auto" w:fill="CCEEFF"/>
          </w:tcPr>
          <w:p>
            <w:pPr>
              <w:spacing w:after="0"/>
              <w:rPr>
                <w:sz w:val="9"/>
                <w:szCs w:val="9"/>
                <w:color w:val="auto"/>
              </w:rPr>
            </w:pPr>
          </w:p>
        </w:tc>
        <w:tc>
          <w:tcPr>
            <w:tcW w:w="480" w:type="dxa"/>
            <w:vAlign w:val="bottom"/>
            <w:gridSpan w:val="2"/>
            <w:shd w:val="clear" w:color="auto" w:fill="CCEEFF"/>
          </w:tcPr>
          <w:p>
            <w:pPr>
              <w:jc w:val="right"/>
              <w:ind w:right="40"/>
              <w:spacing w:after="0"/>
              <w:rPr>
                <w:sz w:val="20"/>
                <w:szCs w:val="20"/>
                <w:color w:val="auto"/>
              </w:rPr>
            </w:pPr>
            <w:r>
              <w:rPr>
                <w:rFonts w:ascii="Arial" w:cs="Arial" w:eastAsia="Arial" w:hAnsi="Arial"/>
                <w:sz w:val="9"/>
                <w:szCs w:val="9"/>
                <w:color w:val="auto"/>
                <w:w w:val="91"/>
              </w:rPr>
              <w:t>(1,432,786)</w:t>
            </w:r>
          </w:p>
        </w:tc>
        <w:tc>
          <w:tcPr>
            <w:tcW w:w="60" w:type="dxa"/>
            <w:vAlign w:val="bottom"/>
            <w:shd w:val="clear" w:color="auto" w:fill="CCEEFF"/>
          </w:tcPr>
          <w:p>
            <w:pPr>
              <w:spacing w:after="0"/>
              <w:rPr>
                <w:sz w:val="9"/>
                <w:szCs w:val="9"/>
                <w:color w:val="auto"/>
              </w:rPr>
            </w:pPr>
          </w:p>
        </w:tc>
        <w:tc>
          <w:tcPr>
            <w:tcW w:w="520" w:type="dxa"/>
            <w:vAlign w:val="bottom"/>
            <w:tcBorders>
              <w:right w:val="single" w:sz="8" w:color="CCEEFF"/>
            </w:tcBorders>
            <w:gridSpan w:val="2"/>
            <w:shd w:val="clear" w:color="auto" w:fill="CCEEFF"/>
          </w:tcPr>
          <w:p>
            <w:pPr>
              <w:jc w:val="right"/>
              <w:ind w:right="80"/>
              <w:spacing w:after="0"/>
              <w:rPr>
                <w:sz w:val="20"/>
                <w:szCs w:val="20"/>
                <w:color w:val="auto"/>
              </w:rPr>
            </w:pPr>
            <w:r>
              <w:rPr>
                <w:rFonts w:ascii="Arial" w:cs="Arial" w:eastAsia="Arial" w:hAnsi="Arial"/>
                <w:sz w:val="9"/>
                <w:szCs w:val="9"/>
                <w:color w:val="auto"/>
                <w:w w:val="91"/>
              </w:rPr>
              <w:t>(3,928,487)</w:t>
            </w:r>
          </w:p>
        </w:tc>
        <w:tc>
          <w:tcPr>
            <w:tcW w:w="440" w:type="dxa"/>
            <w:vAlign w:val="bottom"/>
            <w:tcBorders>
              <w:right w:val="single" w:sz="8" w:color="CCEEFF"/>
            </w:tcBorders>
            <w:shd w:val="clear" w:color="auto" w:fill="CCEEFF"/>
          </w:tcPr>
          <w:p>
            <w:pPr>
              <w:jc w:val="right"/>
              <w:ind w:right="34"/>
              <w:spacing w:after="0"/>
              <w:rPr>
                <w:sz w:val="20"/>
                <w:szCs w:val="20"/>
                <w:color w:val="auto"/>
              </w:rPr>
            </w:pPr>
            <w:r>
              <w:rPr>
                <w:rFonts w:ascii="Arial" w:cs="Arial" w:eastAsia="Arial" w:hAnsi="Arial"/>
                <w:sz w:val="9"/>
                <w:szCs w:val="9"/>
                <w:color w:val="auto"/>
                <w:w w:val="84"/>
              </w:rPr>
              <w:t>1,432,786</w:t>
            </w:r>
          </w:p>
        </w:tc>
        <w:tc>
          <w:tcPr>
            <w:tcW w:w="60" w:type="dxa"/>
            <w:vAlign w:val="bottom"/>
            <w:shd w:val="clear" w:color="auto" w:fill="CCEEFF"/>
          </w:tcPr>
          <w:p>
            <w:pPr>
              <w:spacing w:after="0"/>
              <w:rPr>
                <w:sz w:val="9"/>
                <w:szCs w:val="9"/>
                <w:color w:val="auto"/>
              </w:rPr>
            </w:pPr>
          </w:p>
        </w:tc>
        <w:tc>
          <w:tcPr>
            <w:tcW w:w="520" w:type="dxa"/>
            <w:vAlign w:val="bottom"/>
            <w:tcBorders>
              <w:right w:val="single" w:sz="8" w:color="CCEEFF"/>
            </w:tcBorders>
            <w:gridSpan w:val="2"/>
            <w:shd w:val="clear" w:color="auto" w:fill="CCEEFF"/>
          </w:tcPr>
          <w:p>
            <w:pPr>
              <w:jc w:val="right"/>
              <w:ind w:right="120"/>
              <w:spacing w:after="0"/>
              <w:rPr>
                <w:sz w:val="20"/>
                <w:szCs w:val="20"/>
                <w:color w:val="auto"/>
              </w:rPr>
            </w:pPr>
            <w:r>
              <w:rPr>
                <w:rFonts w:ascii="Arial" w:cs="Arial" w:eastAsia="Arial" w:hAnsi="Arial"/>
                <w:sz w:val="9"/>
                <w:szCs w:val="9"/>
                <w:color w:val="auto"/>
                <w:w w:val="94"/>
              </w:rPr>
              <w:t>4,828,489</w:t>
            </w:r>
          </w:p>
        </w:tc>
        <w:tc>
          <w:tcPr>
            <w:tcW w:w="36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40" w:type="dxa"/>
            <w:vAlign w:val="bottom"/>
            <w:shd w:val="clear" w:color="auto" w:fill="CCEEFF"/>
          </w:tcPr>
          <w:p>
            <w:pPr>
              <w:spacing w:after="0"/>
              <w:rPr>
                <w:sz w:val="9"/>
                <w:szCs w:val="9"/>
                <w:color w:val="auto"/>
              </w:rPr>
            </w:pPr>
          </w:p>
        </w:tc>
        <w:tc>
          <w:tcPr>
            <w:tcW w:w="420" w:type="dxa"/>
            <w:vAlign w:val="bottom"/>
            <w:shd w:val="clear" w:color="auto" w:fill="CCEEFF"/>
          </w:tcPr>
          <w:p>
            <w:pPr>
              <w:spacing w:after="0"/>
              <w:rPr>
                <w:sz w:val="9"/>
                <w:szCs w:val="9"/>
                <w:color w:val="auto"/>
              </w:rPr>
            </w:pPr>
          </w:p>
        </w:tc>
        <w:tc>
          <w:tcPr>
            <w:tcW w:w="16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4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28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300" w:type="dxa"/>
            <w:vAlign w:val="bottom"/>
            <w:shd w:val="clear" w:color="auto" w:fill="CCEEFF"/>
          </w:tcPr>
          <w:p>
            <w:pPr>
              <w:spacing w:after="0"/>
              <w:rPr>
                <w:sz w:val="9"/>
                <w:szCs w:val="9"/>
                <w:color w:val="auto"/>
              </w:rPr>
            </w:pPr>
          </w:p>
        </w:tc>
        <w:tc>
          <w:tcPr>
            <w:tcW w:w="180" w:type="dxa"/>
            <w:vAlign w:val="bottom"/>
            <w:tcBorders>
              <w:left w:val="single" w:sz="8" w:color="CCEEFF"/>
              <w:right w:val="single" w:sz="8" w:color="CCEEFF"/>
            </w:tcBorders>
            <w:shd w:val="clear" w:color="auto" w:fill="CCEEFF"/>
          </w:tcPr>
          <w:p>
            <w:pPr>
              <w:spacing w:after="0"/>
              <w:rPr>
                <w:sz w:val="9"/>
                <w:szCs w:val="9"/>
                <w:color w:val="auto"/>
              </w:rPr>
            </w:pPr>
          </w:p>
        </w:tc>
        <w:tc>
          <w:tcPr>
            <w:tcW w:w="42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380" w:type="dxa"/>
            <w:vAlign w:val="bottom"/>
            <w:tcBorders>
              <w:right w:val="single" w:sz="8" w:color="CCEEFF"/>
            </w:tcBorders>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560" w:type="dxa"/>
            <w:vAlign w:val="bottom"/>
            <w:shd w:val="clear" w:color="auto" w:fill="CCEEFF"/>
          </w:tcPr>
          <w:p>
            <w:pPr>
              <w:spacing w:after="0"/>
              <w:rPr>
                <w:sz w:val="9"/>
                <w:szCs w:val="9"/>
                <w:color w:val="auto"/>
              </w:rPr>
            </w:pPr>
          </w:p>
        </w:tc>
        <w:tc>
          <w:tcPr>
            <w:tcW w:w="120" w:type="dxa"/>
            <w:vAlign w:val="bottom"/>
            <w:shd w:val="clear" w:color="auto" w:fill="CCEEFF"/>
          </w:tcPr>
          <w:p>
            <w:pPr>
              <w:spacing w:after="0"/>
              <w:rPr>
                <w:sz w:val="9"/>
                <w:szCs w:val="9"/>
                <w:color w:val="auto"/>
              </w:rPr>
            </w:pPr>
          </w:p>
        </w:tc>
        <w:tc>
          <w:tcPr>
            <w:tcW w:w="560" w:type="dxa"/>
            <w:vAlign w:val="bottom"/>
            <w:tcBorders>
              <w:right w:val="single" w:sz="8" w:color="CCEEFF"/>
            </w:tcBorders>
            <w:vMerge w:val="continue"/>
            <w:shd w:val="clear" w:color="auto" w:fill="CCEEFF"/>
          </w:tcPr>
          <w:p>
            <w:pPr>
              <w:spacing w:after="0"/>
              <w:rPr>
                <w:sz w:val="9"/>
                <w:szCs w:val="9"/>
                <w:color w:val="auto"/>
              </w:rPr>
            </w:pPr>
          </w:p>
        </w:tc>
        <w:tc>
          <w:tcPr>
            <w:tcW w:w="0" w:type="dxa"/>
            <w:vAlign w:val="bottom"/>
          </w:tcPr>
          <w:p>
            <w:pPr>
              <w:spacing w:after="0"/>
              <w:rPr>
                <w:sz w:val="1"/>
                <w:szCs w:val="1"/>
                <w:color w:val="auto"/>
              </w:rPr>
            </w:pPr>
          </w:p>
        </w:tc>
      </w:tr>
      <w:tr>
        <w:trPr>
          <w:trHeight w:val="98"/>
        </w:trPr>
        <w:tc>
          <w:tcPr>
            <w:tcW w:w="20" w:type="dxa"/>
            <w:vAlign w:val="bottom"/>
            <w:vMerge w:val="restart"/>
          </w:tcPr>
          <w:p>
            <w:pPr>
              <w:spacing w:after="0"/>
              <w:rPr>
                <w:sz w:val="8"/>
                <w:szCs w:val="8"/>
                <w:color w:val="auto"/>
              </w:rPr>
            </w:pPr>
          </w:p>
        </w:tc>
        <w:tc>
          <w:tcPr>
            <w:tcW w:w="520" w:type="dxa"/>
            <w:vAlign w:val="bottom"/>
          </w:tcPr>
          <w:p>
            <w:pPr>
              <w:spacing w:after="0"/>
              <w:rPr>
                <w:sz w:val="8"/>
                <w:szCs w:val="8"/>
                <w:color w:val="auto"/>
              </w:rPr>
            </w:pPr>
          </w:p>
        </w:tc>
        <w:tc>
          <w:tcPr>
            <w:tcW w:w="400" w:type="dxa"/>
            <w:vAlign w:val="bottom"/>
          </w:tcPr>
          <w:p>
            <w:pPr>
              <w:spacing w:after="0"/>
              <w:rPr>
                <w:sz w:val="8"/>
                <w:szCs w:val="8"/>
                <w:color w:val="auto"/>
              </w:rPr>
            </w:pPr>
          </w:p>
        </w:tc>
        <w:tc>
          <w:tcPr>
            <w:tcW w:w="540" w:type="dxa"/>
            <w:vAlign w:val="bottom"/>
          </w:tcPr>
          <w:p>
            <w:pPr>
              <w:spacing w:after="0"/>
              <w:rPr>
                <w:sz w:val="8"/>
                <w:szCs w:val="8"/>
                <w:color w:val="auto"/>
              </w:rPr>
            </w:pPr>
          </w:p>
        </w:tc>
        <w:tc>
          <w:tcPr>
            <w:tcW w:w="380" w:type="dxa"/>
            <w:vAlign w:val="bottom"/>
          </w:tcPr>
          <w:p>
            <w:pPr>
              <w:spacing w:after="0"/>
              <w:rPr>
                <w:sz w:val="8"/>
                <w:szCs w:val="8"/>
                <w:color w:val="auto"/>
              </w:rPr>
            </w:pPr>
          </w:p>
        </w:tc>
        <w:tc>
          <w:tcPr>
            <w:tcW w:w="80" w:type="dxa"/>
            <w:vAlign w:val="bottom"/>
          </w:tcPr>
          <w:p>
            <w:pPr>
              <w:spacing w:after="0"/>
              <w:rPr>
                <w:sz w:val="8"/>
                <w:szCs w:val="8"/>
                <w:color w:val="auto"/>
              </w:rPr>
            </w:pPr>
          </w:p>
        </w:tc>
        <w:tc>
          <w:tcPr>
            <w:tcW w:w="500" w:type="dxa"/>
            <w:vAlign w:val="bottom"/>
          </w:tcPr>
          <w:p>
            <w:pPr>
              <w:spacing w:after="0"/>
              <w:rPr>
                <w:sz w:val="8"/>
                <w:szCs w:val="8"/>
                <w:color w:val="auto"/>
              </w:rPr>
            </w:pPr>
          </w:p>
        </w:tc>
        <w:tc>
          <w:tcPr>
            <w:tcW w:w="40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44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0" w:type="dxa"/>
            <w:vAlign w:val="bottom"/>
          </w:tcPr>
          <w:p>
            <w:pPr>
              <w:spacing w:after="0"/>
              <w:rPr>
                <w:sz w:val="8"/>
                <w:szCs w:val="8"/>
                <w:color w:val="auto"/>
              </w:rPr>
            </w:pPr>
          </w:p>
        </w:tc>
        <w:tc>
          <w:tcPr>
            <w:tcW w:w="420" w:type="dxa"/>
            <w:vAlign w:val="bottom"/>
          </w:tcPr>
          <w:p>
            <w:pPr>
              <w:spacing w:after="0"/>
              <w:rPr>
                <w:sz w:val="8"/>
                <w:szCs w:val="8"/>
                <w:color w:val="auto"/>
              </w:rPr>
            </w:pPr>
          </w:p>
        </w:tc>
        <w:tc>
          <w:tcPr>
            <w:tcW w:w="16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40" w:type="dxa"/>
            <w:vAlign w:val="bottom"/>
          </w:tcPr>
          <w:p>
            <w:pPr>
              <w:spacing w:after="0"/>
              <w:rPr>
                <w:sz w:val="8"/>
                <w:szCs w:val="8"/>
                <w:color w:val="auto"/>
              </w:rPr>
            </w:pPr>
          </w:p>
        </w:tc>
        <w:tc>
          <w:tcPr>
            <w:tcW w:w="14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40" w:type="dxa"/>
            <w:vAlign w:val="bottom"/>
          </w:tcPr>
          <w:p>
            <w:pPr>
              <w:spacing w:after="0"/>
              <w:rPr>
                <w:sz w:val="8"/>
                <w:szCs w:val="8"/>
                <w:color w:val="auto"/>
              </w:rPr>
            </w:pPr>
          </w:p>
        </w:tc>
        <w:tc>
          <w:tcPr>
            <w:tcW w:w="100" w:type="dxa"/>
            <w:vAlign w:val="bottom"/>
          </w:tcPr>
          <w:p>
            <w:pPr>
              <w:spacing w:after="0"/>
              <w:rPr>
                <w:sz w:val="8"/>
                <w:szCs w:val="8"/>
                <w:color w:val="auto"/>
              </w:rPr>
            </w:pPr>
          </w:p>
        </w:tc>
        <w:tc>
          <w:tcPr>
            <w:tcW w:w="280" w:type="dxa"/>
            <w:vAlign w:val="bottom"/>
          </w:tcPr>
          <w:p>
            <w:pPr>
              <w:spacing w:after="0"/>
              <w:rPr>
                <w:sz w:val="8"/>
                <w:szCs w:val="8"/>
                <w:color w:val="auto"/>
              </w:rPr>
            </w:pPr>
          </w:p>
        </w:tc>
        <w:tc>
          <w:tcPr>
            <w:tcW w:w="100" w:type="dxa"/>
            <w:vAlign w:val="bottom"/>
          </w:tcPr>
          <w:p>
            <w:pPr>
              <w:spacing w:after="0"/>
              <w:rPr>
                <w:sz w:val="8"/>
                <w:szCs w:val="8"/>
                <w:color w:val="auto"/>
              </w:rPr>
            </w:pPr>
          </w:p>
        </w:tc>
        <w:tc>
          <w:tcPr>
            <w:tcW w:w="300" w:type="dxa"/>
            <w:vAlign w:val="bottom"/>
          </w:tcPr>
          <w:p>
            <w:pPr>
              <w:spacing w:after="0"/>
              <w:rPr>
                <w:sz w:val="8"/>
                <w:szCs w:val="8"/>
                <w:color w:val="auto"/>
              </w:rPr>
            </w:pPr>
          </w:p>
        </w:tc>
        <w:tc>
          <w:tcPr>
            <w:tcW w:w="180" w:type="dxa"/>
            <w:vAlign w:val="bottom"/>
          </w:tcPr>
          <w:p>
            <w:pPr>
              <w:spacing w:after="0"/>
              <w:rPr>
                <w:sz w:val="8"/>
                <w:szCs w:val="8"/>
                <w:color w:val="auto"/>
              </w:rPr>
            </w:pPr>
          </w:p>
        </w:tc>
        <w:tc>
          <w:tcPr>
            <w:tcW w:w="420" w:type="dxa"/>
            <w:vAlign w:val="bottom"/>
          </w:tcPr>
          <w:p>
            <w:pPr>
              <w:spacing w:after="0"/>
              <w:rPr>
                <w:sz w:val="8"/>
                <w:szCs w:val="8"/>
                <w:color w:val="auto"/>
              </w:rPr>
            </w:pPr>
          </w:p>
        </w:tc>
        <w:tc>
          <w:tcPr>
            <w:tcW w:w="1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0" w:type="dxa"/>
            <w:vAlign w:val="bottom"/>
          </w:tcPr>
          <w:p>
            <w:pPr>
              <w:spacing w:after="0"/>
              <w:rPr>
                <w:sz w:val="8"/>
                <w:szCs w:val="8"/>
                <w:color w:val="auto"/>
              </w:rPr>
            </w:pPr>
          </w:p>
        </w:tc>
        <w:tc>
          <w:tcPr>
            <w:tcW w:w="44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560" w:type="dxa"/>
            <w:vAlign w:val="bottom"/>
          </w:tcPr>
          <w:p>
            <w:pPr>
              <w:spacing w:after="0"/>
              <w:rPr>
                <w:sz w:val="8"/>
                <w:szCs w:val="8"/>
                <w:color w:val="auto"/>
              </w:rPr>
            </w:pPr>
          </w:p>
        </w:tc>
        <w:tc>
          <w:tcPr>
            <w:tcW w:w="120" w:type="dxa"/>
            <w:vAlign w:val="bottom"/>
          </w:tcPr>
          <w:p>
            <w:pPr>
              <w:spacing w:after="0"/>
              <w:rPr>
                <w:sz w:val="8"/>
                <w:szCs w:val="8"/>
                <w:color w:val="auto"/>
              </w:rPr>
            </w:pPr>
          </w:p>
        </w:tc>
        <w:tc>
          <w:tcPr>
            <w:tcW w:w="5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87"/>
        </w:trPr>
        <w:tc>
          <w:tcPr>
            <w:tcW w:w="20" w:type="dxa"/>
            <w:vAlign w:val="bottom"/>
            <w:vMerge w:val="continue"/>
          </w:tcPr>
          <w:p>
            <w:pPr>
              <w:spacing w:after="0"/>
              <w:rPr>
                <w:sz w:val="7"/>
                <w:szCs w:val="7"/>
                <w:color w:val="auto"/>
              </w:rPr>
            </w:pPr>
          </w:p>
        </w:tc>
        <w:tc>
          <w:tcPr>
            <w:tcW w:w="520" w:type="dxa"/>
            <w:vAlign w:val="bottom"/>
            <w:tcBorders>
              <w:right w:val="single" w:sz="8" w:color="CCEEFF"/>
            </w:tcBorders>
            <w:shd w:val="clear" w:color="auto" w:fill="CCEEFF"/>
          </w:tcPr>
          <w:p>
            <w:pPr>
              <w:spacing w:after="0" w:line="87" w:lineRule="exact"/>
              <w:rPr>
                <w:sz w:val="20"/>
                <w:szCs w:val="20"/>
                <w:color w:val="auto"/>
              </w:rPr>
            </w:pPr>
            <w:r>
              <w:rPr>
                <w:rFonts w:ascii="Arial" w:cs="Arial" w:eastAsia="Arial" w:hAnsi="Arial"/>
                <w:sz w:val="9"/>
                <w:szCs w:val="9"/>
                <w:color w:val="auto"/>
              </w:rPr>
              <w:t>Series m-4</w:t>
            </w:r>
          </w:p>
        </w:tc>
        <w:tc>
          <w:tcPr>
            <w:tcW w:w="400" w:type="dxa"/>
            <w:vAlign w:val="bottom"/>
            <w:tcBorders>
              <w:right w:val="single" w:sz="8" w:color="CCEEFF"/>
            </w:tcBorders>
            <w:shd w:val="clear" w:color="auto" w:fill="CCEEFF"/>
          </w:tcPr>
          <w:p>
            <w:pPr>
              <w:spacing w:after="0"/>
              <w:rPr>
                <w:sz w:val="7"/>
                <w:szCs w:val="7"/>
                <w:color w:val="auto"/>
              </w:rPr>
            </w:pPr>
          </w:p>
        </w:tc>
        <w:tc>
          <w:tcPr>
            <w:tcW w:w="540" w:type="dxa"/>
            <w:vAlign w:val="bottom"/>
            <w:tcBorders>
              <w:right w:val="single" w:sz="8" w:color="CCEEFF"/>
            </w:tcBorders>
            <w:shd w:val="clear" w:color="auto" w:fill="CCEEFF"/>
          </w:tcPr>
          <w:p>
            <w:pPr>
              <w:spacing w:after="0"/>
              <w:rPr>
                <w:sz w:val="7"/>
                <w:szCs w:val="7"/>
                <w:color w:val="auto"/>
              </w:rPr>
            </w:pPr>
          </w:p>
        </w:tc>
        <w:tc>
          <w:tcPr>
            <w:tcW w:w="38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500" w:type="dxa"/>
            <w:vAlign w:val="bottom"/>
            <w:tcBorders>
              <w:right w:val="single" w:sz="8" w:color="CCEEFF"/>
            </w:tcBorders>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440" w:type="dxa"/>
            <w:vAlign w:val="bottom"/>
            <w:tcBorders>
              <w:right w:val="single" w:sz="8" w:color="CCEEFF"/>
            </w:tcBorders>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0" w:type="dxa"/>
            <w:vAlign w:val="bottom"/>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6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4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28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300" w:type="dxa"/>
            <w:vAlign w:val="bottom"/>
            <w:shd w:val="clear" w:color="auto" w:fill="CCEEFF"/>
          </w:tcPr>
          <w:p>
            <w:pPr>
              <w:spacing w:after="0"/>
              <w:rPr>
                <w:sz w:val="7"/>
                <w:szCs w:val="7"/>
                <w:color w:val="auto"/>
              </w:rPr>
            </w:pPr>
          </w:p>
        </w:tc>
        <w:tc>
          <w:tcPr>
            <w:tcW w:w="180" w:type="dxa"/>
            <w:vAlign w:val="bottom"/>
            <w:tcBorders>
              <w:left w:val="single" w:sz="8" w:color="CCEEFF"/>
              <w:right w:val="single" w:sz="8" w:color="CCEEFF"/>
            </w:tcBorders>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380" w:type="dxa"/>
            <w:vAlign w:val="bottom"/>
            <w:tcBorders>
              <w:right w:val="single" w:sz="8" w:color="CCEEFF"/>
            </w:tcBorders>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560" w:type="dxa"/>
            <w:vAlign w:val="bottom"/>
            <w:shd w:val="clear" w:color="auto" w:fill="CCEEFF"/>
          </w:tcPr>
          <w:p>
            <w:pPr>
              <w:spacing w:after="0"/>
              <w:rPr>
                <w:sz w:val="7"/>
                <w:szCs w:val="7"/>
                <w:color w:val="auto"/>
              </w:rPr>
            </w:pPr>
          </w:p>
        </w:tc>
        <w:tc>
          <w:tcPr>
            <w:tcW w:w="120" w:type="dxa"/>
            <w:vAlign w:val="bottom"/>
            <w:shd w:val="clear" w:color="auto" w:fill="CCEEFF"/>
          </w:tcPr>
          <w:p>
            <w:pPr>
              <w:spacing w:after="0"/>
              <w:rPr>
                <w:sz w:val="7"/>
                <w:szCs w:val="7"/>
                <w:color w:val="auto"/>
              </w:rPr>
            </w:pPr>
          </w:p>
        </w:tc>
        <w:tc>
          <w:tcPr>
            <w:tcW w:w="560" w:type="dxa"/>
            <w:vAlign w:val="bottom"/>
            <w:tcBorders>
              <w:right w:val="single" w:sz="8" w:color="CCEEFF"/>
            </w:tcBorders>
            <w:shd w:val="clear" w:color="auto" w:fill="CCEEFF"/>
          </w:tcPr>
          <w:p>
            <w:pPr>
              <w:spacing w:after="0"/>
              <w:rPr>
                <w:sz w:val="7"/>
                <w:szCs w:val="7"/>
                <w:color w:val="auto"/>
              </w:rPr>
            </w:pPr>
          </w:p>
        </w:tc>
        <w:tc>
          <w:tcPr>
            <w:tcW w:w="0" w:type="dxa"/>
            <w:vAlign w:val="bottom"/>
          </w:tcPr>
          <w:p>
            <w:pPr>
              <w:spacing w:after="0"/>
              <w:rPr>
                <w:sz w:val="1"/>
                <w:szCs w:val="1"/>
                <w:color w:val="auto"/>
              </w:rPr>
            </w:pPr>
          </w:p>
        </w:tc>
      </w:tr>
      <w:tr>
        <w:trPr>
          <w:trHeight w:val="98"/>
        </w:trPr>
        <w:tc>
          <w:tcPr>
            <w:tcW w:w="20" w:type="dxa"/>
            <w:vAlign w:val="bottom"/>
          </w:tcPr>
          <w:p>
            <w:pPr>
              <w:spacing w:after="0"/>
              <w:rPr>
                <w:sz w:val="8"/>
                <w:szCs w:val="8"/>
                <w:color w:val="auto"/>
              </w:rPr>
            </w:pPr>
          </w:p>
        </w:tc>
        <w:tc>
          <w:tcPr>
            <w:tcW w:w="520" w:type="dxa"/>
            <w:vAlign w:val="bottom"/>
            <w:tcBorders>
              <w:right w:val="single" w:sz="8" w:color="CCEEFF"/>
            </w:tcBorders>
            <w:shd w:val="clear" w:color="auto" w:fill="CCEEFF"/>
          </w:tcPr>
          <w:p>
            <w:pPr>
              <w:spacing w:after="0" w:line="98" w:lineRule="exact"/>
              <w:rPr>
                <w:sz w:val="20"/>
                <w:szCs w:val="20"/>
                <w:color w:val="auto"/>
              </w:rPr>
            </w:pPr>
            <w:r>
              <w:rPr>
                <w:rFonts w:ascii="Arial" w:cs="Arial" w:eastAsia="Arial" w:hAnsi="Arial"/>
                <w:sz w:val="9"/>
                <w:szCs w:val="9"/>
                <w:color w:val="auto"/>
              </w:rPr>
              <w:t>accrued</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680" w:type="dxa"/>
            <w:vAlign w:val="bottom"/>
            <w:gridSpan w:val="2"/>
            <w:vMerge w:val="restart"/>
            <w:shd w:val="clear" w:color="auto" w:fill="CCEEFF"/>
          </w:tcPr>
          <w:p>
            <w:pPr>
              <w:jc w:val="right"/>
              <w:ind w:right="80"/>
              <w:spacing w:after="0"/>
              <w:rPr>
                <w:sz w:val="20"/>
                <w:szCs w:val="20"/>
                <w:color w:val="auto"/>
              </w:rPr>
            </w:pPr>
            <w:r>
              <w:rPr>
                <w:rFonts w:ascii="Arial" w:cs="Arial" w:eastAsia="Arial" w:hAnsi="Arial"/>
                <w:sz w:val="9"/>
                <w:szCs w:val="9"/>
                <w:b w:val="1"/>
                <w:bCs w:val="1"/>
                <w:color w:val="auto"/>
              </w:rPr>
              <w:t>(338,913)</w:t>
            </w:r>
          </w:p>
        </w:tc>
        <w:tc>
          <w:tcPr>
            <w:tcW w:w="560" w:type="dxa"/>
            <w:vAlign w:val="bottom"/>
            <w:tcBorders>
              <w:right w:val="single" w:sz="8" w:color="CCEEFF"/>
            </w:tcBorders>
            <w:vMerge w:val="restart"/>
            <w:shd w:val="clear" w:color="auto" w:fill="CCEEFF"/>
          </w:tcPr>
          <w:p>
            <w:pPr>
              <w:jc w:val="right"/>
              <w:spacing w:after="0"/>
              <w:rPr>
                <w:sz w:val="20"/>
                <w:szCs w:val="20"/>
                <w:color w:val="auto"/>
              </w:rPr>
            </w:pPr>
            <w:r>
              <w:rPr>
                <w:rFonts w:ascii="Arial" w:cs="Arial" w:eastAsia="Arial" w:hAnsi="Arial"/>
                <w:sz w:val="9"/>
                <w:szCs w:val="9"/>
                <w:b w:val="1"/>
                <w:bCs w:val="1"/>
                <w:color w:val="auto"/>
              </w:rPr>
              <w:t>(338,913)</w:t>
            </w:r>
          </w:p>
        </w:tc>
        <w:tc>
          <w:tcPr>
            <w:tcW w:w="0" w:type="dxa"/>
            <w:vAlign w:val="bottom"/>
          </w:tcPr>
          <w:p>
            <w:pPr>
              <w:spacing w:after="0"/>
              <w:rPr>
                <w:sz w:val="1"/>
                <w:szCs w:val="1"/>
                <w:color w:val="auto"/>
              </w:rPr>
            </w:pPr>
          </w:p>
        </w:tc>
      </w:tr>
      <w:tr>
        <w:trPr>
          <w:trHeight w:val="109"/>
        </w:trPr>
        <w:tc>
          <w:tcPr>
            <w:tcW w:w="20" w:type="dxa"/>
            <w:vAlign w:val="bottom"/>
          </w:tcPr>
          <w:p>
            <w:pPr>
              <w:spacing w:after="0"/>
              <w:rPr>
                <w:sz w:val="9"/>
                <w:szCs w:val="9"/>
                <w:color w:val="auto"/>
              </w:rPr>
            </w:pPr>
          </w:p>
        </w:tc>
        <w:tc>
          <w:tcPr>
            <w:tcW w:w="52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9"/>
                <w:szCs w:val="9"/>
                <w:color w:val="auto"/>
              </w:rPr>
              <w:t>dividend</w:t>
            </w:r>
          </w:p>
        </w:tc>
        <w:tc>
          <w:tcPr>
            <w:tcW w:w="400" w:type="dxa"/>
            <w:vAlign w:val="bottom"/>
            <w:tcBorders>
              <w:right w:val="single" w:sz="8" w:color="CCEEFF"/>
            </w:tcBorders>
            <w:shd w:val="clear" w:color="auto" w:fill="CCEEFF"/>
          </w:tcPr>
          <w:p>
            <w:pPr>
              <w:spacing w:after="0"/>
              <w:rPr>
                <w:sz w:val="9"/>
                <w:szCs w:val="9"/>
                <w:color w:val="auto"/>
              </w:rPr>
            </w:pPr>
          </w:p>
        </w:tc>
        <w:tc>
          <w:tcPr>
            <w:tcW w:w="540" w:type="dxa"/>
            <w:vAlign w:val="bottom"/>
            <w:tcBorders>
              <w:right w:val="single" w:sz="8" w:color="CCEEFF"/>
            </w:tcBorders>
            <w:shd w:val="clear" w:color="auto" w:fill="CCEEFF"/>
          </w:tcPr>
          <w:p>
            <w:pPr>
              <w:spacing w:after="0"/>
              <w:rPr>
                <w:sz w:val="9"/>
                <w:szCs w:val="9"/>
                <w:color w:val="auto"/>
              </w:rPr>
            </w:pPr>
          </w:p>
        </w:tc>
        <w:tc>
          <w:tcPr>
            <w:tcW w:w="38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500" w:type="dxa"/>
            <w:vAlign w:val="bottom"/>
            <w:tcBorders>
              <w:right w:val="single" w:sz="8" w:color="CCEEFF"/>
            </w:tcBorders>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120" w:type="dxa"/>
            <w:vAlign w:val="bottom"/>
            <w:tcBorders>
              <w:right w:val="single" w:sz="8" w:color="CCEEFF"/>
            </w:tcBorders>
            <w:shd w:val="clear" w:color="auto" w:fill="CCEEFF"/>
          </w:tcPr>
          <w:p>
            <w:pPr>
              <w:spacing w:after="0"/>
              <w:rPr>
                <w:sz w:val="9"/>
                <w:szCs w:val="9"/>
                <w:color w:val="auto"/>
              </w:rPr>
            </w:pPr>
          </w:p>
        </w:tc>
        <w:tc>
          <w:tcPr>
            <w:tcW w:w="440" w:type="dxa"/>
            <w:vAlign w:val="bottom"/>
            <w:tcBorders>
              <w:right w:val="single" w:sz="8" w:color="CCEEFF"/>
            </w:tcBorders>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520" w:type="dxa"/>
            <w:vAlign w:val="bottom"/>
            <w:tcBorders>
              <w:right w:val="single" w:sz="8" w:color="CCEEFF"/>
            </w:tcBorders>
            <w:gridSpan w:val="2"/>
            <w:shd w:val="clear" w:color="auto" w:fill="CCEEFF"/>
          </w:tcPr>
          <w:p>
            <w:pPr>
              <w:jc w:val="right"/>
              <w:ind w:right="120"/>
              <w:spacing w:after="0"/>
              <w:rPr>
                <w:sz w:val="20"/>
                <w:szCs w:val="20"/>
                <w:color w:val="auto"/>
              </w:rPr>
            </w:pPr>
            <w:r>
              <w:rPr>
                <w:rFonts w:ascii="Arial" w:cs="Arial" w:eastAsia="Arial" w:hAnsi="Arial"/>
                <w:sz w:val="9"/>
                <w:szCs w:val="9"/>
                <w:color w:val="auto"/>
              </w:rPr>
              <w:t>338,913</w:t>
            </w:r>
          </w:p>
        </w:tc>
        <w:tc>
          <w:tcPr>
            <w:tcW w:w="36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40" w:type="dxa"/>
            <w:vAlign w:val="bottom"/>
            <w:shd w:val="clear" w:color="auto" w:fill="CCEEFF"/>
          </w:tcPr>
          <w:p>
            <w:pPr>
              <w:spacing w:after="0"/>
              <w:rPr>
                <w:sz w:val="9"/>
                <w:szCs w:val="9"/>
                <w:color w:val="auto"/>
              </w:rPr>
            </w:pPr>
          </w:p>
        </w:tc>
        <w:tc>
          <w:tcPr>
            <w:tcW w:w="420" w:type="dxa"/>
            <w:vAlign w:val="bottom"/>
            <w:shd w:val="clear" w:color="auto" w:fill="CCEEFF"/>
          </w:tcPr>
          <w:p>
            <w:pPr>
              <w:spacing w:after="0"/>
              <w:rPr>
                <w:sz w:val="9"/>
                <w:szCs w:val="9"/>
                <w:color w:val="auto"/>
              </w:rPr>
            </w:pPr>
          </w:p>
        </w:tc>
        <w:tc>
          <w:tcPr>
            <w:tcW w:w="16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4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28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300" w:type="dxa"/>
            <w:vAlign w:val="bottom"/>
            <w:shd w:val="clear" w:color="auto" w:fill="CCEEFF"/>
          </w:tcPr>
          <w:p>
            <w:pPr>
              <w:spacing w:after="0"/>
              <w:rPr>
                <w:sz w:val="9"/>
                <w:szCs w:val="9"/>
                <w:color w:val="auto"/>
              </w:rPr>
            </w:pPr>
          </w:p>
        </w:tc>
        <w:tc>
          <w:tcPr>
            <w:tcW w:w="180" w:type="dxa"/>
            <w:vAlign w:val="bottom"/>
            <w:tcBorders>
              <w:left w:val="single" w:sz="8" w:color="CCEEFF"/>
              <w:right w:val="single" w:sz="8" w:color="CCEEFF"/>
            </w:tcBorders>
            <w:shd w:val="clear" w:color="auto" w:fill="CCEEFF"/>
          </w:tcPr>
          <w:p>
            <w:pPr>
              <w:spacing w:after="0"/>
              <w:rPr>
                <w:sz w:val="9"/>
                <w:szCs w:val="9"/>
                <w:color w:val="auto"/>
              </w:rPr>
            </w:pPr>
          </w:p>
        </w:tc>
        <w:tc>
          <w:tcPr>
            <w:tcW w:w="42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380" w:type="dxa"/>
            <w:vAlign w:val="bottom"/>
            <w:tcBorders>
              <w:right w:val="single" w:sz="8" w:color="CCEEFF"/>
            </w:tcBorders>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680" w:type="dxa"/>
            <w:vAlign w:val="bottom"/>
            <w:gridSpan w:val="2"/>
            <w:vMerge w:val="continue"/>
            <w:shd w:val="clear" w:color="auto" w:fill="CCEEFF"/>
          </w:tcPr>
          <w:p>
            <w:pPr>
              <w:spacing w:after="0"/>
              <w:rPr>
                <w:sz w:val="9"/>
                <w:szCs w:val="9"/>
                <w:color w:val="auto"/>
              </w:rPr>
            </w:pPr>
          </w:p>
        </w:tc>
        <w:tc>
          <w:tcPr>
            <w:tcW w:w="560" w:type="dxa"/>
            <w:vAlign w:val="bottom"/>
            <w:tcBorders>
              <w:right w:val="single" w:sz="8" w:color="CCEEFF"/>
            </w:tcBorders>
            <w:vMerge w:val="continue"/>
            <w:shd w:val="clear" w:color="auto" w:fill="CCEEFF"/>
          </w:tcPr>
          <w:p>
            <w:pPr>
              <w:spacing w:after="0"/>
              <w:rPr>
                <w:sz w:val="9"/>
                <w:szCs w:val="9"/>
                <w:color w:val="auto"/>
              </w:rPr>
            </w:pPr>
          </w:p>
        </w:tc>
        <w:tc>
          <w:tcPr>
            <w:tcW w:w="0" w:type="dxa"/>
            <w:vAlign w:val="bottom"/>
          </w:tcPr>
          <w:p>
            <w:pPr>
              <w:spacing w:after="0"/>
              <w:rPr>
                <w:sz w:val="1"/>
                <w:szCs w:val="1"/>
                <w:color w:val="auto"/>
              </w:rPr>
            </w:pPr>
          </w:p>
        </w:tc>
      </w:tr>
      <w:tr>
        <w:trPr>
          <w:trHeight w:val="98"/>
        </w:trPr>
        <w:tc>
          <w:tcPr>
            <w:tcW w:w="540" w:type="dxa"/>
            <w:vAlign w:val="bottom"/>
            <w:gridSpan w:val="2"/>
          </w:tcPr>
          <w:p>
            <w:pPr>
              <w:spacing w:after="0"/>
              <w:rPr>
                <w:sz w:val="8"/>
                <w:szCs w:val="8"/>
                <w:color w:val="auto"/>
              </w:rPr>
            </w:pPr>
          </w:p>
        </w:tc>
        <w:tc>
          <w:tcPr>
            <w:tcW w:w="400" w:type="dxa"/>
            <w:vAlign w:val="bottom"/>
          </w:tcPr>
          <w:p>
            <w:pPr>
              <w:spacing w:after="0"/>
              <w:rPr>
                <w:sz w:val="8"/>
                <w:szCs w:val="8"/>
                <w:color w:val="auto"/>
              </w:rPr>
            </w:pPr>
          </w:p>
        </w:tc>
        <w:tc>
          <w:tcPr>
            <w:tcW w:w="540" w:type="dxa"/>
            <w:vAlign w:val="bottom"/>
          </w:tcPr>
          <w:p>
            <w:pPr>
              <w:spacing w:after="0"/>
              <w:rPr>
                <w:sz w:val="8"/>
                <w:szCs w:val="8"/>
                <w:color w:val="auto"/>
              </w:rPr>
            </w:pPr>
          </w:p>
        </w:tc>
        <w:tc>
          <w:tcPr>
            <w:tcW w:w="380" w:type="dxa"/>
            <w:vAlign w:val="bottom"/>
          </w:tcPr>
          <w:p>
            <w:pPr>
              <w:spacing w:after="0"/>
              <w:rPr>
                <w:sz w:val="8"/>
                <w:szCs w:val="8"/>
                <w:color w:val="auto"/>
              </w:rPr>
            </w:pPr>
          </w:p>
        </w:tc>
        <w:tc>
          <w:tcPr>
            <w:tcW w:w="80" w:type="dxa"/>
            <w:vAlign w:val="bottom"/>
          </w:tcPr>
          <w:p>
            <w:pPr>
              <w:spacing w:after="0"/>
              <w:rPr>
                <w:sz w:val="8"/>
                <w:szCs w:val="8"/>
                <w:color w:val="auto"/>
              </w:rPr>
            </w:pPr>
          </w:p>
        </w:tc>
        <w:tc>
          <w:tcPr>
            <w:tcW w:w="500" w:type="dxa"/>
            <w:vAlign w:val="bottom"/>
          </w:tcPr>
          <w:p>
            <w:pPr>
              <w:spacing w:after="0"/>
              <w:rPr>
                <w:sz w:val="8"/>
                <w:szCs w:val="8"/>
                <w:color w:val="auto"/>
              </w:rPr>
            </w:pPr>
          </w:p>
        </w:tc>
        <w:tc>
          <w:tcPr>
            <w:tcW w:w="40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44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0" w:type="dxa"/>
            <w:vAlign w:val="bottom"/>
          </w:tcPr>
          <w:p>
            <w:pPr>
              <w:spacing w:after="0"/>
              <w:rPr>
                <w:sz w:val="8"/>
                <w:szCs w:val="8"/>
                <w:color w:val="auto"/>
              </w:rPr>
            </w:pPr>
          </w:p>
        </w:tc>
        <w:tc>
          <w:tcPr>
            <w:tcW w:w="420" w:type="dxa"/>
            <w:vAlign w:val="bottom"/>
          </w:tcPr>
          <w:p>
            <w:pPr>
              <w:spacing w:after="0"/>
              <w:rPr>
                <w:sz w:val="8"/>
                <w:szCs w:val="8"/>
                <w:color w:val="auto"/>
              </w:rPr>
            </w:pPr>
          </w:p>
        </w:tc>
        <w:tc>
          <w:tcPr>
            <w:tcW w:w="16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40" w:type="dxa"/>
            <w:vAlign w:val="bottom"/>
          </w:tcPr>
          <w:p>
            <w:pPr>
              <w:spacing w:after="0"/>
              <w:rPr>
                <w:sz w:val="8"/>
                <w:szCs w:val="8"/>
                <w:color w:val="auto"/>
              </w:rPr>
            </w:pPr>
          </w:p>
        </w:tc>
        <w:tc>
          <w:tcPr>
            <w:tcW w:w="14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40" w:type="dxa"/>
            <w:vAlign w:val="bottom"/>
          </w:tcPr>
          <w:p>
            <w:pPr>
              <w:spacing w:after="0"/>
              <w:rPr>
                <w:sz w:val="8"/>
                <w:szCs w:val="8"/>
                <w:color w:val="auto"/>
              </w:rPr>
            </w:pPr>
          </w:p>
        </w:tc>
        <w:tc>
          <w:tcPr>
            <w:tcW w:w="100" w:type="dxa"/>
            <w:vAlign w:val="bottom"/>
          </w:tcPr>
          <w:p>
            <w:pPr>
              <w:spacing w:after="0"/>
              <w:rPr>
                <w:sz w:val="8"/>
                <w:szCs w:val="8"/>
                <w:color w:val="auto"/>
              </w:rPr>
            </w:pPr>
          </w:p>
        </w:tc>
        <w:tc>
          <w:tcPr>
            <w:tcW w:w="280" w:type="dxa"/>
            <w:vAlign w:val="bottom"/>
          </w:tcPr>
          <w:p>
            <w:pPr>
              <w:spacing w:after="0"/>
              <w:rPr>
                <w:sz w:val="8"/>
                <w:szCs w:val="8"/>
                <w:color w:val="auto"/>
              </w:rPr>
            </w:pPr>
          </w:p>
        </w:tc>
        <w:tc>
          <w:tcPr>
            <w:tcW w:w="100" w:type="dxa"/>
            <w:vAlign w:val="bottom"/>
          </w:tcPr>
          <w:p>
            <w:pPr>
              <w:spacing w:after="0"/>
              <w:rPr>
                <w:sz w:val="8"/>
                <w:szCs w:val="8"/>
                <w:color w:val="auto"/>
              </w:rPr>
            </w:pPr>
          </w:p>
        </w:tc>
        <w:tc>
          <w:tcPr>
            <w:tcW w:w="300" w:type="dxa"/>
            <w:vAlign w:val="bottom"/>
          </w:tcPr>
          <w:p>
            <w:pPr>
              <w:spacing w:after="0"/>
              <w:rPr>
                <w:sz w:val="8"/>
                <w:szCs w:val="8"/>
                <w:color w:val="auto"/>
              </w:rPr>
            </w:pPr>
          </w:p>
        </w:tc>
        <w:tc>
          <w:tcPr>
            <w:tcW w:w="180" w:type="dxa"/>
            <w:vAlign w:val="bottom"/>
          </w:tcPr>
          <w:p>
            <w:pPr>
              <w:spacing w:after="0"/>
              <w:rPr>
                <w:sz w:val="8"/>
                <w:szCs w:val="8"/>
                <w:color w:val="auto"/>
              </w:rPr>
            </w:pPr>
          </w:p>
        </w:tc>
        <w:tc>
          <w:tcPr>
            <w:tcW w:w="420" w:type="dxa"/>
            <w:vAlign w:val="bottom"/>
          </w:tcPr>
          <w:p>
            <w:pPr>
              <w:spacing w:after="0"/>
              <w:rPr>
                <w:sz w:val="8"/>
                <w:szCs w:val="8"/>
                <w:color w:val="auto"/>
              </w:rPr>
            </w:pPr>
          </w:p>
        </w:tc>
        <w:tc>
          <w:tcPr>
            <w:tcW w:w="1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0" w:type="dxa"/>
            <w:vAlign w:val="bottom"/>
          </w:tcPr>
          <w:p>
            <w:pPr>
              <w:spacing w:after="0"/>
              <w:rPr>
                <w:sz w:val="8"/>
                <w:szCs w:val="8"/>
                <w:color w:val="auto"/>
              </w:rPr>
            </w:pPr>
          </w:p>
        </w:tc>
        <w:tc>
          <w:tcPr>
            <w:tcW w:w="44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560" w:type="dxa"/>
            <w:vAlign w:val="bottom"/>
          </w:tcPr>
          <w:p>
            <w:pPr>
              <w:spacing w:after="0"/>
              <w:rPr>
                <w:sz w:val="8"/>
                <w:szCs w:val="8"/>
                <w:color w:val="auto"/>
              </w:rPr>
            </w:pPr>
          </w:p>
        </w:tc>
        <w:tc>
          <w:tcPr>
            <w:tcW w:w="120" w:type="dxa"/>
            <w:vAlign w:val="bottom"/>
          </w:tcPr>
          <w:p>
            <w:pPr>
              <w:spacing w:after="0"/>
              <w:rPr>
                <w:sz w:val="8"/>
                <w:szCs w:val="8"/>
                <w:color w:val="auto"/>
              </w:rPr>
            </w:pPr>
          </w:p>
        </w:tc>
        <w:tc>
          <w:tcPr>
            <w:tcW w:w="5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540" w:type="dxa"/>
            <w:vAlign w:val="bottom"/>
            <w:tcBorders>
              <w:right w:val="single" w:sz="8" w:color="CCEEFF"/>
            </w:tcBorders>
            <w:gridSpan w:val="2"/>
            <w:shd w:val="clear" w:color="auto" w:fill="CCEEFF"/>
          </w:tcPr>
          <w:p>
            <w:pPr>
              <w:spacing w:after="0" w:line="98" w:lineRule="exact"/>
              <w:rPr>
                <w:sz w:val="20"/>
                <w:szCs w:val="20"/>
                <w:color w:val="auto"/>
              </w:rPr>
            </w:pPr>
            <w:r>
              <w:rPr>
                <w:rFonts w:ascii="Arial" w:cs="Arial" w:eastAsia="Arial" w:hAnsi="Arial"/>
                <w:sz w:val="9"/>
                <w:szCs w:val="9"/>
                <w:color w:val="auto"/>
              </w:rPr>
              <w:t>Net loss</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680" w:type="dxa"/>
            <w:vAlign w:val="bottom"/>
            <w:gridSpan w:val="2"/>
            <w:shd w:val="clear" w:color="auto" w:fill="CCEEFF"/>
          </w:tcPr>
          <w:p>
            <w:pPr>
              <w:jc w:val="right"/>
              <w:ind w:right="80"/>
              <w:spacing w:after="0" w:line="98" w:lineRule="exact"/>
              <w:rPr>
                <w:sz w:val="20"/>
                <w:szCs w:val="20"/>
                <w:color w:val="auto"/>
              </w:rPr>
            </w:pPr>
            <w:r>
              <w:rPr>
                <w:rFonts w:ascii="Arial" w:cs="Arial" w:eastAsia="Arial" w:hAnsi="Arial"/>
                <w:sz w:val="9"/>
                <w:szCs w:val="9"/>
                <w:color w:val="auto"/>
              </w:rPr>
              <w:t>(11,957,667)</w:t>
            </w:r>
          </w:p>
        </w:tc>
        <w:tc>
          <w:tcPr>
            <w:tcW w:w="560" w:type="dxa"/>
            <w:vAlign w:val="bottom"/>
            <w:tcBorders>
              <w:right w:val="single" w:sz="8" w:color="CCEEFF"/>
            </w:tcBorders>
            <w:shd w:val="clear" w:color="auto" w:fill="CCEEFF"/>
          </w:tcPr>
          <w:p>
            <w:pPr>
              <w:jc w:val="right"/>
              <w:spacing w:after="0" w:line="98" w:lineRule="exact"/>
              <w:rPr>
                <w:sz w:val="20"/>
                <w:szCs w:val="20"/>
                <w:color w:val="auto"/>
              </w:rPr>
            </w:pPr>
            <w:r>
              <w:rPr>
                <w:rFonts w:ascii="Arial" w:cs="Arial" w:eastAsia="Arial" w:hAnsi="Arial"/>
                <w:sz w:val="9"/>
                <w:szCs w:val="9"/>
                <w:color w:val="auto"/>
              </w:rPr>
              <w:t>(11,957,667)</w:t>
            </w:r>
          </w:p>
        </w:tc>
        <w:tc>
          <w:tcPr>
            <w:tcW w:w="0" w:type="dxa"/>
            <w:vAlign w:val="bottom"/>
          </w:tcPr>
          <w:p>
            <w:pPr>
              <w:spacing w:after="0"/>
              <w:rPr>
                <w:sz w:val="1"/>
                <w:szCs w:val="1"/>
                <w:color w:val="auto"/>
              </w:rPr>
            </w:pPr>
          </w:p>
        </w:tc>
      </w:tr>
      <w:tr>
        <w:trPr>
          <w:trHeight w:val="88"/>
        </w:trPr>
        <w:tc>
          <w:tcPr>
            <w:tcW w:w="20" w:type="dxa"/>
            <w:vAlign w:val="bottom"/>
            <w:vMerge w:val="restart"/>
          </w:tcPr>
          <w:p>
            <w:pPr>
              <w:spacing w:after="0"/>
              <w:rPr>
                <w:sz w:val="7"/>
                <w:szCs w:val="7"/>
                <w:color w:val="auto"/>
              </w:rPr>
            </w:pPr>
          </w:p>
        </w:tc>
        <w:tc>
          <w:tcPr>
            <w:tcW w:w="520" w:type="dxa"/>
            <w:vAlign w:val="bottom"/>
          </w:tcPr>
          <w:p>
            <w:pPr>
              <w:spacing w:after="0"/>
              <w:rPr>
                <w:sz w:val="7"/>
                <w:szCs w:val="7"/>
                <w:color w:val="auto"/>
              </w:rPr>
            </w:pPr>
          </w:p>
        </w:tc>
        <w:tc>
          <w:tcPr>
            <w:tcW w:w="400" w:type="dxa"/>
            <w:vAlign w:val="bottom"/>
            <w:tcBorders>
              <w:top w:val="single" w:sz="8" w:color="auto"/>
            </w:tcBorders>
          </w:tcPr>
          <w:p>
            <w:pPr>
              <w:spacing w:after="0"/>
              <w:rPr>
                <w:sz w:val="7"/>
                <w:szCs w:val="7"/>
                <w:color w:val="auto"/>
              </w:rPr>
            </w:pPr>
          </w:p>
        </w:tc>
        <w:tc>
          <w:tcPr>
            <w:tcW w:w="540" w:type="dxa"/>
            <w:vAlign w:val="bottom"/>
            <w:tcBorders>
              <w:top w:val="single" w:sz="8" w:color="auto"/>
            </w:tcBorders>
          </w:tcPr>
          <w:p>
            <w:pPr>
              <w:spacing w:after="0"/>
              <w:rPr>
                <w:sz w:val="7"/>
                <w:szCs w:val="7"/>
                <w:color w:val="auto"/>
              </w:rPr>
            </w:pPr>
          </w:p>
        </w:tc>
        <w:tc>
          <w:tcPr>
            <w:tcW w:w="380" w:type="dxa"/>
            <w:vAlign w:val="bottom"/>
            <w:tcBorders>
              <w:top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500" w:type="dxa"/>
            <w:vAlign w:val="bottom"/>
            <w:tcBorders>
              <w:top w:val="single" w:sz="8" w:color="auto"/>
            </w:tcBorders>
          </w:tcPr>
          <w:p>
            <w:pPr>
              <w:spacing w:after="0"/>
              <w:rPr>
                <w:sz w:val="7"/>
                <w:szCs w:val="7"/>
                <w:color w:val="auto"/>
              </w:rPr>
            </w:pPr>
          </w:p>
        </w:tc>
        <w:tc>
          <w:tcPr>
            <w:tcW w:w="400" w:type="dxa"/>
            <w:vAlign w:val="bottom"/>
            <w:tcBorders>
              <w:top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60" w:type="dxa"/>
            <w:vAlign w:val="bottom"/>
            <w:tcBorders>
              <w:top w:val="single" w:sz="8" w:color="auto"/>
            </w:tcBorders>
          </w:tcPr>
          <w:p>
            <w:pPr>
              <w:spacing w:after="0"/>
              <w:rPr>
                <w:sz w:val="7"/>
                <w:szCs w:val="7"/>
                <w:color w:val="auto"/>
              </w:rPr>
            </w:pPr>
          </w:p>
        </w:tc>
        <w:tc>
          <w:tcPr>
            <w:tcW w:w="400" w:type="dxa"/>
            <w:vAlign w:val="bottom"/>
            <w:tcBorders>
              <w:top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440" w:type="dxa"/>
            <w:vAlign w:val="bottom"/>
            <w:tcBorders>
              <w:top w:val="single" w:sz="8" w:color="auto"/>
            </w:tcBorders>
          </w:tcPr>
          <w:p>
            <w:pPr>
              <w:spacing w:after="0"/>
              <w:rPr>
                <w:sz w:val="7"/>
                <w:szCs w:val="7"/>
                <w:color w:val="auto"/>
              </w:rPr>
            </w:pPr>
          </w:p>
        </w:tc>
        <w:tc>
          <w:tcPr>
            <w:tcW w:w="60" w:type="dxa"/>
            <w:vAlign w:val="bottom"/>
            <w:tcBorders>
              <w:top w:val="single" w:sz="8" w:color="auto"/>
            </w:tcBorders>
          </w:tcPr>
          <w:p>
            <w:pPr>
              <w:spacing w:after="0"/>
              <w:rPr>
                <w:sz w:val="7"/>
                <w:szCs w:val="7"/>
                <w:color w:val="auto"/>
              </w:rPr>
            </w:pPr>
          </w:p>
        </w:tc>
        <w:tc>
          <w:tcPr>
            <w:tcW w:w="400" w:type="dxa"/>
            <w:vAlign w:val="bottom"/>
            <w:tcBorders>
              <w:top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360" w:type="dxa"/>
            <w:vAlign w:val="bottom"/>
            <w:tcBorders>
              <w:top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40" w:type="dxa"/>
            <w:vAlign w:val="bottom"/>
            <w:tcBorders>
              <w:top w:val="single" w:sz="8" w:color="auto"/>
            </w:tcBorders>
          </w:tcPr>
          <w:p>
            <w:pPr>
              <w:spacing w:after="0"/>
              <w:rPr>
                <w:sz w:val="7"/>
                <w:szCs w:val="7"/>
                <w:color w:val="auto"/>
              </w:rPr>
            </w:pPr>
          </w:p>
        </w:tc>
        <w:tc>
          <w:tcPr>
            <w:tcW w:w="420" w:type="dxa"/>
            <w:vAlign w:val="bottom"/>
            <w:tcBorders>
              <w:top w:val="single" w:sz="8" w:color="auto"/>
            </w:tcBorders>
          </w:tcPr>
          <w:p>
            <w:pPr>
              <w:spacing w:after="0"/>
              <w:rPr>
                <w:sz w:val="7"/>
                <w:szCs w:val="7"/>
                <w:color w:val="auto"/>
              </w:rPr>
            </w:pPr>
          </w:p>
        </w:tc>
        <w:tc>
          <w:tcPr>
            <w:tcW w:w="160" w:type="dxa"/>
            <w:vAlign w:val="bottom"/>
          </w:tcPr>
          <w:p>
            <w:pPr>
              <w:spacing w:after="0"/>
              <w:rPr>
                <w:sz w:val="7"/>
                <w:szCs w:val="7"/>
                <w:color w:val="auto"/>
              </w:rPr>
            </w:pPr>
          </w:p>
        </w:tc>
        <w:tc>
          <w:tcPr>
            <w:tcW w:w="360" w:type="dxa"/>
            <w:vAlign w:val="bottom"/>
            <w:tcBorders>
              <w:top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440" w:type="dxa"/>
            <w:vAlign w:val="bottom"/>
            <w:tcBorders>
              <w:top w:val="single" w:sz="8" w:color="auto"/>
            </w:tcBorders>
          </w:tcPr>
          <w:p>
            <w:pPr>
              <w:spacing w:after="0"/>
              <w:rPr>
                <w:sz w:val="7"/>
                <w:szCs w:val="7"/>
                <w:color w:val="auto"/>
              </w:rPr>
            </w:pPr>
          </w:p>
        </w:tc>
        <w:tc>
          <w:tcPr>
            <w:tcW w:w="140" w:type="dxa"/>
            <w:vAlign w:val="bottom"/>
          </w:tcPr>
          <w:p>
            <w:pPr>
              <w:spacing w:after="0"/>
              <w:rPr>
                <w:sz w:val="7"/>
                <w:szCs w:val="7"/>
                <w:color w:val="auto"/>
              </w:rPr>
            </w:pPr>
          </w:p>
        </w:tc>
        <w:tc>
          <w:tcPr>
            <w:tcW w:w="360" w:type="dxa"/>
            <w:vAlign w:val="bottom"/>
            <w:tcBorders>
              <w:top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440" w:type="dxa"/>
            <w:vAlign w:val="bottom"/>
            <w:tcBorders>
              <w:top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280" w:type="dxa"/>
            <w:vAlign w:val="bottom"/>
            <w:tcBorders>
              <w:top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300" w:type="dxa"/>
            <w:vAlign w:val="bottom"/>
            <w:tcBorders>
              <w:top w:val="single" w:sz="8" w:color="auto"/>
            </w:tcBorders>
          </w:tcPr>
          <w:p>
            <w:pPr>
              <w:spacing w:after="0"/>
              <w:rPr>
                <w:sz w:val="7"/>
                <w:szCs w:val="7"/>
                <w:color w:val="auto"/>
              </w:rPr>
            </w:pPr>
          </w:p>
        </w:tc>
        <w:tc>
          <w:tcPr>
            <w:tcW w:w="180" w:type="dxa"/>
            <w:vAlign w:val="bottom"/>
          </w:tcPr>
          <w:p>
            <w:pPr>
              <w:spacing w:after="0"/>
              <w:rPr>
                <w:sz w:val="7"/>
                <w:szCs w:val="7"/>
                <w:color w:val="auto"/>
              </w:rPr>
            </w:pPr>
          </w:p>
        </w:tc>
        <w:tc>
          <w:tcPr>
            <w:tcW w:w="420" w:type="dxa"/>
            <w:vAlign w:val="bottom"/>
            <w:tcBorders>
              <w:top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80" w:type="dxa"/>
            <w:vAlign w:val="bottom"/>
            <w:tcBorders>
              <w:top w:val="single" w:sz="8" w:color="auto"/>
            </w:tcBorders>
          </w:tcPr>
          <w:p>
            <w:pPr>
              <w:spacing w:after="0"/>
              <w:rPr>
                <w:sz w:val="7"/>
                <w:szCs w:val="7"/>
                <w:color w:val="auto"/>
              </w:rPr>
            </w:pPr>
          </w:p>
        </w:tc>
        <w:tc>
          <w:tcPr>
            <w:tcW w:w="380" w:type="dxa"/>
            <w:vAlign w:val="bottom"/>
            <w:tcBorders>
              <w:top w:val="single" w:sz="8" w:color="auto"/>
            </w:tcBorders>
          </w:tcPr>
          <w:p>
            <w:pPr>
              <w:spacing w:after="0"/>
              <w:rPr>
                <w:sz w:val="7"/>
                <w:szCs w:val="7"/>
                <w:color w:val="auto"/>
              </w:rPr>
            </w:pPr>
          </w:p>
        </w:tc>
        <w:tc>
          <w:tcPr>
            <w:tcW w:w="440" w:type="dxa"/>
            <w:vAlign w:val="bottom"/>
            <w:tcBorders>
              <w:top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60" w:type="dxa"/>
            <w:vAlign w:val="bottom"/>
            <w:tcBorders>
              <w:top w:val="single" w:sz="8" w:color="auto"/>
            </w:tcBorders>
          </w:tcPr>
          <w:p>
            <w:pPr>
              <w:spacing w:after="0"/>
              <w:rPr>
                <w:sz w:val="7"/>
                <w:szCs w:val="7"/>
                <w:color w:val="auto"/>
              </w:rPr>
            </w:pPr>
          </w:p>
        </w:tc>
        <w:tc>
          <w:tcPr>
            <w:tcW w:w="560" w:type="dxa"/>
            <w:vAlign w:val="bottom"/>
            <w:tcBorders>
              <w:top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560" w:type="dxa"/>
            <w:vAlign w:val="bottom"/>
            <w:tcBorders>
              <w:top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85"/>
        </w:trPr>
        <w:tc>
          <w:tcPr>
            <w:tcW w:w="20" w:type="dxa"/>
            <w:vAlign w:val="bottom"/>
            <w:vMerge w:val="continue"/>
          </w:tcPr>
          <w:p>
            <w:pPr>
              <w:spacing w:after="0"/>
              <w:rPr>
                <w:sz w:val="7"/>
                <w:szCs w:val="7"/>
                <w:color w:val="auto"/>
              </w:rPr>
            </w:pPr>
          </w:p>
        </w:tc>
        <w:tc>
          <w:tcPr>
            <w:tcW w:w="520" w:type="dxa"/>
            <w:vAlign w:val="bottom"/>
            <w:tcBorders>
              <w:right w:val="single" w:sz="8" w:color="CCEEFF"/>
            </w:tcBorders>
            <w:shd w:val="clear" w:color="auto" w:fill="CCEEFF"/>
          </w:tcPr>
          <w:p>
            <w:pPr>
              <w:spacing w:after="0" w:line="85" w:lineRule="exact"/>
              <w:rPr>
                <w:sz w:val="20"/>
                <w:szCs w:val="20"/>
                <w:color w:val="auto"/>
              </w:rPr>
            </w:pPr>
            <w:r>
              <w:rPr>
                <w:rFonts w:ascii="Arial" w:cs="Arial" w:eastAsia="Arial" w:hAnsi="Arial"/>
                <w:sz w:val="9"/>
                <w:szCs w:val="9"/>
                <w:b w:val="1"/>
                <w:bCs w:val="1"/>
                <w:color w:val="auto"/>
              </w:rPr>
              <w:t>Balance -</w:t>
            </w:r>
          </w:p>
        </w:tc>
        <w:tc>
          <w:tcPr>
            <w:tcW w:w="400" w:type="dxa"/>
            <w:vAlign w:val="bottom"/>
            <w:tcBorders>
              <w:right w:val="single" w:sz="8" w:color="CCEEFF"/>
            </w:tcBorders>
            <w:shd w:val="clear" w:color="auto" w:fill="CCEEFF"/>
          </w:tcPr>
          <w:p>
            <w:pPr>
              <w:spacing w:after="0"/>
              <w:rPr>
                <w:sz w:val="7"/>
                <w:szCs w:val="7"/>
                <w:color w:val="auto"/>
              </w:rPr>
            </w:pPr>
          </w:p>
        </w:tc>
        <w:tc>
          <w:tcPr>
            <w:tcW w:w="540" w:type="dxa"/>
            <w:vAlign w:val="bottom"/>
            <w:tcBorders>
              <w:right w:val="single" w:sz="8" w:color="CCEEFF"/>
            </w:tcBorders>
            <w:shd w:val="clear" w:color="auto" w:fill="CCEEFF"/>
          </w:tcPr>
          <w:p>
            <w:pPr>
              <w:spacing w:after="0"/>
              <w:rPr>
                <w:sz w:val="7"/>
                <w:szCs w:val="7"/>
                <w:color w:val="auto"/>
              </w:rPr>
            </w:pPr>
          </w:p>
        </w:tc>
        <w:tc>
          <w:tcPr>
            <w:tcW w:w="38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500" w:type="dxa"/>
            <w:vAlign w:val="bottom"/>
            <w:tcBorders>
              <w:right w:val="single" w:sz="8" w:color="CCEEFF"/>
            </w:tcBorders>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440" w:type="dxa"/>
            <w:vAlign w:val="bottom"/>
            <w:tcBorders>
              <w:right w:val="single" w:sz="8" w:color="CCEEFF"/>
            </w:tcBorders>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0" w:type="dxa"/>
            <w:vAlign w:val="bottom"/>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6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4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28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300" w:type="dxa"/>
            <w:vAlign w:val="bottom"/>
            <w:shd w:val="clear" w:color="auto" w:fill="CCEEFF"/>
          </w:tcPr>
          <w:p>
            <w:pPr>
              <w:spacing w:after="0"/>
              <w:rPr>
                <w:sz w:val="7"/>
                <w:szCs w:val="7"/>
                <w:color w:val="auto"/>
              </w:rPr>
            </w:pPr>
          </w:p>
        </w:tc>
        <w:tc>
          <w:tcPr>
            <w:tcW w:w="180" w:type="dxa"/>
            <w:vAlign w:val="bottom"/>
            <w:tcBorders>
              <w:left w:val="single" w:sz="8" w:color="CCEEFF"/>
              <w:right w:val="single" w:sz="8" w:color="CCEEFF"/>
            </w:tcBorders>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380" w:type="dxa"/>
            <w:vAlign w:val="bottom"/>
            <w:tcBorders>
              <w:right w:val="single" w:sz="8" w:color="CCEEFF"/>
            </w:tcBorders>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560" w:type="dxa"/>
            <w:vAlign w:val="bottom"/>
            <w:shd w:val="clear" w:color="auto" w:fill="CCEEFF"/>
          </w:tcPr>
          <w:p>
            <w:pPr>
              <w:spacing w:after="0"/>
              <w:rPr>
                <w:sz w:val="7"/>
                <w:szCs w:val="7"/>
                <w:color w:val="auto"/>
              </w:rPr>
            </w:pPr>
          </w:p>
        </w:tc>
        <w:tc>
          <w:tcPr>
            <w:tcW w:w="120" w:type="dxa"/>
            <w:vAlign w:val="bottom"/>
            <w:shd w:val="clear" w:color="auto" w:fill="CCEEFF"/>
          </w:tcPr>
          <w:p>
            <w:pPr>
              <w:spacing w:after="0"/>
              <w:rPr>
                <w:sz w:val="7"/>
                <w:szCs w:val="7"/>
                <w:color w:val="auto"/>
              </w:rPr>
            </w:pPr>
          </w:p>
        </w:tc>
        <w:tc>
          <w:tcPr>
            <w:tcW w:w="560" w:type="dxa"/>
            <w:vAlign w:val="bottom"/>
            <w:tcBorders>
              <w:right w:val="single" w:sz="8" w:color="CCEEFF"/>
            </w:tcBorders>
            <w:shd w:val="clear" w:color="auto" w:fill="CCEEFF"/>
          </w:tcPr>
          <w:p>
            <w:pPr>
              <w:spacing w:after="0"/>
              <w:rPr>
                <w:sz w:val="7"/>
                <w:szCs w:val="7"/>
                <w:color w:val="auto"/>
              </w:rPr>
            </w:pPr>
          </w:p>
        </w:tc>
        <w:tc>
          <w:tcPr>
            <w:tcW w:w="0" w:type="dxa"/>
            <w:vAlign w:val="bottom"/>
          </w:tcPr>
          <w:p>
            <w:pPr>
              <w:spacing w:after="0"/>
              <w:rPr>
                <w:sz w:val="1"/>
                <w:szCs w:val="1"/>
                <w:color w:val="auto"/>
              </w:rPr>
            </w:pPr>
          </w:p>
        </w:tc>
      </w:tr>
      <w:tr>
        <w:trPr>
          <w:trHeight w:val="98"/>
        </w:trPr>
        <w:tc>
          <w:tcPr>
            <w:tcW w:w="20" w:type="dxa"/>
            <w:vAlign w:val="bottom"/>
          </w:tcPr>
          <w:p>
            <w:pPr>
              <w:spacing w:after="0"/>
              <w:rPr>
                <w:sz w:val="8"/>
                <w:szCs w:val="8"/>
                <w:color w:val="auto"/>
              </w:rPr>
            </w:pPr>
          </w:p>
        </w:tc>
        <w:tc>
          <w:tcPr>
            <w:tcW w:w="520" w:type="dxa"/>
            <w:vAlign w:val="bottom"/>
            <w:tcBorders>
              <w:righ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rPr>
              <w:t>December</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560" w:type="dxa"/>
            <w:vAlign w:val="bottom"/>
            <w:shd w:val="clear" w:color="auto" w:fill="CCEEFF"/>
          </w:tcPr>
          <w:p>
            <w:pPr>
              <w:spacing w:after="0"/>
              <w:rPr>
                <w:sz w:val="8"/>
                <w:szCs w:val="8"/>
                <w:color w:val="auto"/>
              </w:rPr>
            </w:pPr>
          </w:p>
        </w:tc>
        <w:tc>
          <w:tcPr>
            <w:tcW w:w="120" w:type="dxa"/>
            <w:vAlign w:val="bottom"/>
            <w:shd w:val="clear" w:color="auto" w:fill="CCEEFF"/>
          </w:tcPr>
          <w:p>
            <w:pPr>
              <w:spacing w:after="0"/>
              <w:rPr>
                <w:sz w:val="8"/>
                <w:szCs w:val="8"/>
                <w:color w:val="auto"/>
              </w:rPr>
            </w:pPr>
          </w:p>
        </w:tc>
        <w:tc>
          <w:tcPr>
            <w:tcW w:w="560" w:type="dxa"/>
            <w:vAlign w:val="bottom"/>
            <w:tcBorders>
              <w:right w:val="single" w:sz="8" w:color="CCEEFF"/>
            </w:tcBorders>
            <w:shd w:val="clear" w:color="auto" w:fill="CCEEFF"/>
          </w:tcPr>
          <w:p>
            <w:pPr>
              <w:spacing w:after="0"/>
              <w:rPr>
                <w:sz w:val="8"/>
                <w:szCs w:val="8"/>
                <w:color w:val="auto"/>
              </w:rPr>
            </w:pPr>
          </w:p>
        </w:tc>
        <w:tc>
          <w:tcPr>
            <w:tcW w:w="0" w:type="dxa"/>
            <w:vAlign w:val="bottom"/>
          </w:tcPr>
          <w:p>
            <w:pPr>
              <w:spacing w:after="0"/>
              <w:rPr>
                <w:sz w:val="1"/>
                <w:szCs w:val="1"/>
                <w:color w:val="auto"/>
              </w:rPr>
            </w:pPr>
          </w:p>
        </w:tc>
      </w:tr>
      <w:tr>
        <w:trPr>
          <w:trHeight w:val="111"/>
        </w:trPr>
        <w:tc>
          <w:tcPr>
            <w:tcW w:w="20" w:type="dxa"/>
            <w:vAlign w:val="bottom"/>
          </w:tcPr>
          <w:p>
            <w:pPr>
              <w:spacing w:after="0"/>
              <w:rPr>
                <w:sz w:val="9"/>
                <w:szCs w:val="9"/>
                <w:color w:val="auto"/>
              </w:rPr>
            </w:pPr>
          </w:p>
        </w:tc>
        <w:tc>
          <w:tcPr>
            <w:tcW w:w="52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9"/>
                <w:szCs w:val="9"/>
                <w:b w:val="1"/>
                <w:bCs w:val="1"/>
                <w:color w:val="auto"/>
              </w:rPr>
              <w:t>31, 2019</w:t>
            </w:r>
          </w:p>
        </w:tc>
        <w:tc>
          <w:tcPr>
            <w:tcW w:w="4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9"/>
                <w:szCs w:val="9"/>
                <w:b w:val="1"/>
                <w:bCs w:val="1"/>
                <w:color w:val="auto"/>
                <w:w w:val="84"/>
              </w:rPr>
              <w:t>5,339,215</w:t>
            </w:r>
          </w:p>
        </w:tc>
        <w:tc>
          <w:tcPr>
            <w:tcW w:w="540" w:type="dxa"/>
            <w:vAlign w:val="bottom"/>
            <w:tcBorders>
              <w:right w:val="single" w:sz="8" w:color="CCEEFF"/>
            </w:tcBorders>
            <w:shd w:val="clear" w:color="auto" w:fill="CCEEFF"/>
          </w:tcPr>
          <w:p>
            <w:pPr>
              <w:jc w:val="right"/>
              <w:ind w:right="34"/>
              <w:spacing w:after="0"/>
              <w:rPr>
                <w:sz w:val="20"/>
                <w:szCs w:val="20"/>
                <w:color w:val="auto"/>
              </w:rPr>
            </w:pPr>
            <w:r>
              <w:rPr>
                <w:rFonts w:ascii="Arial" w:cs="Arial" w:eastAsia="Arial" w:hAnsi="Arial"/>
                <w:sz w:val="9"/>
                <w:szCs w:val="9"/>
                <w:b w:val="1"/>
                <w:bCs w:val="1"/>
                <w:color w:val="auto"/>
                <w:w w:val="97"/>
              </w:rPr>
              <w:t>13,865,715</w:t>
            </w:r>
          </w:p>
        </w:tc>
        <w:tc>
          <w:tcPr>
            <w:tcW w:w="46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b w:val="1"/>
                <w:bCs w:val="1"/>
                <w:color w:val="auto"/>
                <w:w w:val="89"/>
              </w:rPr>
              <w:t>1,660,756</w:t>
            </w:r>
          </w:p>
        </w:tc>
        <w:tc>
          <w:tcPr>
            <w:tcW w:w="500" w:type="dxa"/>
            <w:vAlign w:val="bottom"/>
            <w:tcBorders>
              <w:right w:val="single" w:sz="8" w:color="CCEEFF"/>
            </w:tcBorders>
            <w:shd w:val="clear" w:color="auto" w:fill="CCEEFF"/>
          </w:tcPr>
          <w:p>
            <w:pPr>
              <w:jc w:val="right"/>
              <w:ind w:right="34"/>
              <w:spacing w:after="0"/>
              <w:rPr>
                <w:sz w:val="20"/>
                <w:szCs w:val="20"/>
                <w:color w:val="auto"/>
              </w:rPr>
            </w:pPr>
            <w:r>
              <w:rPr>
                <w:rFonts w:ascii="Arial" w:cs="Arial" w:eastAsia="Arial" w:hAnsi="Arial"/>
                <w:sz w:val="9"/>
                <w:szCs w:val="9"/>
                <w:b w:val="1"/>
                <w:bCs w:val="1"/>
                <w:color w:val="auto"/>
                <w:w w:val="99"/>
              </w:rPr>
              <w:t>4,982,268</w:t>
            </w:r>
          </w:p>
        </w:tc>
        <w:tc>
          <w:tcPr>
            <w:tcW w:w="48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b w:val="1"/>
                <w:bCs w:val="1"/>
                <w:color w:val="auto"/>
              </w:rPr>
              <w:t>16,757</w:t>
            </w:r>
          </w:p>
        </w:tc>
        <w:tc>
          <w:tcPr>
            <w:tcW w:w="60" w:type="dxa"/>
            <w:vAlign w:val="bottom"/>
            <w:shd w:val="clear" w:color="auto" w:fill="CCEEFF"/>
          </w:tcPr>
          <w:p>
            <w:pPr>
              <w:spacing w:after="0"/>
              <w:rPr>
                <w:sz w:val="9"/>
                <w:szCs w:val="9"/>
                <w:color w:val="auto"/>
              </w:rPr>
            </w:pPr>
          </w:p>
        </w:tc>
        <w:tc>
          <w:tcPr>
            <w:tcW w:w="520" w:type="dxa"/>
            <w:vAlign w:val="bottom"/>
            <w:tcBorders>
              <w:right w:val="single" w:sz="8" w:color="CCEEFF"/>
            </w:tcBorders>
            <w:gridSpan w:val="2"/>
            <w:shd w:val="clear" w:color="auto" w:fill="CCEEFF"/>
          </w:tcPr>
          <w:p>
            <w:pPr>
              <w:jc w:val="right"/>
              <w:ind w:right="120"/>
              <w:spacing w:after="0"/>
              <w:rPr>
                <w:sz w:val="20"/>
                <w:szCs w:val="20"/>
                <w:color w:val="auto"/>
              </w:rPr>
            </w:pPr>
            <w:r>
              <w:rPr>
                <w:rFonts w:ascii="Arial" w:cs="Arial" w:eastAsia="Arial" w:hAnsi="Arial"/>
                <w:sz w:val="9"/>
                <w:szCs w:val="9"/>
                <w:b w:val="1"/>
                <w:bCs w:val="1"/>
                <w:color w:val="auto"/>
              </w:rPr>
              <w:t>45,945</w:t>
            </w:r>
          </w:p>
        </w:tc>
        <w:tc>
          <w:tcPr>
            <w:tcW w:w="440" w:type="dxa"/>
            <w:vAlign w:val="bottom"/>
            <w:tcBorders>
              <w:right w:val="single" w:sz="8" w:color="CCEEFF"/>
            </w:tcBorders>
            <w:shd w:val="clear" w:color="auto" w:fill="CCEEFF"/>
          </w:tcPr>
          <w:p>
            <w:pPr>
              <w:jc w:val="right"/>
              <w:ind w:right="34"/>
              <w:spacing w:after="0"/>
              <w:rPr>
                <w:sz w:val="20"/>
                <w:szCs w:val="20"/>
                <w:color w:val="auto"/>
              </w:rPr>
            </w:pPr>
            <w:r>
              <w:rPr>
                <w:rFonts w:ascii="Arial" w:cs="Arial" w:eastAsia="Arial" w:hAnsi="Arial"/>
                <w:sz w:val="9"/>
                <w:szCs w:val="9"/>
                <w:b w:val="1"/>
                <w:bCs w:val="1"/>
                <w:color w:val="auto"/>
                <w:w w:val="84"/>
              </w:rPr>
              <w:t>1,432,786</w:t>
            </w:r>
          </w:p>
        </w:tc>
        <w:tc>
          <w:tcPr>
            <w:tcW w:w="60" w:type="dxa"/>
            <w:vAlign w:val="bottom"/>
            <w:shd w:val="clear" w:color="auto" w:fill="CCEEFF"/>
          </w:tcPr>
          <w:p>
            <w:pPr>
              <w:spacing w:after="0"/>
              <w:rPr>
                <w:sz w:val="9"/>
                <w:szCs w:val="9"/>
                <w:color w:val="auto"/>
              </w:rPr>
            </w:pPr>
          </w:p>
        </w:tc>
        <w:tc>
          <w:tcPr>
            <w:tcW w:w="520" w:type="dxa"/>
            <w:vAlign w:val="bottom"/>
            <w:tcBorders>
              <w:right w:val="single" w:sz="8" w:color="CCEEFF"/>
            </w:tcBorders>
            <w:gridSpan w:val="2"/>
            <w:shd w:val="clear" w:color="auto" w:fill="CCEEFF"/>
          </w:tcPr>
          <w:p>
            <w:pPr>
              <w:jc w:val="right"/>
              <w:ind w:right="120"/>
              <w:spacing w:after="0"/>
              <w:rPr>
                <w:sz w:val="20"/>
                <w:szCs w:val="20"/>
                <w:color w:val="auto"/>
              </w:rPr>
            </w:pPr>
            <w:r>
              <w:rPr>
                <w:rFonts w:ascii="Arial" w:cs="Arial" w:eastAsia="Arial" w:hAnsi="Arial"/>
                <w:sz w:val="9"/>
                <w:szCs w:val="9"/>
                <w:b w:val="1"/>
                <w:bCs w:val="1"/>
                <w:color w:val="auto"/>
                <w:w w:val="94"/>
              </w:rPr>
              <w:t>5,167,402</w:t>
            </w:r>
          </w:p>
        </w:tc>
        <w:tc>
          <w:tcPr>
            <w:tcW w:w="460" w:type="dxa"/>
            <w:vAlign w:val="bottom"/>
            <w:gridSpan w:val="2"/>
            <w:shd w:val="clear" w:color="auto" w:fill="CCEEFF"/>
          </w:tcPr>
          <w:p>
            <w:pPr>
              <w:jc w:val="right"/>
              <w:ind w:right="100"/>
              <w:spacing w:after="0"/>
              <w:rPr>
                <w:sz w:val="20"/>
                <w:szCs w:val="20"/>
                <w:color w:val="auto"/>
              </w:rPr>
            </w:pPr>
            <w:r>
              <w:rPr>
                <w:rFonts w:ascii="Arial" w:cs="Arial" w:eastAsia="Arial" w:hAnsi="Arial"/>
                <w:sz w:val="9"/>
                <w:szCs w:val="9"/>
                <w:b w:val="1"/>
                <w:bCs w:val="1"/>
                <w:color w:val="auto"/>
              </w:rPr>
              <w:t>781,870</w:t>
            </w:r>
          </w:p>
        </w:tc>
        <w:tc>
          <w:tcPr>
            <w:tcW w:w="40" w:type="dxa"/>
            <w:vAlign w:val="bottom"/>
            <w:shd w:val="clear" w:color="auto" w:fill="CCEEFF"/>
          </w:tcPr>
          <w:p>
            <w:pPr>
              <w:spacing w:after="0"/>
              <w:rPr>
                <w:sz w:val="9"/>
                <w:szCs w:val="9"/>
                <w:color w:val="auto"/>
              </w:rPr>
            </w:pPr>
          </w:p>
        </w:tc>
        <w:tc>
          <w:tcPr>
            <w:tcW w:w="580" w:type="dxa"/>
            <w:vAlign w:val="bottom"/>
            <w:tcBorders>
              <w:right w:val="single" w:sz="8" w:color="CCEEFF"/>
            </w:tcBorders>
            <w:gridSpan w:val="2"/>
            <w:shd w:val="clear" w:color="auto" w:fill="CCEEFF"/>
          </w:tcPr>
          <w:p>
            <w:pPr>
              <w:jc w:val="right"/>
              <w:ind w:right="160"/>
              <w:spacing w:after="0"/>
              <w:rPr>
                <w:sz w:val="20"/>
                <w:szCs w:val="20"/>
                <w:color w:val="auto"/>
              </w:rPr>
            </w:pPr>
            <w:r>
              <w:rPr>
                <w:rFonts w:ascii="Arial" w:cs="Arial" w:eastAsia="Arial" w:hAnsi="Arial"/>
                <w:sz w:val="9"/>
                <w:szCs w:val="9"/>
                <w:b w:val="1"/>
                <w:bCs w:val="1"/>
                <w:color w:val="auto"/>
                <w:w w:val="99"/>
              </w:rPr>
              <w:t>5,604,450</w:t>
            </w:r>
          </w:p>
        </w:tc>
        <w:tc>
          <w:tcPr>
            <w:tcW w:w="44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b w:val="1"/>
                <w:bCs w:val="1"/>
                <w:color w:val="auto"/>
                <w:w w:val="84"/>
              </w:rPr>
              <w:t>8,936,015</w:t>
            </w:r>
          </w:p>
        </w:tc>
        <w:tc>
          <w:tcPr>
            <w:tcW w:w="580" w:type="dxa"/>
            <w:vAlign w:val="bottom"/>
            <w:tcBorders>
              <w:right w:val="single" w:sz="8" w:color="CCEEFF"/>
            </w:tcBorders>
            <w:gridSpan w:val="2"/>
            <w:shd w:val="clear" w:color="auto" w:fill="CCEEFF"/>
          </w:tcPr>
          <w:p>
            <w:pPr>
              <w:jc w:val="right"/>
              <w:ind w:right="140"/>
              <w:spacing w:after="0"/>
              <w:rPr>
                <w:sz w:val="20"/>
                <w:szCs w:val="20"/>
                <w:color w:val="auto"/>
              </w:rPr>
            </w:pPr>
            <w:r>
              <w:rPr>
                <w:rFonts w:ascii="Arial" w:cs="Arial" w:eastAsia="Arial" w:hAnsi="Arial"/>
                <w:sz w:val="9"/>
                <w:szCs w:val="9"/>
                <w:b w:val="1"/>
                <w:bCs w:val="1"/>
                <w:color w:val="auto"/>
              </w:rPr>
              <w:t>3,865,155</w:t>
            </w:r>
          </w:p>
        </w:tc>
        <w:tc>
          <w:tcPr>
            <w:tcW w:w="360" w:type="dxa"/>
            <w:vAlign w:val="bottom"/>
            <w:shd w:val="clear" w:color="auto" w:fill="CCEEFF"/>
          </w:tcPr>
          <w:p>
            <w:pPr>
              <w:jc w:val="right"/>
              <w:spacing w:after="0"/>
              <w:rPr>
                <w:sz w:val="20"/>
                <w:szCs w:val="20"/>
                <w:color w:val="auto"/>
              </w:rPr>
            </w:pPr>
            <w:r>
              <w:rPr>
                <w:rFonts w:ascii="Arial" w:cs="Arial" w:eastAsia="Arial" w:hAnsi="Arial"/>
                <w:sz w:val="9"/>
                <w:szCs w:val="9"/>
                <w:b w:val="1"/>
                <w:bCs w:val="1"/>
                <w:color w:val="auto"/>
                <w:w w:val="84"/>
              </w:rPr>
              <w:t>4,653,583</w:t>
            </w:r>
          </w:p>
        </w:tc>
        <w:tc>
          <w:tcPr>
            <w:tcW w:w="100" w:type="dxa"/>
            <w:vAlign w:val="bottom"/>
            <w:shd w:val="clear" w:color="auto" w:fill="CCEEFF"/>
          </w:tcPr>
          <w:p>
            <w:pPr>
              <w:spacing w:after="0"/>
              <w:rPr>
                <w:sz w:val="9"/>
                <w:szCs w:val="9"/>
                <w:color w:val="auto"/>
              </w:rPr>
            </w:pPr>
          </w:p>
        </w:tc>
        <w:tc>
          <w:tcPr>
            <w:tcW w:w="540" w:type="dxa"/>
            <w:vAlign w:val="bottom"/>
            <w:gridSpan w:val="2"/>
            <w:shd w:val="clear" w:color="auto" w:fill="CCEEFF"/>
          </w:tcPr>
          <w:p>
            <w:pPr>
              <w:jc w:val="right"/>
              <w:ind w:right="100"/>
              <w:spacing w:after="0"/>
              <w:rPr>
                <w:sz w:val="20"/>
                <w:szCs w:val="20"/>
                <w:color w:val="auto"/>
              </w:rPr>
            </w:pPr>
            <w:r>
              <w:rPr>
                <w:rFonts w:ascii="Arial" w:cs="Arial" w:eastAsia="Arial" w:hAnsi="Arial"/>
                <w:sz w:val="9"/>
                <w:szCs w:val="9"/>
                <w:b w:val="1"/>
                <w:bCs w:val="1"/>
                <w:color w:val="auto"/>
              </w:rPr>
              <w:t>9,441,770</w:t>
            </w:r>
          </w:p>
        </w:tc>
        <w:tc>
          <w:tcPr>
            <w:tcW w:w="380" w:type="dxa"/>
            <w:vAlign w:val="bottom"/>
            <w:gridSpan w:val="2"/>
            <w:shd w:val="clear" w:color="auto" w:fill="CCEEFF"/>
          </w:tcPr>
          <w:p>
            <w:pPr>
              <w:jc w:val="right"/>
              <w:ind w:right="100"/>
              <w:spacing w:after="0"/>
              <w:rPr>
                <w:sz w:val="20"/>
                <w:szCs w:val="20"/>
                <w:color w:val="auto"/>
              </w:rPr>
            </w:pPr>
            <w:r>
              <w:rPr>
                <w:rFonts w:ascii="Arial" w:cs="Arial" w:eastAsia="Arial" w:hAnsi="Arial"/>
                <w:sz w:val="9"/>
                <w:szCs w:val="9"/>
                <w:b w:val="1"/>
                <w:bCs w:val="1"/>
                <w:color w:val="auto"/>
              </w:rPr>
              <w:t>-</w:t>
            </w:r>
          </w:p>
        </w:tc>
        <w:tc>
          <w:tcPr>
            <w:tcW w:w="300" w:type="dxa"/>
            <w:vAlign w:val="bottom"/>
            <w:shd w:val="clear" w:color="auto" w:fill="CCEEFF"/>
          </w:tcPr>
          <w:p>
            <w:pPr>
              <w:spacing w:after="0"/>
              <w:rPr>
                <w:sz w:val="9"/>
                <w:szCs w:val="9"/>
                <w:color w:val="auto"/>
              </w:rPr>
            </w:pPr>
          </w:p>
        </w:tc>
        <w:tc>
          <w:tcPr>
            <w:tcW w:w="180" w:type="dxa"/>
            <w:vAlign w:val="bottom"/>
            <w:tcBorders>
              <w:left w:val="single" w:sz="8" w:color="CCEEFF"/>
              <w:right w:val="single" w:sz="8" w:color="CCEEFF"/>
            </w:tcBorders>
            <w:shd w:val="clear" w:color="auto" w:fill="CCEEFF"/>
          </w:tcPr>
          <w:p>
            <w:pPr>
              <w:jc w:val="right"/>
              <w:ind w:right="100"/>
              <w:spacing w:after="0"/>
              <w:rPr>
                <w:sz w:val="20"/>
                <w:szCs w:val="20"/>
                <w:color w:val="auto"/>
              </w:rPr>
            </w:pPr>
            <w:r>
              <w:rPr>
                <w:rFonts w:ascii="Arial" w:cs="Arial" w:eastAsia="Arial" w:hAnsi="Arial"/>
                <w:sz w:val="8"/>
                <w:szCs w:val="8"/>
                <w:b w:val="1"/>
                <w:bCs w:val="1"/>
                <w:color w:val="auto"/>
                <w:w w:val="73"/>
              </w:rPr>
              <w:t>-</w:t>
            </w:r>
          </w:p>
        </w:tc>
        <w:tc>
          <w:tcPr>
            <w:tcW w:w="420" w:type="dxa"/>
            <w:vAlign w:val="bottom"/>
            <w:shd w:val="clear" w:color="auto" w:fill="CCEEFF"/>
          </w:tcPr>
          <w:p>
            <w:pPr>
              <w:jc w:val="right"/>
              <w:spacing w:after="0"/>
              <w:rPr>
                <w:sz w:val="20"/>
                <w:szCs w:val="20"/>
                <w:color w:val="auto"/>
              </w:rPr>
            </w:pPr>
            <w:r>
              <w:rPr>
                <w:rFonts w:ascii="Arial" w:cs="Arial" w:eastAsia="Arial" w:hAnsi="Arial"/>
                <w:sz w:val="9"/>
                <w:szCs w:val="9"/>
                <w:b w:val="1"/>
                <w:bCs w:val="1"/>
                <w:color w:val="auto"/>
                <w:w w:val="88"/>
              </w:rPr>
              <w:t>10,179,000</w:t>
            </w:r>
          </w:p>
        </w:tc>
        <w:tc>
          <w:tcPr>
            <w:tcW w:w="1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380" w:type="dxa"/>
            <w:vAlign w:val="bottom"/>
            <w:tcBorders>
              <w:right w:val="single" w:sz="8" w:color="CCEEFF"/>
            </w:tcBorders>
            <w:shd w:val="clear" w:color="auto" w:fill="CCEEFF"/>
          </w:tcPr>
          <w:p>
            <w:pPr>
              <w:jc w:val="right"/>
              <w:ind w:right="54"/>
              <w:spacing w:after="0"/>
              <w:rPr>
                <w:sz w:val="20"/>
                <w:szCs w:val="20"/>
                <w:color w:val="auto"/>
              </w:rPr>
            </w:pPr>
            <w:r>
              <w:rPr>
                <w:rFonts w:ascii="Arial" w:cs="Arial" w:eastAsia="Arial" w:hAnsi="Arial"/>
                <w:sz w:val="9"/>
                <w:szCs w:val="9"/>
                <w:b w:val="1"/>
                <w:bCs w:val="1"/>
                <w:color w:val="auto"/>
                <w:w w:val="94"/>
              </w:rPr>
              <w:t>10,179</w:t>
            </w:r>
          </w:p>
        </w:tc>
        <w:tc>
          <w:tcPr>
            <w:tcW w:w="52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b w:val="1"/>
                <w:bCs w:val="1"/>
                <w:color w:val="auto"/>
              </w:rPr>
              <w:t>2,528,653</w:t>
            </w:r>
          </w:p>
        </w:tc>
        <w:tc>
          <w:tcPr>
            <w:tcW w:w="60" w:type="dxa"/>
            <w:vAlign w:val="bottom"/>
            <w:shd w:val="clear" w:color="auto" w:fill="CCEEFF"/>
          </w:tcPr>
          <w:p>
            <w:pPr>
              <w:spacing w:after="0"/>
              <w:rPr>
                <w:sz w:val="9"/>
                <w:szCs w:val="9"/>
                <w:color w:val="auto"/>
              </w:rPr>
            </w:pPr>
          </w:p>
        </w:tc>
        <w:tc>
          <w:tcPr>
            <w:tcW w:w="68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b w:val="1"/>
                <w:bCs w:val="1"/>
                <w:color w:val="auto"/>
              </w:rPr>
              <w:t>(49,247,199)</w:t>
            </w:r>
          </w:p>
        </w:tc>
        <w:tc>
          <w:tcPr>
            <w:tcW w:w="56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9"/>
                <w:szCs w:val="9"/>
                <w:b w:val="1"/>
                <w:bCs w:val="1"/>
                <w:color w:val="auto"/>
              </w:rPr>
              <w:t>(46,708,367)</w:t>
            </w:r>
          </w:p>
        </w:tc>
        <w:tc>
          <w:tcPr>
            <w:tcW w:w="0" w:type="dxa"/>
            <w:vAlign w:val="bottom"/>
          </w:tcPr>
          <w:p>
            <w:pPr>
              <w:spacing w:after="0"/>
              <w:rPr>
                <w:sz w:val="1"/>
                <w:szCs w:val="1"/>
                <w:color w:val="auto"/>
              </w:rPr>
            </w:pPr>
          </w:p>
        </w:tc>
      </w:tr>
      <w:tr>
        <w:trPr>
          <w:trHeight w:val="98"/>
        </w:trPr>
        <w:tc>
          <w:tcPr>
            <w:tcW w:w="20" w:type="dxa"/>
            <w:vAlign w:val="bottom"/>
            <w:vMerge w:val="restart"/>
          </w:tcPr>
          <w:p>
            <w:pPr>
              <w:spacing w:after="0"/>
              <w:rPr>
                <w:sz w:val="8"/>
                <w:szCs w:val="8"/>
                <w:color w:val="auto"/>
              </w:rPr>
            </w:pPr>
          </w:p>
        </w:tc>
        <w:tc>
          <w:tcPr>
            <w:tcW w:w="520" w:type="dxa"/>
            <w:vAlign w:val="bottom"/>
          </w:tcPr>
          <w:p>
            <w:pPr>
              <w:spacing w:after="0"/>
              <w:rPr>
                <w:sz w:val="8"/>
                <w:szCs w:val="8"/>
                <w:color w:val="auto"/>
              </w:rPr>
            </w:pPr>
          </w:p>
        </w:tc>
        <w:tc>
          <w:tcPr>
            <w:tcW w:w="400" w:type="dxa"/>
            <w:vAlign w:val="bottom"/>
          </w:tcPr>
          <w:p>
            <w:pPr>
              <w:spacing w:after="0"/>
              <w:rPr>
                <w:sz w:val="8"/>
                <w:szCs w:val="8"/>
                <w:color w:val="auto"/>
              </w:rPr>
            </w:pPr>
          </w:p>
        </w:tc>
        <w:tc>
          <w:tcPr>
            <w:tcW w:w="540" w:type="dxa"/>
            <w:vAlign w:val="bottom"/>
          </w:tcPr>
          <w:p>
            <w:pPr>
              <w:spacing w:after="0"/>
              <w:rPr>
                <w:sz w:val="8"/>
                <w:szCs w:val="8"/>
                <w:color w:val="auto"/>
              </w:rPr>
            </w:pPr>
          </w:p>
        </w:tc>
        <w:tc>
          <w:tcPr>
            <w:tcW w:w="380" w:type="dxa"/>
            <w:vAlign w:val="bottom"/>
          </w:tcPr>
          <w:p>
            <w:pPr>
              <w:spacing w:after="0"/>
              <w:rPr>
                <w:sz w:val="8"/>
                <w:szCs w:val="8"/>
                <w:color w:val="auto"/>
              </w:rPr>
            </w:pPr>
          </w:p>
        </w:tc>
        <w:tc>
          <w:tcPr>
            <w:tcW w:w="80" w:type="dxa"/>
            <w:vAlign w:val="bottom"/>
          </w:tcPr>
          <w:p>
            <w:pPr>
              <w:spacing w:after="0"/>
              <w:rPr>
                <w:sz w:val="8"/>
                <w:szCs w:val="8"/>
                <w:color w:val="auto"/>
              </w:rPr>
            </w:pPr>
          </w:p>
        </w:tc>
        <w:tc>
          <w:tcPr>
            <w:tcW w:w="500" w:type="dxa"/>
            <w:vAlign w:val="bottom"/>
          </w:tcPr>
          <w:p>
            <w:pPr>
              <w:spacing w:after="0"/>
              <w:rPr>
                <w:sz w:val="8"/>
                <w:szCs w:val="8"/>
                <w:color w:val="auto"/>
              </w:rPr>
            </w:pPr>
          </w:p>
        </w:tc>
        <w:tc>
          <w:tcPr>
            <w:tcW w:w="40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44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0" w:type="dxa"/>
            <w:vAlign w:val="bottom"/>
          </w:tcPr>
          <w:p>
            <w:pPr>
              <w:spacing w:after="0"/>
              <w:rPr>
                <w:sz w:val="8"/>
                <w:szCs w:val="8"/>
                <w:color w:val="auto"/>
              </w:rPr>
            </w:pPr>
          </w:p>
        </w:tc>
        <w:tc>
          <w:tcPr>
            <w:tcW w:w="420" w:type="dxa"/>
            <w:vAlign w:val="bottom"/>
          </w:tcPr>
          <w:p>
            <w:pPr>
              <w:spacing w:after="0"/>
              <w:rPr>
                <w:sz w:val="8"/>
                <w:szCs w:val="8"/>
                <w:color w:val="auto"/>
              </w:rPr>
            </w:pPr>
          </w:p>
        </w:tc>
        <w:tc>
          <w:tcPr>
            <w:tcW w:w="16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40" w:type="dxa"/>
            <w:vAlign w:val="bottom"/>
          </w:tcPr>
          <w:p>
            <w:pPr>
              <w:spacing w:after="0"/>
              <w:rPr>
                <w:sz w:val="8"/>
                <w:szCs w:val="8"/>
                <w:color w:val="auto"/>
              </w:rPr>
            </w:pPr>
          </w:p>
        </w:tc>
        <w:tc>
          <w:tcPr>
            <w:tcW w:w="14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40" w:type="dxa"/>
            <w:vAlign w:val="bottom"/>
          </w:tcPr>
          <w:p>
            <w:pPr>
              <w:spacing w:after="0"/>
              <w:rPr>
                <w:sz w:val="8"/>
                <w:szCs w:val="8"/>
                <w:color w:val="auto"/>
              </w:rPr>
            </w:pPr>
          </w:p>
        </w:tc>
        <w:tc>
          <w:tcPr>
            <w:tcW w:w="100" w:type="dxa"/>
            <w:vAlign w:val="bottom"/>
          </w:tcPr>
          <w:p>
            <w:pPr>
              <w:spacing w:after="0"/>
              <w:rPr>
                <w:sz w:val="8"/>
                <w:szCs w:val="8"/>
                <w:color w:val="auto"/>
              </w:rPr>
            </w:pPr>
          </w:p>
        </w:tc>
        <w:tc>
          <w:tcPr>
            <w:tcW w:w="280" w:type="dxa"/>
            <w:vAlign w:val="bottom"/>
          </w:tcPr>
          <w:p>
            <w:pPr>
              <w:spacing w:after="0"/>
              <w:rPr>
                <w:sz w:val="8"/>
                <w:szCs w:val="8"/>
                <w:color w:val="auto"/>
              </w:rPr>
            </w:pPr>
          </w:p>
        </w:tc>
        <w:tc>
          <w:tcPr>
            <w:tcW w:w="100" w:type="dxa"/>
            <w:vAlign w:val="bottom"/>
          </w:tcPr>
          <w:p>
            <w:pPr>
              <w:spacing w:after="0"/>
              <w:rPr>
                <w:sz w:val="8"/>
                <w:szCs w:val="8"/>
                <w:color w:val="auto"/>
              </w:rPr>
            </w:pPr>
          </w:p>
        </w:tc>
        <w:tc>
          <w:tcPr>
            <w:tcW w:w="300" w:type="dxa"/>
            <w:vAlign w:val="bottom"/>
          </w:tcPr>
          <w:p>
            <w:pPr>
              <w:spacing w:after="0"/>
              <w:rPr>
                <w:sz w:val="8"/>
                <w:szCs w:val="8"/>
                <w:color w:val="auto"/>
              </w:rPr>
            </w:pPr>
          </w:p>
        </w:tc>
        <w:tc>
          <w:tcPr>
            <w:tcW w:w="180" w:type="dxa"/>
            <w:vAlign w:val="bottom"/>
          </w:tcPr>
          <w:p>
            <w:pPr>
              <w:spacing w:after="0"/>
              <w:rPr>
                <w:sz w:val="8"/>
                <w:szCs w:val="8"/>
                <w:color w:val="auto"/>
              </w:rPr>
            </w:pPr>
          </w:p>
        </w:tc>
        <w:tc>
          <w:tcPr>
            <w:tcW w:w="420" w:type="dxa"/>
            <w:vAlign w:val="bottom"/>
          </w:tcPr>
          <w:p>
            <w:pPr>
              <w:spacing w:after="0"/>
              <w:rPr>
                <w:sz w:val="8"/>
                <w:szCs w:val="8"/>
                <w:color w:val="auto"/>
              </w:rPr>
            </w:pPr>
          </w:p>
        </w:tc>
        <w:tc>
          <w:tcPr>
            <w:tcW w:w="1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0" w:type="dxa"/>
            <w:vAlign w:val="bottom"/>
          </w:tcPr>
          <w:p>
            <w:pPr>
              <w:spacing w:after="0"/>
              <w:rPr>
                <w:sz w:val="8"/>
                <w:szCs w:val="8"/>
                <w:color w:val="auto"/>
              </w:rPr>
            </w:pPr>
          </w:p>
        </w:tc>
        <w:tc>
          <w:tcPr>
            <w:tcW w:w="44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560" w:type="dxa"/>
            <w:vAlign w:val="bottom"/>
          </w:tcPr>
          <w:p>
            <w:pPr>
              <w:spacing w:after="0"/>
              <w:rPr>
                <w:sz w:val="8"/>
                <w:szCs w:val="8"/>
                <w:color w:val="auto"/>
              </w:rPr>
            </w:pPr>
          </w:p>
        </w:tc>
        <w:tc>
          <w:tcPr>
            <w:tcW w:w="120" w:type="dxa"/>
            <w:vAlign w:val="bottom"/>
          </w:tcPr>
          <w:p>
            <w:pPr>
              <w:spacing w:after="0"/>
              <w:rPr>
                <w:sz w:val="8"/>
                <w:szCs w:val="8"/>
                <w:color w:val="auto"/>
              </w:rPr>
            </w:pPr>
          </w:p>
        </w:tc>
        <w:tc>
          <w:tcPr>
            <w:tcW w:w="5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87"/>
        </w:trPr>
        <w:tc>
          <w:tcPr>
            <w:tcW w:w="20" w:type="dxa"/>
            <w:vAlign w:val="bottom"/>
            <w:vMerge w:val="continue"/>
          </w:tcPr>
          <w:p>
            <w:pPr>
              <w:spacing w:after="0"/>
              <w:rPr>
                <w:sz w:val="7"/>
                <w:szCs w:val="7"/>
                <w:color w:val="auto"/>
              </w:rPr>
            </w:pPr>
          </w:p>
        </w:tc>
        <w:tc>
          <w:tcPr>
            <w:tcW w:w="520" w:type="dxa"/>
            <w:vAlign w:val="bottom"/>
            <w:tcBorders>
              <w:right w:val="single" w:sz="8" w:color="CCEEFF"/>
            </w:tcBorders>
            <w:shd w:val="clear" w:color="auto" w:fill="CCEEFF"/>
          </w:tcPr>
          <w:p>
            <w:pPr>
              <w:spacing w:after="0" w:line="87" w:lineRule="exact"/>
              <w:rPr>
                <w:sz w:val="20"/>
                <w:szCs w:val="20"/>
                <w:color w:val="auto"/>
              </w:rPr>
            </w:pPr>
            <w:r>
              <w:rPr>
                <w:rFonts w:ascii="Arial" w:cs="Arial" w:eastAsia="Arial" w:hAnsi="Arial"/>
                <w:sz w:val="9"/>
                <w:szCs w:val="9"/>
                <w:color w:val="auto"/>
                <w:w w:val="96"/>
              </w:rPr>
              <w:t>Stock based</w:t>
            </w:r>
          </w:p>
        </w:tc>
        <w:tc>
          <w:tcPr>
            <w:tcW w:w="400" w:type="dxa"/>
            <w:vAlign w:val="bottom"/>
            <w:tcBorders>
              <w:right w:val="single" w:sz="8" w:color="CCEEFF"/>
            </w:tcBorders>
            <w:shd w:val="clear" w:color="auto" w:fill="CCEEFF"/>
          </w:tcPr>
          <w:p>
            <w:pPr>
              <w:spacing w:after="0"/>
              <w:rPr>
                <w:sz w:val="7"/>
                <w:szCs w:val="7"/>
                <w:color w:val="auto"/>
              </w:rPr>
            </w:pPr>
          </w:p>
        </w:tc>
        <w:tc>
          <w:tcPr>
            <w:tcW w:w="540" w:type="dxa"/>
            <w:vAlign w:val="bottom"/>
            <w:tcBorders>
              <w:right w:val="single" w:sz="8" w:color="CCEEFF"/>
            </w:tcBorders>
            <w:shd w:val="clear" w:color="auto" w:fill="CCEEFF"/>
          </w:tcPr>
          <w:p>
            <w:pPr>
              <w:spacing w:after="0"/>
              <w:rPr>
                <w:sz w:val="7"/>
                <w:szCs w:val="7"/>
                <w:color w:val="auto"/>
              </w:rPr>
            </w:pPr>
          </w:p>
        </w:tc>
        <w:tc>
          <w:tcPr>
            <w:tcW w:w="38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500" w:type="dxa"/>
            <w:vAlign w:val="bottom"/>
            <w:tcBorders>
              <w:right w:val="single" w:sz="8" w:color="CCEEFF"/>
            </w:tcBorders>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440" w:type="dxa"/>
            <w:vAlign w:val="bottom"/>
            <w:tcBorders>
              <w:right w:val="single" w:sz="8" w:color="CCEEFF"/>
            </w:tcBorders>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0" w:type="dxa"/>
            <w:vAlign w:val="bottom"/>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6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4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28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300" w:type="dxa"/>
            <w:vAlign w:val="bottom"/>
            <w:shd w:val="clear" w:color="auto" w:fill="CCEEFF"/>
          </w:tcPr>
          <w:p>
            <w:pPr>
              <w:spacing w:after="0"/>
              <w:rPr>
                <w:sz w:val="7"/>
                <w:szCs w:val="7"/>
                <w:color w:val="auto"/>
              </w:rPr>
            </w:pPr>
          </w:p>
        </w:tc>
        <w:tc>
          <w:tcPr>
            <w:tcW w:w="180" w:type="dxa"/>
            <w:vAlign w:val="bottom"/>
            <w:tcBorders>
              <w:left w:val="single" w:sz="8" w:color="CCEEFF"/>
              <w:right w:val="single" w:sz="8" w:color="CCEEFF"/>
            </w:tcBorders>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380" w:type="dxa"/>
            <w:vAlign w:val="bottom"/>
            <w:tcBorders>
              <w:right w:val="single" w:sz="8" w:color="CCEEFF"/>
            </w:tcBorders>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560" w:type="dxa"/>
            <w:vAlign w:val="bottom"/>
            <w:shd w:val="clear" w:color="auto" w:fill="CCEEFF"/>
          </w:tcPr>
          <w:p>
            <w:pPr>
              <w:spacing w:after="0"/>
              <w:rPr>
                <w:sz w:val="7"/>
                <w:szCs w:val="7"/>
                <w:color w:val="auto"/>
              </w:rPr>
            </w:pPr>
          </w:p>
        </w:tc>
        <w:tc>
          <w:tcPr>
            <w:tcW w:w="120" w:type="dxa"/>
            <w:vAlign w:val="bottom"/>
            <w:shd w:val="clear" w:color="auto" w:fill="CCEEFF"/>
          </w:tcPr>
          <w:p>
            <w:pPr>
              <w:spacing w:after="0"/>
              <w:rPr>
                <w:sz w:val="7"/>
                <w:szCs w:val="7"/>
                <w:color w:val="auto"/>
              </w:rPr>
            </w:pPr>
          </w:p>
        </w:tc>
        <w:tc>
          <w:tcPr>
            <w:tcW w:w="560" w:type="dxa"/>
            <w:vAlign w:val="bottom"/>
            <w:tcBorders>
              <w:right w:val="single" w:sz="8" w:color="CCEEFF"/>
            </w:tcBorders>
            <w:vMerge w:val="restart"/>
            <w:shd w:val="clear" w:color="auto" w:fill="CCEEFF"/>
          </w:tcPr>
          <w:p>
            <w:pPr>
              <w:jc w:val="right"/>
              <w:spacing w:after="0"/>
              <w:rPr>
                <w:sz w:val="20"/>
                <w:szCs w:val="20"/>
                <w:color w:val="auto"/>
              </w:rPr>
            </w:pPr>
            <w:r>
              <w:rPr>
                <w:rFonts w:ascii="Arial" w:cs="Arial" w:eastAsia="Arial" w:hAnsi="Arial"/>
                <w:sz w:val="9"/>
                <w:szCs w:val="9"/>
                <w:b w:val="1"/>
                <w:bCs w:val="1"/>
                <w:color w:val="auto"/>
              </w:rPr>
              <w:t>519,612</w:t>
            </w:r>
          </w:p>
        </w:tc>
        <w:tc>
          <w:tcPr>
            <w:tcW w:w="0" w:type="dxa"/>
            <w:vAlign w:val="bottom"/>
          </w:tcPr>
          <w:p>
            <w:pPr>
              <w:spacing w:after="0"/>
              <w:rPr>
                <w:sz w:val="1"/>
                <w:szCs w:val="1"/>
                <w:color w:val="auto"/>
              </w:rPr>
            </w:pPr>
          </w:p>
        </w:tc>
      </w:tr>
      <w:tr>
        <w:trPr>
          <w:trHeight w:val="109"/>
        </w:trPr>
        <w:tc>
          <w:tcPr>
            <w:tcW w:w="20" w:type="dxa"/>
            <w:vAlign w:val="bottom"/>
          </w:tcPr>
          <w:p>
            <w:pPr>
              <w:spacing w:after="0"/>
              <w:rPr>
                <w:sz w:val="9"/>
                <w:szCs w:val="9"/>
                <w:color w:val="auto"/>
              </w:rPr>
            </w:pPr>
          </w:p>
        </w:tc>
        <w:tc>
          <w:tcPr>
            <w:tcW w:w="52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9"/>
                <w:szCs w:val="9"/>
                <w:color w:val="auto"/>
                <w:w w:val="85"/>
              </w:rPr>
              <w:t>compensation</w:t>
            </w:r>
          </w:p>
        </w:tc>
        <w:tc>
          <w:tcPr>
            <w:tcW w:w="400" w:type="dxa"/>
            <w:vAlign w:val="bottom"/>
            <w:tcBorders>
              <w:right w:val="single" w:sz="8" w:color="CCEEFF"/>
            </w:tcBorders>
            <w:shd w:val="clear" w:color="auto" w:fill="CCEEFF"/>
          </w:tcPr>
          <w:p>
            <w:pPr>
              <w:spacing w:after="0"/>
              <w:rPr>
                <w:sz w:val="9"/>
                <w:szCs w:val="9"/>
                <w:color w:val="auto"/>
              </w:rPr>
            </w:pPr>
          </w:p>
        </w:tc>
        <w:tc>
          <w:tcPr>
            <w:tcW w:w="540" w:type="dxa"/>
            <w:vAlign w:val="bottom"/>
            <w:tcBorders>
              <w:right w:val="single" w:sz="8" w:color="CCEEFF"/>
            </w:tcBorders>
            <w:shd w:val="clear" w:color="auto" w:fill="CCEEFF"/>
          </w:tcPr>
          <w:p>
            <w:pPr>
              <w:spacing w:after="0"/>
              <w:rPr>
                <w:sz w:val="9"/>
                <w:szCs w:val="9"/>
                <w:color w:val="auto"/>
              </w:rPr>
            </w:pPr>
          </w:p>
        </w:tc>
        <w:tc>
          <w:tcPr>
            <w:tcW w:w="38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500" w:type="dxa"/>
            <w:vAlign w:val="bottom"/>
            <w:tcBorders>
              <w:right w:val="single" w:sz="8" w:color="CCEEFF"/>
            </w:tcBorders>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120" w:type="dxa"/>
            <w:vAlign w:val="bottom"/>
            <w:tcBorders>
              <w:right w:val="single" w:sz="8" w:color="CCEEFF"/>
            </w:tcBorders>
            <w:shd w:val="clear" w:color="auto" w:fill="CCEEFF"/>
          </w:tcPr>
          <w:p>
            <w:pPr>
              <w:spacing w:after="0"/>
              <w:rPr>
                <w:sz w:val="9"/>
                <w:szCs w:val="9"/>
                <w:color w:val="auto"/>
              </w:rPr>
            </w:pPr>
          </w:p>
        </w:tc>
        <w:tc>
          <w:tcPr>
            <w:tcW w:w="440" w:type="dxa"/>
            <w:vAlign w:val="bottom"/>
            <w:tcBorders>
              <w:right w:val="single" w:sz="8" w:color="CCEEFF"/>
            </w:tcBorders>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12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40" w:type="dxa"/>
            <w:vAlign w:val="bottom"/>
            <w:shd w:val="clear" w:color="auto" w:fill="CCEEFF"/>
          </w:tcPr>
          <w:p>
            <w:pPr>
              <w:spacing w:after="0"/>
              <w:rPr>
                <w:sz w:val="9"/>
                <w:szCs w:val="9"/>
                <w:color w:val="auto"/>
              </w:rPr>
            </w:pPr>
          </w:p>
        </w:tc>
        <w:tc>
          <w:tcPr>
            <w:tcW w:w="420" w:type="dxa"/>
            <w:vAlign w:val="bottom"/>
            <w:shd w:val="clear" w:color="auto" w:fill="CCEEFF"/>
          </w:tcPr>
          <w:p>
            <w:pPr>
              <w:spacing w:after="0"/>
              <w:rPr>
                <w:sz w:val="9"/>
                <w:szCs w:val="9"/>
                <w:color w:val="auto"/>
              </w:rPr>
            </w:pPr>
          </w:p>
        </w:tc>
        <w:tc>
          <w:tcPr>
            <w:tcW w:w="16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4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28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300" w:type="dxa"/>
            <w:vAlign w:val="bottom"/>
            <w:shd w:val="clear" w:color="auto" w:fill="CCEEFF"/>
          </w:tcPr>
          <w:p>
            <w:pPr>
              <w:spacing w:after="0"/>
              <w:rPr>
                <w:sz w:val="9"/>
                <w:szCs w:val="9"/>
                <w:color w:val="auto"/>
              </w:rPr>
            </w:pPr>
          </w:p>
        </w:tc>
        <w:tc>
          <w:tcPr>
            <w:tcW w:w="180" w:type="dxa"/>
            <w:vAlign w:val="bottom"/>
            <w:tcBorders>
              <w:left w:val="single" w:sz="8" w:color="CCEEFF"/>
              <w:right w:val="single" w:sz="8" w:color="CCEEFF"/>
            </w:tcBorders>
            <w:shd w:val="clear" w:color="auto" w:fill="CCEEFF"/>
          </w:tcPr>
          <w:p>
            <w:pPr>
              <w:spacing w:after="0"/>
              <w:rPr>
                <w:sz w:val="9"/>
                <w:szCs w:val="9"/>
                <w:color w:val="auto"/>
              </w:rPr>
            </w:pPr>
          </w:p>
        </w:tc>
        <w:tc>
          <w:tcPr>
            <w:tcW w:w="42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380" w:type="dxa"/>
            <w:vAlign w:val="bottom"/>
            <w:tcBorders>
              <w:right w:val="single" w:sz="8" w:color="CCEEFF"/>
            </w:tcBorders>
            <w:shd w:val="clear" w:color="auto" w:fill="CCEEFF"/>
          </w:tcPr>
          <w:p>
            <w:pPr>
              <w:spacing w:after="0"/>
              <w:rPr>
                <w:sz w:val="9"/>
                <w:szCs w:val="9"/>
                <w:color w:val="auto"/>
              </w:rPr>
            </w:pPr>
          </w:p>
        </w:tc>
        <w:tc>
          <w:tcPr>
            <w:tcW w:w="52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color w:val="auto"/>
              </w:rPr>
              <w:t>519,612</w:t>
            </w:r>
          </w:p>
        </w:tc>
        <w:tc>
          <w:tcPr>
            <w:tcW w:w="60" w:type="dxa"/>
            <w:vAlign w:val="bottom"/>
            <w:shd w:val="clear" w:color="auto" w:fill="CCEEFF"/>
          </w:tcPr>
          <w:p>
            <w:pPr>
              <w:spacing w:after="0"/>
              <w:rPr>
                <w:sz w:val="9"/>
                <w:szCs w:val="9"/>
                <w:color w:val="auto"/>
              </w:rPr>
            </w:pPr>
          </w:p>
        </w:tc>
        <w:tc>
          <w:tcPr>
            <w:tcW w:w="560" w:type="dxa"/>
            <w:vAlign w:val="bottom"/>
            <w:shd w:val="clear" w:color="auto" w:fill="CCEEFF"/>
          </w:tcPr>
          <w:p>
            <w:pPr>
              <w:spacing w:after="0"/>
              <w:rPr>
                <w:sz w:val="9"/>
                <w:szCs w:val="9"/>
                <w:color w:val="auto"/>
              </w:rPr>
            </w:pPr>
          </w:p>
        </w:tc>
        <w:tc>
          <w:tcPr>
            <w:tcW w:w="120" w:type="dxa"/>
            <w:vAlign w:val="bottom"/>
            <w:shd w:val="clear" w:color="auto" w:fill="CCEEFF"/>
          </w:tcPr>
          <w:p>
            <w:pPr>
              <w:spacing w:after="0"/>
              <w:rPr>
                <w:sz w:val="9"/>
                <w:szCs w:val="9"/>
                <w:color w:val="auto"/>
              </w:rPr>
            </w:pPr>
          </w:p>
        </w:tc>
        <w:tc>
          <w:tcPr>
            <w:tcW w:w="560" w:type="dxa"/>
            <w:vAlign w:val="bottom"/>
            <w:tcBorders>
              <w:right w:val="single" w:sz="8" w:color="CCEEFF"/>
            </w:tcBorders>
            <w:vMerge w:val="continue"/>
            <w:shd w:val="clear" w:color="auto" w:fill="CCEEFF"/>
          </w:tcPr>
          <w:p>
            <w:pPr>
              <w:spacing w:after="0"/>
              <w:rPr>
                <w:sz w:val="9"/>
                <w:szCs w:val="9"/>
                <w:color w:val="auto"/>
              </w:rPr>
            </w:pPr>
          </w:p>
        </w:tc>
        <w:tc>
          <w:tcPr>
            <w:tcW w:w="0" w:type="dxa"/>
            <w:vAlign w:val="bottom"/>
          </w:tcPr>
          <w:p>
            <w:pPr>
              <w:spacing w:after="0"/>
              <w:rPr>
                <w:sz w:val="1"/>
                <w:szCs w:val="1"/>
                <w:color w:val="auto"/>
              </w:rPr>
            </w:pPr>
          </w:p>
        </w:tc>
      </w:tr>
      <w:tr>
        <w:trPr>
          <w:trHeight w:val="98"/>
        </w:trPr>
        <w:tc>
          <w:tcPr>
            <w:tcW w:w="20" w:type="dxa"/>
            <w:vAlign w:val="bottom"/>
            <w:vMerge w:val="restart"/>
          </w:tcPr>
          <w:p>
            <w:pPr>
              <w:spacing w:after="0"/>
              <w:rPr>
                <w:sz w:val="8"/>
                <w:szCs w:val="8"/>
                <w:color w:val="auto"/>
              </w:rPr>
            </w:pPr>
          </w:p>
        </w:tc>
        <w:tc>
          <w:tcPr>
            <w:tcW w:w="520" w:type="dxa"/>
            <w:vAlign w:val="bottom"/>
          </w:tcPr>
          <w:p>
            <w:pPr>
              <w:spacing w:after="0"/>
              <w:rPr>
                <w:sz w:val="8"/>
                <w:szCs w:val="8"/>
                <w:color w:val="auto"/>
              </w:rPr>
            </w:pPr>
          </w:p>
        </w:tc>
        <w:tc>
          <w:tcPr>
            <w:tcW w:w="400" w:type="dxa"/>
            <w:vAlign w:val="bottom"/>
          </w:tcPr>
          <w:p>
            <w:pPr>
              <w:spacing w:after="0"/>
              <w:rPr>
                <w:sz w:val="8"/>
                <w:szCs w:val="8"/>
                <w:color w:val="auto"/>
              </w:rPr>
            </w:pPr>
          </w:p>
        </w:tc>
        <w:tc>
          <w:tcPr>
            <w:tcW w:w="540" w:type="dxa"/>
            <w:vAlign w:val="bottom"/>
          </w:tcPr>
          <w:p>
            <w:pPr>
              <w:spacing w:after="0"/>
              <w:rPr>
                <w:sz w:val="8"/>
                <w:szCs w:val="8"/>
                <w:color w:val="auto"/>
              </w:rPr>
            </w:pPr>
          </w:p>
        </w:tc>
        <w:tc>
          <w:tcPr>
            <w:tcW w:w="380" w:type="dxa"/>
            <w:vAlign w:val="bottom"/>
          </w:tcPr>
          <w:p>
            <w:pPr>
              <w:spacing w:after="0"/>
              <w:rPr>
                <w:sz w:val="8"/>
                <w:szCs w:val="8"/>
                <w:color w:val="auto"/>
              </w:rPr>
            </w:pPr>
          </w:p>
        </w:tc>
        <w:tc>
          <w:tcPr>
            <w:tcW w:w="80" w:type="dxa"/>
            <w:vAlign w:val="bottom"/>
          </w:tcPr>
          <w:p>
            <w:pPr>
              <w:spacing w:after="0"/>
              <w:rPr>
                <w:sz w:val="8"/>
                <w:szCs w:val="8"/>
                <w:color w:val="auto"/>
              </w:rPr>
            </w:pPr>
          </w:p>
        </w:tc>
        <w:tc>
          <w:tcPr>
            <w:tcW w:w="500" w:type="dxa"/>
            <w:vAlign w:val="bottom"/>
          </w:tcPr>
          <w:p>
            <w:pPr>
              <w:spacing w:after="0"/>
              <w:rPr>
                <w:sz w:val="8"/>
                <w:szCs w:val="8"/>
                <w:color w:val="auto"/>
              </w:rPr>
            </w:pPr>
          </w:p>
        </w:tc>
        <w:tc>
          <w:tcPr>
            <w:tcW w:w="40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44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0" w:type="dxa"/>
            <w:vAlign w:val="bottom"/>
          </w:tcPr>
          <w:p>
            <w:pPr>
              <w:spacing w:after="0"/>
              <w:rPr>
                <w:sz w:val="8"/>
                <w:szCs w:val="8"/>
                <w:color w:val="auto"/>
              </w:rPr>
            </w:pPr>
          </w:p>
        </w:tc>
        <w:tc>
          <w:tcPr>
            <w:tcW w:w="420" w:type="dxa"/>
            <w:vAlign w:val="bottom"/>
          </w:tcPr>
          <w:p>
            <w:pPr>
              <w:spacing w:after="0"/>
              <w:rPr>
                <w:sz w:val="8"/>
                <w:szCs w:val="8"/>
                <w:color w:val="auto"/>
              </w:rPr>
            </w:pPr>
          </w:p>
        </w:tc>
        <w:tc>
          <w:tcPr>
            <w:tcW w:w="16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40" w:type="dxa"/>
            <w:vAlign w:val="bottom"/>
          </w:tcPr>
          <w:p>
            <w:pPr>
              <w:spacing w:after="0"/>
              <w:rPr>
                <w:sz w:val="8"/>
                <w:szCs w:val="8"/>
                <w:color w:val="auto"/>
              </w:rPr>
            </w:pPr>
          </w:p>
        </w:tc>
        <w:tc>
          <w:tcPr>
            <w:tcW w:w="14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40" w:type="dxa"/>
            <w:vAlign w:val="bottom"/>
          </w:tcPr>
          <w:p>
            <w:pPr>
              <w:spacing w:after="0"/>
              <w:rPr>
                <w:sz w:val="8"/>
                <w:szCs w:val="8"/>
                <w:color w:val="auto"/>
              </w:rPr>
            </w:pPr>
          </w:p>
        </w:tc>
        <w:tc>
          <w:tcPr>
            <w:tcW w:w="100" w:type="dxa"/>
            <w:vAlign w:val="bottom"/>
          </w:tcPr>
          <w:p>
            <w:pPr>
              <w:spacing w:after="0"/>
              <w:rPr>
                <w:sz w:val="8"/>
                <w:szCs w:val="8"/>
                <w:color w:val="auto"/>
              </w:rPr>
            </w:pPr>
          </w:p>
        </w:tc>
        <w:tc>
          <w:tcPr>
            <w:tcW w:w="280" w:type="dxa"/>
            <w:vAlign w:val="bottom"/>
          </w:tcPr>
          <w:p>
            <w:pPr>
              <w:spacing w:after="0"/>
              <w:rPr>
                <w:sz w:val="8"/>
                <w:szCs w:val="8"/>
                <w:color w:val="auto"/>
              </w:rPr>
            </w:pPr>
          </w:p>
        </w:tc>
        <w:tc>
          <w:tcPr>
            <w:tcW w:w="100" w:type="dxa"/>
            <w:vAlign w:val="bottom"/>
          </w:tcPr>
          <w:p>
            <w:pPr>
              <w:spacing w:after="0"/>
              <w:rPr>
                <w:sz w:val="8"/>
                <w:szCs w:val="8"/>
                <w:color w:val="auto"/>
              </w:rPr>
            </w:pPr>
          </w:p>
        </w:tc>
        <w:tc>
          <w:tcPr>
            <w:tcW w:w="300" w:type="dxa"/>
            <w:vAlign w:val="bottom"/>
          </w:tcPr>
          <w:p>
            <w:pPr>
              <w:spacing w:after="0"/>
              <w:rPr>
                <w:sz w:val="8"/>
                <w:szCs w:val="8"/>
                <w:color w:val="auto"/>
              </w:rPr>
            </w:pPr>
          </w:p>
        </w:tc>
        <w:tc>
          <w:tcPr>
            <w:tcW w:w="180" w:type="dxa"/>
            <w:vAlign w:val="bottom"/>
          </w:tcPr>
          <w:p>
            <w:pPr>
              <w:spacing w:after="0"/>
              <w:rPr>
                <w:sz w:val="8"/>
                <w:szCs w:val="8"/>
                <w:color w:val="auto"/>
              </w:rPr>
            </w:pPr>
          </w:p>
        </w:tc>
        <w:tc>
          <w:tcPr>
            <w:tcW w:w="420" w:type="dxa"/>
            <w:vAlign w:val="bottom"/>
          </w:tcPr>
          <w:p>
            <w:pPr>
              <w:spacing w:after="0"/>
              <w:rPr>
                <w:sz w:val="8"/>
                <w:szCs w:val="8"/>
                <w:color w:val="auto"/>
              </w:rPr>
            </w:pPr>
          </w:p>
        </w:tc>
        <w:tc>
          <w:tcPr>
            <w:tcW w:w="1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0" w:type="dxa"/>
            <w:vAlign w:val="bottom"/>
          </w:tcPr>
          <w:p>
            <w:pPr>
              <w:spacing w:after="0"/>
              <w:rPr>
                <w:sz w:val="8"/>
                <w:szCs w:val="8"/>
                <w:color w:val="auto"/>
              </w:rPr>
            </w:pPr>
          </w:p>
        </w:tc>
        <w:tc>
          <w:tcPr>
            <w:tcW w:w="44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560" w:type="dxa"/>
            <w:vAlign w:val="bottom"/>
          </w:tcPr>
          <w:p>
            <w:pPr>
              <w:spacing w:after="0"/>
              <w:rPr>
                <w:sz w:val="8"/>
                <w:szCs w:val="8"/>
                <w:color w:val="auto"/>
              </w:rPr>
            </w:pPr>
          </w:p>
        </w:tc>
        <w:tc>
          <w:tcPr>
            <w:tcW w:w="120" w:type="dxa"/>
            <w:vAlign w:val="bottom"/>
          </w:tcPr>
          <w:p>
            <w:pPr>
              <w:spacing w:after="0"/>
              <w:rPr>
                <w:sz w:val="8"/>
                <w:szCs w:val="8"/>
                <w:color w:val="auto"/>
              </w:rPr>
            </w:pPr>
          </w:p>
        </w:tc>
        <w:tc>
          <w:tcPr>
            <w:tcW w:w="5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87"/>
        </w:trPr>
        <w:tc>
          <w:tcPr>
            <w:tcW w:w="20" w:type="dxa"/>
            <w:vAlign w:val="bottom"/>
            <w:vMerge w:val="continue"/>
          </w:tcPr>
          <w:p>
            <w:pPr>
              <w:spacing w:after="0"/>
              <w:rPr>
                <w:sz w:val="7"/>
                <w:szCs w:val="7"/>
                <w:color w:val="auto"/>
              </w:rPr>
            </w:pPr>
          </w:p>
        </w:tc>
        <w:tc>
          <w:tcPr>
            <w:tcW w:w="520" w:type="dxa"/>
            <w:vAlign w:val="bottom"/>
            <w:tcBorders>
              <w:right w:val="single" w:sz="8" w:color="CCEEFF"/>
            </w:tcBorders>
            <w:shd w:val="clear" w:color="auto" w:fill="CCEEFF"/>
          </w:tcPr>
          <w:p>
            <w:pPr>
              <w:spacing w:after="0" w:line="87" w:lineRule="exact"/>
              <w:rPr>
                <w:sz w:val="20"/>
                <w:szCs w:val="20"/>
                <w:color w:val="auto"/>
              </w:rPr>
            </w:pPr>
            <w:r>
              <w:rPr>
                <w:rFonts w:ascii="Arial" w:cs="Arial" w:eastAsia="Arial" w:hAnsi="Arial"/>
                <w:sz w:val="9"/>
                <w:szCs w:val="9"/>
                <w:color w:val="auto"/>
              </w:rPr>
              <w:t>Issuance of</w:t>
            </w:r>
          </w:p>
        </w:tc>
        <w:tc>
          <w:tcPr>
            <w:tcW w:w="400" w:type="dxa"/>
            <w:vAlign w:val="bottom"/>
            <w:tcBorders>
              <w:right w:val="single" w:sz="8" w:color="CCEEFF"/>
            </w:tcBorders>
            <w:shd w:val="clear" w:color="auto" w:fill="CCEEFF"/>
          </w:tcPr>
          <w:p>
            <w:pPr>
              <w:spacing w:after="0"/>
              <w:rPr>
                <w:sz w:val="7"/>
                <w:szCs w:val="7"/>
                <w:color w:val="auto"/>
              </w:rPr>
            </w:pPr>
          </w:p>
        </w:tc>
        <w:tc>
          <w:tcPr>
            <w:tcW w:w="540" w:type="dxa"/>
            <w:vAlign w:val="bottom"/>
            <w:tcBorders>
              <w:right w:val="single" w:sz="8" w:color="CCEEFF"/>
            </w:tcBorders>
            <w:shd w:val="clear" w:color="auto" w:fill="CCEEFF"/>
          </w:tcPr>
          <w:p>
            <w:pPr>
              <w:spacing w:after="0"/>
              <w:rPr>
                <w:sz w:val="7"/>
                <w:szCs w:val="7"/>
                <w:color w:val="auto"/>
              </w:rPr>
            </w:pPr>
          </w:p>
        </w:tc>
        <w:tc>
          <w:tcPr>
            <w:tcW w:w="38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500" w:type="dxa"/>
            <w:vAlign w:val="bottom"/>
            <w:tcBorders>
              <w:right w:val="single" w:sz="8" w:color="CCEEFF"/>
            </w:tcBorders>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440" w:type="dxa"/>
            <w:vAlign w:val="bottom"/>
            <w:tcBorders>
              <w:right w:val="single" w:sz="8" w:color="CCEEFF"/>
            </w:tcBorders>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0" w:type="dxa"/>
            <w:vAlign w:val="bottom"/>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6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4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28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300" w:type="dxa"/>
            <w:vAlign w:val="bottom"/>
            <w:shd w:val="clear" w:color="auto" w:fill="CCEEFF"/>
          </w:tcPr>
          <w:p>
            <w:pPr>
              <w:spacing w:after="0"/>
              <w:rPr>
                <w:sz w:val="7"/>
                <w:szCs w:val="7"/>
                <w:color w:val="auto"/>
              </w:rPr>
            </w:pPr>
          </w:p>
        </w:tc>
        <w:tc>
          <w:tcPr>
            <w:tcW w:w="180" w:type="dxa"/>
            <w:vAlign w:val="bottom"/>
            <w:tcBorders>
              <w:left w:val="single" w:sz="8" w:color="CCEEFF"/>
              <w:right w:val="single" w:sz="8" w:color="CCEEFF"/>
            </w:tcBorders>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380" w:type="dxa"/>
            <w:vAlign w:val="bottom"/>
            <w:tcBorders>
              <w:right w:val="single" w:sz="8" w:color="CCEEFF"/>
            </w:tcBorders>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560" w:type="dxa"/>
            <w:vAlign w:val="bottom"/>
            <w:shd w:val="clear" w:color="auto" w:fill="CCEEFF"/>
          </w:tcPr>
          <w:p>
            <w:pPr>
              <w:spacing w:after="0"/>
              <w:rPr>
                <w:sz w:val="7"/>
                <w:szCs w:val="7"/>
                <w:color w:val="auto"/>
              </w:rPr>
            </w:pPr>
          </w:p>
        </w:tc>
        <w:tc>
          <w:tcPr>
            <w:tcW w:w="120" w:type="dxa"/>
            <w:vAlign w:val="bottom"/>
            <w:shd w:val="clear" w:color="auto" w:fill="CCEEFF"/>
          </w:tcPr>
          <w:p>
            <w:pPr>
              <w:spacing w:after="0"/>
              <w:rPr>
                <w:sz w:val="7"/>
                <w:szCs w:val="7"/>
                <w:color w:val="auto"/>
              </w:rPr>
            </w:pPr>
          </w:p>
        </w:tc>
        <w:tc>
          <w:tcPr>
            <w:tcW w:w="560" w:type="dxa"/>
            <w:vAlign w:val="bottom"/>
            <w:tcBorders>
              <w:right w:val="single" w:sz="8" w:color="CCEEFF"/>
            </w:tcBorders>
            <w:shd w:val="clear" w:color="auto" w:fill="CCEEFF"/>
          </w:tcPr>
          <w:p>
            <w:pPr>
              <w:spacing w:after="0"/>
              <w:rPr>
                <w:sz w:val="7"/>
                <w:szCs w:val="7"/>
                <w:color w:val="auto"/>
              </w:rPr>
            </w:pPr>
          </w:p>
        </w:tc>
        <w:tc>
          <w:tcPr>
            <w:tcW w:w="0" w:type="dxa"/>
            <w:vAlign w:val="bottom"/>
          </w:tcPr>
          <w:p>
            <w:pPr>
              <w:spacing w:after="0"/>
              <w:rPr>
                <w:sz w:val="1"/>
                <w:szCs w:val="1"/>
                <w:color w:val="auto"/>
              </w:rPr>
            </w:pPr>
          </w:p>
        </w:tc>
      </w:tr>
      <w:tr>
        <w:trPr>
          <w:trHeight w:val="98"/>
        </w:trPr>
        <w:tc>
          <w:tcPr>
            <w:tcW w:w="20" w:type="dxa"/>
            <w:vAlign w:val="bottom"/>
          </w:tcPr>
          <w:p>
            <w:pPr>
              <w:spacing w:after="0"/>
              <w:rPr>
                <w:sz w:val="8"/>
                <w:szCs w:val="8"/>
                <w:color w:val="auto"/>
              </w:rPr>
            </w:pPr>
          </w:p>
        </w:tc>
        <w:tc>
          <w:tcPr>
            <w:tcW w:w="520" w:type="dxa"/>
            <w:vAlign w:val="bottom"/>
            <w:tcBorders>
              <w:right w:val="single" w:sz="8" w:color="CCEEFF"/>
            </w:tcBorders>
            <w:shd w:val="clear" w:color="auto" w:fill="CCEEFF"/>
          </w:tcPr>
          <w:p>
            <w:pPr>
              <w:spacing w:after="0" w:line="98" w:lineRule="exact"/>
              <w:rPr>
                <w:sz w:val="20"/>
                <w:szCs w:val="20"/>
                <w:color w:val="auto"/>
              </w:rPr>
            </w:pPr>
            <w:r>
              <w:rPr>
                <w:rFonts w:ascii="Arial" w:cs="Arial" w:eastAsia="Arial" w:hAnsi="Arial"/>
                <w:sz w:val="9"/>
                <w:szCs w:val="9"/>
                <w:color w:val="auto"/>
              </w:rPr>
              <w:t>Series s</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560" w:type="dxa"/>
            <w:vAlign w:val="bottom"/>
            <w:shd w:val="clear" w:color="auto" w:fill="CCEEFF"/>
          </w:tcPr>
          <w:p>
            <w:pPr>
              <w:spacing w:after="0"/>
              <w:rPr>
                <w:sz w:val="8"/>
                <w:szCs w:val="8"/>
                <w:color w:val="auto"/>
              </w:rPr>
            </w:pPr>
          </w:p>
        </w:tc>
        <w:tc>
          <w:tcPr>
            <w:tcW w:w="120" w:type="dxa"/>
            <w:vAlign w:val="bottom"/>
            <w:shd w:val="clear" w:color="auto" w:fill="CCEEFF"/>
          </w:tcPr>
          <w:p>
            <w:pPr>
              <w:spacing w:after="0"/>
              <w:rPr>
                <w:sz w:val="8"/>
                <w:szCs w:val="8"/>
                <w:color w:val="auto"/>
              </w:rPr>
            </w:pPr>
          </w:p>
        </w:tc>
        <w:tc>
          <w:tcPr>
            <w:tcW w:w="560" w:type="dxa"/>
            <w:vAlign w:val="bottom"/>
            <w:tcBorders>
              <w:right w:val="single" w:sz="8" w:color="CCEEFF"/>
            </w:tcBorders>
            <w:shd w:val="clear" w:color="auto" w:fill="CCEEFF"/>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0" w:type="dxa"/>
            <w:vAlign w:val="bottom"/>
          </w:tcPr>
          <w:p>
            <w:pPr>
              <w:spacing w:after="0"/>
              <w:rPr>
                <w:sz w:val="8"/>
                <w:szCs w:val="8"/>
                <w:color w:val="auto"/>
              </w:rPr>
            </w:pPr>
          </w:p>
        </w:tc>
        <w:tc>
          <w:tcPr>
            <w:tcW w:w="520" w:type="dxa"/>
            <w:vAlign w:val="bottom"/>
            <w:tcBorders>
              <w:right w:val="single" w:sz="8" w:color="CCEEFF"/>
            </w:tcBorders>
            <w:shd w:val="clear" w:color="auto" w:fill="CCEEFF"/>
          </w:tcPr>
          <w:p>
            <w:pPr>
              <w:spacing w:after="0" w:line="98" w:lineRule="exact"/>
              <w:rPr>
                <w:sz w:val="20"/>
                <w:szCs w:val="20"/>
                <w:color w:val="auto"/>
              </w:rPr>
            </w:pPr>
            <w:r>
              <w:rPr>
                <w:rFonts w:ascii="Arial" w:cs="Arial" w:eastAsia="Arial" w:hAnsi="Arial"/>
                <w:sz w:val="9"/>
                <w:szCs w:val="9"/>
                <w:color w:val="auto"/>
              </w:rPr>
              <w:t>Preferred</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560" w:type="dxa"/>
            <w:vAlign w:val="bottom"/>
            <w:shd w:val="clear" w:color="auto" w:fill="CCEEFF"/>
          </w:tcPr>
          <w:p>
            <w:pPr>
              <w:spacing w:after="0"/>
              <w:rPr>
                <w:sz w:val="8"/>
                <w:szCs w:val="8"/>
                <w:color w:val="auto"/>
              </w:rPr>
            </w:pPr>
          </w:p>
        </w:tc>
        <w:tc>
          <w:tcPr>
            <w:tcW w:w="120" w:type="dxa"/>
            <w:vAlign w:val="bottom"/>
            <w:shd w:val="clear" w:color="auto" w:fill="CCEEFF"/>
          </w:tcPr>
          <w:p>
            <w:pPr>
              <w:spacing w:after="0"/>
              <w:rPr>
                <w:sz w:val="8"/>
                <w:szCs w:val="8"/>
                <w:color w:val="auto"/>
              </w:rPr>
            </w:pPr>
          </w:p>
        </w:tc>
        <w:tc>
          <w:tcPr>
            <w:tcW w:w="560" w:type="dxa"/>
            <w:vAlign w:val="bottom"/>
            <w:tcBorders>
              <w:right w:val="single" w:sz="8" w:color="CCEEFF"/>
            </w:tcBorders>
            <w:shd w:val="clear" w:color="auto" w:fill="CCEEFF"/>
          </w:tcPr>
          <w:p>
            <w:pPr>
              <w:spacing w:after="0"/>
              <w:rPr>
                <w:sz w:val="8"/>
                <w:szCs w:val="8"/>
                <w:color w:val="auto"/>
              </w:rPr>
            </w:pPr>
          </w:p>
        </w:tc>
        <w:tc>
          <w:tcPr>
            <w:tcW w:w="0" w:type="dxa"/>
            <w:vAlign w:val="bottom"/>
          </w:tcPr>
          <w:p>
            <w:pPr>
              <w:spacing w:after="0"/>
              <w:rPr>
                <w:sz w:val="1"/>
                <w:szCs w:val="1"/>
                <w:color w:val="auto"/>
              </w:rPr>
            </w:pPr>
          </w:p>
        </w:tc>
      </w:tr>
      <w:tr>
        <w:trPr>
          <w:trHeight w:val="109"/>
        </w:trPr>
        <w:tc>
          <w:tcPr>
            <w:tcW w:w="20" w:type="dxa"/>
            <w:vAlign w:val="bottom"/>
          </w:tcPr>
          <w:p>
            <w:pPr>
              <w:spacing w:after="0"/>
              <w:rPr>
                <w:sz w:val="9"/>
                <w:szCs w:val="9"/>
                <w:color w:val="auto"/>
              </w:rPr>
            </w:pPr>
          </w:p>
        </w:tc>
        <w:tc>
          <w:tcPr>
            <w:tcW w:w="52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9"/>
                <w:szCs w:val="9"/>
                <w:color w:val="auto"/>
              </w:rPr>
              <w:t>stock</w:t>
            </w:r>
          </w:p>
        </w:tc>
        <w:tc>
          <w:tcPr>
            <w:tcW w:w="400" w:type="dxa"/>
            <w:vAlign w:val="bottom"/>
            <w:tcBorders>
              <w:right w:val="single" w:sz="8" w:color="CCEEFF"/>
            </w:tcBorders>
            <w:shd w:val="clear" w:color="auto" w:fill="CCEEFF"/>
          </w:tcPr>
          <w:p>
            <w:pPr>
              <w:spacing w:after="0"/>
              <w:rPr>
                <w:sz w:val="9"/>
                <w:szCs w:val="9"/>
                <w:color w:val="auto"/>
              </w:rPr>
            </w:pPr>
          </w:p>
        </w:tc>
        <w:tc>
          <w:tcPr>
            <w:tcW w:w="540" w:type="dxa"/>
            <w:vAlign w:val="bottom"/>
            <w:tcBorders>
              <w:right w:val="single" w:sz="8" w:color="CCEEFF"/>
            </w:tcBorders>
            <w:shd w:val="clear" w:color="auto" w:fill="CCEEFF"/>
          </w:tcPr>
          <w:p>
            <w:pPr>
              <w:spacing w:after="0"/>
              <w:rPr>
                <w:sz w:val="9"/>
                <w:szCs w:val="9"/>
                <w:color w:val="auto"/>
              </w:rPr>
            </w:pPr>
          </w:p>
        </w:tc>
        <w:tc>
          <w:tcPr>
            <w:tcW w:w="38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500" w:type="dxa"/>
            <w:vAlign w:val="bottom"/>
            <w:tcBorders>
              <w:right w:val="single" w:sz="8" w:color="CCEEFF"/>
            </w:tcBorders>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120" w:type="dxa"/>
            <w:vAlign w:val="bottom"/>
            <w:tcBorders>
              <w:right w:val="single" w:sz="8" w:color="CCEEFF"/>
            </w:tcBorders>
            <w:shd w:val="clear" w:color="auto" w:fill="CCEEFF"/>
          </w:tcPr>
          <w:p>
            <w:pPr>
              <w:spacing w:after="0"/>
              <w:rPr>
                <w:sz w:val="9"/>
                <w:szCs w:val="9"/>
                <w:color w:val="auto"/>
              </w:rPr>
            </w:pPr>
          </w:p>
        </w:tc>
        <w:tc>
          <w:tcPr>
            <w:tcW w:w="440" w:type="dxa"/>
            <w:vAlign w:val="bottom"/>
            <w:tcBorders>
              <w:right w:val="single" w:sz="8" w:color="CCEEFF"/>
            </w:tcBorders>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120" w:type="dxa"/>
            <w:vAlign w:val="bottom"/>
            <w:tcBorders>
              <w:right w:val="single" w:sz="8" w:color="CCEEFF"/>
            </w:tcBorders>
            <w:shd w:val="clear" w:color="auto" w:fill="CCEEFF"/>
          </w:tcPr>
          <w:p>
            <w:pPr>
              <w:spacing w:after="0"/>
              <w:rPr>
                <w:sz w:val="9"/>
                <w:szCs w:val="9"/>
                <w:color w:val="auto"/>
              </w:rPr>
            </w:pPr>
          </w:p>
        </w:tc>
        <w:tc>
          <w:tcPr>
            <w:tcW w:w="460" w:type="dxa"/>
            <w:vAlign w:val="bottom"/>
            <w:gridSpan w:val="2"/>
            <w:shd w:val="clear" w:color="auto" w:fill="CCEEFF"/>
          </w:tcPr>
          <w:p>
            <w:pPr>
              <w:jc w:val="right"/>
              <w:ind w:right="100"/>
              <w:spacing w:after="0"/>
              <w:rPr>
                <w:sz w:val="20"/>
                <w:szCs w:val="20"/>
                <w:color w:val="auto"/>
              </w:rPr>
            </w:pPr>
            <w:r>
              <w:rPr>
                <w:rFonts w:ascii="Arial" w:cs="Arial" w:eastAsia="Arial" w:hAnsi="Arial"/>
                <w:sz w:val="9"/>
                <w:szCs w:val="9"/>
                <w:color w:val="auto"/>
                <w:w w:val="84"/>
              </w:rPr>
              <w:t>2,949,378</w:t>
            </w:r>
          </w:p>
        </w:tc>
        <w:tc>
          <w:tcPr>
            <w:tcW w:w="40" w:type="dxa"/>
            <w:vAlign w:val="bottom"/>
            <w:shd w:val="clear" w:color="auto" w:fill="CCEEFF"/>
          </w:tcPr>
          <w:p>
            <w:pPr>
              <w:spacing w:after="0"/>
              <w:rPr>
                <w:sz w:val="9"/>
                <w:szCs w:val="9"/>
                <w:color w:val="auto"/>
              </w:rPr>
            </w:pPr>
          </w:p>
        </w:tc>
        <w:tc>
          <w:tcPr>
            <w:tcW w:w="580" w:type="dxa"/>
            <w:vAlign w:val="bottom"/>
            <w:tcBorders>
              <w:right w:val="single" w:sz="8" w:color="CCEEFF"/>
            </w:tcBorders>
            <w:gridSpan w:val="2"/>
            <w:shd w:val="clear" w:color="auto" w:fill="CCEEFF"/>
          </w:tcPr>
          <w:p>
            <w:pPr>
              <w:jc w:val="right"/>
              <w:ind w:right="160"/>
              <w:spacing w:after="0"/>
              <w:rPr>
                <w:sz w:val="20"/>
                <w:szCs w:val="20"/>
                <w:color w:val="auto"/>
              </w:rPr>
            </w:pPr>
            <w:r>
              <w:rPr>
                <w:rFonts w:ascii="Arial" w:cs="Arial" w:eastAsia="Arial" w:hAnsi="Arial"/>
                <w:sz w:val="9"/>
                <w:szCs w:val="9"/>
                <w:color w:val="auto"/>
                <w:w w:val="88"/>
              </w:rPr>
              <w:t>21,530,382</w:t>
            </w:r>
          </w:p>
        </w:tc>
        <w:tc>
          <w:tcPr>
            <w:tcW w:w="36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4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28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300" w:type="dxa"/>
            <w:vAlign w:val="bottom"/>
            <w:shd w:val="clear" w:color="auto" w:fill="CCEEFF"/>
          </w:tcPr>
          <w:p>
            <w:pPr>
              <w:spacing w:after="0"/>
              <w:rPr>
                <w:sz w:val="9"/>
                <w:szCs w:val="9"/>
                <w:color w:val="auto"/>
              </w:rPr>
            </w:pPr>
          </w:p>
        </w:tc>
        <w:tc>
          <w:tcPr>
            <w:tcW w:w="180" w:type="dxa"/>
            <w:vAlign w:val="bottom"/>
            <w:tcBorders>
              <w:left w:val="single" w:sz="8" w:color="CCEEFF"/>
              <w:right w:val="single" w:sz="8" w:color="CCEEFF"/>
            </w:tcBorders>
            <w:shd w:val="clear" w:color="auto" w:fill="CCEEFF"/>
          </w:tcPr>
          <w:p>
            <w:pPr>
              <w:spacing w:after="0"/>
              <w:rPr>
                <w:sz w:val="9"/>
                <w:szCs w:val="9"/>
                <w:color w:val="auto"/>
              </w:rPr>
            </w:pPr>
          </w:p>
        </w:tc>
        <w:tc>
          <w:tcPr>
            <w:tcW w:w="42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380" w:type="dxa"/>
            <w:vAlign w:val="bottom"/>
            <w:tcBorders>
              <w:right w:val="single" w:sz="8" w:color="CCEEFF"/>
            </w:tcBorders>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560" w:type="dxa"/>
            <w:vAlign w:val="bottom"/>
            <w:shd w:val="clear" w:color="auto" w:fill="CCEEFF"/>
          </w:tcPr>
          <w:p>
            <w:pPr>
              <w:spacing w:after="0"/>
              <w:rPr>
                <w:sz w:val="9"/>
                <w:szCs w:val="9"/>
                <w:color w:val="auto"/>
              </w:rPr>
            </w:pPr>
          </w:p>
        </w:tc>
        <w:tc>
          <w:tcPr>
            <w:tcW w:w="120" w:type="dxa"/>
            <w:vAlign w:val="bottom"/>
            <w:shd w:val="clear" w:color="auto" w:fill="CCEEFF"/>
          </w:tcPr>
          <w:p>
            <w:pPr>
              <w:spacing w:after="0"/>
              <w:rPr>
                <w:sz w:val="9"/>
                <w:szCs w:val="9"/>
                <w:color w:val="auto"/>
              </w:rPr>
            </w:pPr>
          </w:p>
        </w:tc>
        <w:tc>
          <w:tcPr>
            <w:tcW w:w="56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9"/>
                <w:szCs w:val="9"/>
                <w:color w:val="auto"/>
              </w:rPr>
              <w:t>-</w:t>
            </w:r>
          </w:p>
        </w:tc>
        <w:tc>
          <w:tcPr>
            <w:tcW w:w="0" w:type="dxa"/>
            <w:vAlign w:val="bottom"/>
          </w:tcPr>
          <w:p>
            <w:pPr>
              <w:spacing w:after="0"/>
              <w:rPr>
                <w:sz w:val="1"/>
                <w:szCs w:val="1"/>
                <w:color w:val="auto"/>
              </w:rPr>
            </w:pPr>
          </w:p>
        </w:tc>
      </w:tr>
      <w:tr>
        <w:trPr>
          <w:trHeight w:val="98"/>
        </w:trPr>
        <w:tc>
          <w:tcPr>
            <w:tcW w:w="20" w:type="dxa"/>
            <w:vAlign w:val="bottom"/>
            <w:vMerge w:val="restart"/>
          </w:tcPr>
          <w:p>
            <w:pPr>
              <w:spacing w:after="0"/>
              <w:rPr>
                <w:sz w:val="8"/>
                <w:szCs w:val="8"/>
                <w:color w:val="auto"/>
              </w:rPr>
            </w:pPr>
          </w:p>
        </w:tc>
        <w:tc>
          <w:tcPr>
            <w:tcW w:w="520" w:type="dxa"/>
            <w:vAlign w:val="bottom"/>
          </w:tcPr>
          <w:p>
            <w:pPr>
              <w:spacing w:after="0"/>
              <w:rPr>
                <w:sz w:val="8"/>
                <w:szCs w:val="8"/>
                <w:color w:val="auto"/>
              </w:rPr>
            </w:pPr>
          </w:p>
        </w:tc>
        <w:tc>
          <w:tcPr>
            <w:tcW w:w="400" w:type="dxa"/>
            <w:vAlign w:val="bottom"/>
          </w:tcPr>
          <w:p>
            <w:pPr>
              <w:spacing w:after="0"/>
              <w:rPr>
                <w:sz w:val="8"/>
                <w:szCs w:val="8"/>
                <w:color w:val="auto"/>
              </w:rPr>
            </w:pPr>
          </w:p>
        </w:tc>
        <w:tc>
          <w:tcPr>
            <w:tcW w:w="540" w:type="dxa"/>
            <w:vAlign w:val="bottom"/>
          </w:tcPr>
          <w:p>
            <w:pPr>
              <w:spacing w:after="0"/>
              <w:rPr>
                <w:sz w:val="8"/>
                <w:szCs w:val="8"/>
                <w:color w:val="auto"/>
              </w:rPr>
            </w:pPr>
          </w:p>
        </w:tc>
        <w:tc>
          <w:tcPr>
            <w:tcW w:w="380" w:type="dxa"/>
            <w:vAlign w:val="bottom"/>
          </w:tcPr>
          <w:p>
            <w:pPr>
              <w:spacing w:after="0"/>
              <w:rPr>
                <w:sz w:val="8"/>
                <w:szCs w:val="8"/>
                <w:color w:val="auto"/>
              </w:rPr>
            </w:pPr>
          </w:p>
        </w:tc>
        <w:tc>
          <w:tcPr>
            <w:tcW w:w="80" w:type="dxa"/>
            <w:vAlign w:val="bottom"/>
          </w:tcPr>
          <w:p>
            <w:pPr>
              <w:spacing w:after="0"/>
              <w:rPr>
                <w:sz w:val="8"/>
                <w:szCs w:val="8"/>
                <w:color w:val="auto"/>
              </w:rPr>
            </w:pPr>
          </w:p>
        </w:tc>
        <w:tc>
          <w:tcPr>
            <w:tcW w:w="500" w:type="dxa"/>
            <w:vAlign w:val="bottom"/>
          </w:tcPr>
          <w:p>
            <w:pPr>
              <w:spacing w:after="0"/>
              <w:rPr>
                <w:sz w:val="8"/>
                <w:szCs w:val="8"/>
                <w:color w:val="auto"/>
              </w:rPr>
            </w:pPr>
          </w:p>
        </w:tc>
        <w:tc>
          <w:tcPr>
            <w:tcW w:w="40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44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0" w:type="dxa"/>
            <w:vAlign w:val="bottom"/>
          </w:tcPr>
          <w:p>
            <w:pPr>
              <w:spacing w:after="0"/>
              <w:rPr>
                <w:sz w:val="8"/>
                <w:szCs w:val="8"/>
                <w:color w:val="auto"/>
              </w:rPr>
            </w:pPr>
          </w:p>
        </w:tc>
        <w:tc>
          <w:tcPr>
            <w:tcW w:w="420" w:type="dxa"/>
            <w:vAlign w:val="bottom"/>
          </w:tcPr>
          <w:p>
            <w:pPr>
              <w:spacing w:after="0"/>
              <w:rPr>
                <w:sz w:val="8"/>
                <w:szCs w:val="8"/>
                <w:color w:val="auto"/>
              </w:rPr>
            </w:pPr>
          </w:p>
        </w:tc>
        <w:tc>
          <w:tcPr>
            <w:tcW w:w="16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40" w:type="dxa"/>
            <w:vAlign w:val="bottom"/>
          </w:tcPr>
          <w:p>
            <w:pPr>
              <w:spacing w:after="0"/>
              <w:rPr>
                <w:sz w:val="8"/>
                <w:szCs w:val="8"/>
                <w:color w:val="auto"/>
              </w:rPr>
            </w:pPr>
          </w:p>
        </w:tc>
        <w:tc>
          <w:tcPr>
            <w:tcW w:w="14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40" w:type="dxa"/>
            <w:vAlign w:val="bottom"/>
          </w:tcPr>
          <w:p>
            <w:pPr>
              <w:spacing w:after="0"/>
              <w:rPr>
                <w:sz w:val="8"/>
                <w:szCs w:val="8"/>
                <w:color w:val="auto"/>
              </w:rPr>
            </w:pPr>
          </w:p>
        </w:tc>
        <w:tc>
          <w:tcPr>
            <w:tcW w:w="100" w:type="dxa"/>
            <w:vAlign w:val="bottom"/>
          </w:tcPr>
          <w:p>
            <w:pPr>
              <w:spacing w:after="0"/>
              <w:rPr>
                <w:sz w:val="8"/>
                <w:szCs w:val="8"/>
                <w:color w:val="auto"/>
              </w:rPr>
            </w:pPr>
          </w:p>
        </w:tc>
        <w:tc>
          <w:tcPr>
            <w:tcW w:w="280" w:type="dxa"/>
            <w:vAlign w:val="bottom"/>
          </w:tcPr>
          <w:p>
            <w:pPr>
              <w:spacing w:after="0"/>
              <w:rPr>
                <w:sz w:val="8"/>
                <w:szCs w:val="8"/>
                <w:color w:val="auto"/>
              </w:rPr>
            </w:pPr>
          </w:p>
        </w:tc>
        <w:tc>
          <w:tcPr>
            <w:tcW w:w="100" w:type="dxa"/>
            <w:vAlign w:val="bottom"/>
          </w:tcPr>
          <w:p>
            <w:pPr>
              <w:spacing w:after="0"/>
              <w:rPr>
                <w:sz w:val="8"/>
                <w:szCs w:val="8"/>
                <w:color w:val="auto"/>
              </w:rPr>
            </w:pPr>
          </w:p>
        </w:tc>
        <w:tc>
          <w:tcPr>
            <w:tcW w:w="300" w:type="dxa"/>
            <w:vAlign w:val="bottom"/>
          </w:tcPr>
          <w:p>
            <w:pPr>
              <w:spacing w:after="0"/>
              <w:rPr>
                <w:sz w:val="8"/>
                <w:szCs w:val="8"/>
                <w:color w:val="auto"/>
              </w:rPr>
            </w:pPr>
          </w:p>
        </w:tc>
        <w:tc>
          <w:tcPr>
            <w:tcW w:w="180" w:type="dxa"/>
            <w:vAlign w:val="bottom"/>
          </w:tcPr>
          <w:p>
            <w:pPr>
              <w:spacing w:after="0"/>
              <w:rPr>
                <w:sz w:val="8"/>
                <w:szCs w:val="8"/>
                <w:color w:val="auto"/>
              </w:rPr>
            </w:pPr>
          </w:p>
        </w:tc>
        <w:tc>
          <w:tcPr>
            <w:tcW w:w="420" w:type="dxa"/>
            <w:vAlign w:val="bottom"/>
          </w:tcPr>
          <w:p>
            <w:pPr>
              <w:spacing w:after="0"/>
              <w:rPr>
                <w:sz w:val="8"/>
                <w:szCs w:val="8"/>
                <w:color w:val="auto"/>
              </w:rPr>
            </w:pPr>
          </w:p>
        </w:tc>
        <w:tc>
          <w:tcPr>
            <w:tcW w:w="1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0" w:type="dxa"/>
            <w:vAlign w:val="bottom"/>
          </w:tcPr>
          <w:p>
            <w:pPr>
              <w:spacing w:after="0"/>
              <w:rPr>
                <w:sz w:val="8"/>
                <w:szCs w:val="8"/>
                <w:color w:val="auto"/>
              </w:rPr>
            </w:pPr>
          </w:p>
        </w:tc>
        <w:tc>
          <w:tcPr>
            <w:tcW w:w="44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560" w:type="dxa"/>
            <w:vAlign w:val="bottom"/>
          </w:tcPr>
          <w:p>
            <w:pPr>
              <w:spacing w:after="0"/>
              <w:rPr>
                <w:sz w:val="8"/>
                <w:szCs w:val="8"/>
                <w:color w:val="auto"/>
              </w:rPr>
            </w:pPr>
          </w:p>
        </w:tc>
        <w:tc>
          <w:tcPr>
            <w:tcW w:w="120" w:type="dxa"/>
            <w:vAlign w:val="bottom"/>
          </w:tcPr>
          <w:p>
            <w:pPr>
              <w:spacing w:after="0"/>
              <w:rPr>
                <w:sz w:val="8"/>
                <w:szCs w:val="8"/>
                <w:color w:val="auto"/>
              </w:rPr>
            </w:pPr>
          </w:p>
        </w:tc>
        <w:tc>
          <w:tcPr>
            <w:tcW w:w="5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87"/>
        </w:trPr>
        <w:tc>
          <w:tcPr>
            <w:tcW w:w="20" w:type="dxa"/>
            <w:vAlign w:val="bottom"/>
            <w:vMerge w:val="continue"/>
          </w:tcPr>
          <w:p>
            <w:pPr>
              <w:spacing w:after="0"/>
              <w:rPr>
                <w:sz w:val="7"/>
                <w:szCs w:val="7"/>
                <w:color w:val="auto"/>
              </w:rPr>
            </w:pPr>
          </w:p>
        </w:tc>
        <w:tc>
          <w:tcPr>
            <w:tcW w:w="520" w:type="dxa"/>
            <w:vAlign w:val="bottom"/>
            <w:tcBorders>
              <w:right w:val="single" w:sz="8" w:color="CCEEFF"/>
            </w:tcBorders>
            <w:shd w:val="clear" w:color="auto" w:fill="CCEEFF"/>
          </w:tcPr>
          <w:p>
            <w:pPr>
              <w:spacing w:after="0" w:line="87" w:lineRule="exact"/>
              <w:rPr>
                <w:sz w:val="20"/>
                <w:szCs w:val="20"/>
                <w:color w:val="auto"/>
              </w:rPr>
            </w:pPr>
            <w:r>
              <w:rPr>
                <w:rFonts w:ascii="Arial" w:cs="Arial" w:eastAsia="Arial" w:hAnsi="Arial"/>
                <w:sz w:val="9"/>
                <w:szCs w:val="9"/>
                <w:color w:val="auto"/>
              </w:rPr>
              <w:t>Issuance of</w:t>
            </w:r>
          </w:p>
        </w:tc>
        <w:tc>
          <w:tcPr>
            <w:tcW w:w="400" w:type="dxa"/>
            <w:vAlign w:val="bottom"/>
            <w:tcBorders>
              <w:right w:val="single" w:sz="8" w:color="CCEEFF"/>
            </w:tcBorders>
            <w:shd w:val="clear" w:color="auto" w:fill="CCEEFF"/>
          </w:tcPr>
          <w:p>
            <w:pPr>
              <w:spacing w:after="0"/>
              <w:rPr>
                <w:sz w:val="7"/>
                <w:szCs w:val="7"/>
                <w:color w:val="auto"/>
              </w:rPr>
            </w:pPr>
          </w:p>
        </w:tc>
        <w:tc>
          <w:tcPr>
            <w:tcW w:w="540" w:type="dxa"/>
            <w:vAlign w:val="bottom"/>
            <w:tcBorders>
              <w:right w:val="single" w:sz="8" w:color="CCEEFF"/>
            </w:tcBorders>
            <w:shd w:val="clear" w:color="auto" w:fill="CCEEFF"/>
          </w:tcPr>
          <w:p>
            <w:pPr>
              <w:spacing w:after="0"/>
              <w:rPr>
                <w:sz w:val="7"/>
                <w:szCs w:val="7"/>
                <w:color w:val="auto"/>
              </w:rPr>
            </w:pPr>
          </w:p>
        </w:tc>
        <w:tc>
          <w:tcPr>
            <w:tcW w:w="38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500" w:type="dxa"/>
            <w:vAlign w:val="bottom"/>
            <w:tcBorders>
              <w:right w:val="single" w:sz="8" w:color="CCEEFF"/>
            </w:tcBorders>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440" w:type="dxa"/>
            <w:vAlign w:val="bottom"/>
            <w:tcBorders>
              <w:right w:val="single" w:sz="8" w:color="CCEEFF"/>
            </w:tcBorders>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0" w:type="dxa"/>
            <w:vAlign w:val="bottom"/>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6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4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28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300" w:type="dxa"/>
            <w:vAlign w:val="bottom"/>
            <w:shd w:val="clear" w:color="auto" w:fill="CCEEFF"/>
          </w:tcPr>
          <w:p>
            <w:pPr>
              <w:spacing w:after="0"/>
              <w:rPr>
                <w:sz w:val="7"/>
                <w:szCs w:val="7"/>
                <w:color w:val="auto"/>
              </w:rPr>
            </w:pPr>
          </w:p>
        </w:tc>
        <w:tc>
          <w:tcPr>
            <w:tcW w:w="180" w:type="dxa"/>
            <w:vAlign w:val="bottom"/>
            <w:tcBorders>
              <w:left w:val="single" w:sz="8" w:color="CCEEFF"/>
              <w:right w:val="single" w:sz="8" w:color="CCEEFF"/>
            </w:tcBorders>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380" w:type="dxa"/>
            <w:vAlign w:val="bottom"/>
            <w:tcBorders>
              <w:right w:val="single" w:sz="8" w:color="CCEEFF"/>
            </w:tcBorders>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560" w:type="dxa"/>
            <w:vAlign w:val="bottom"/>
            <w:shd w:val="clear" w:color="auto" w:fill="CCEEFF"/>
          </w:tcPr>
          <w:p>
            <w:pPr>
              <w:spacing w:after="0"/>
              <w:rPr>
                <w:sz w:val="7"/>
                <w:szCs w:val="7"/>
                <w:color w:val="auto"/>
              </w:rPr>
            </w:pPr>
          </w:p>
        </w:tc>
        <w:tc>
          <w:tcPr>
            <w:tcW w:w="120" w:type="dxa"/>
            <w:vAlign w:val="bottom"/>
            <w:shd w:val="clear" w:color="auto" w:fill="CCEEFF"/>
          </w:tcPr>
          <w:p>
            <w:pPr>
              <w:spacing w:after="0"/>
              <w:rPr>
                <w:sz w:val="7"/>
                <w:szCs w:val="7"/>
                <w:color w:val="auto"/>
              </w:rPr>
            </w:pPr>
          </w:p>
        </w:tc>
        <w:tc>
          <w:tcPr>
            <w:tcW w:w="560" w:type="dxa"/>
            <w:vAlign w:val="bottom"/>
            <w:tcBorders>
              <w:right w:val="single" w:sz="8" w:color="CCEEFF"/>
            </w:tcBorders>
            <w:shd w:val="clear" w:color="auto" w:fill="CCEEFF"/>
          </w:tcPr>
          <w:p>
            <w:pPr>
              <w:spacing w:after="0"/>
              <w:rPr>
                <w:sz w:val="7"/>
                <w:szCs w:val="7"/>
                <w:color w:val="auto"/>
              </w:rPr>
            </w:pPr>
          </w:p>
        </w:tc>
        <w:tc>
          <w:tcPr>
            <w:tcW w:w="0" w:type="dxa"/>
            <w:vAlign w:val="bottom"/>
          </w:tcPr>
          <w:p>
            <w:pPr>
              <w:spacing w:after="0"/>
              <w:rPr>
                <w:sz w:val="1"/>
                <w:szCs w:val="1"/>
                <w:color w:val="auto"/>
              </w:rPr>
            </w:pPr>
          </w:p>
        </w:tc>
      </w:tr>
      <w:tr>
        <w:trPr>
          <w:trHeight w:val="98"/>
        </w:trPr>
        <w:tc>
          <w:tcPr>
            <w:tcW w:w="20" w:type="dxa"/>
            <w:vAlign w:val="bottom"/>
          </w:tcPr>
          <w:p>
            <w:pPr>
              <w:spacing w:after="0"/>
              <w:rPr>
                <w:sz w:val="8"/>
                <w:szCs w:val="8"/>
                <w:color w:val="auto"/>
              </w:rPr>
            </w:pPr>
          </w:p>
        </w:tc>
        <w:tc>
          <w:tcPr>
            <w:tcW w:w="520" w:type="dxa"/>
            <w:vAlign w:val="bottom"/>
            <w:tcBorders>
              <w:right w:val="single" w:sz="8" w:color="CCEEFF"/>
            </w:tcBorders>
            <w:shd w:val="clear" w:color="auto" w:fill="CCEEFF"/>
          </w:tcPr>
          <w:p>
            <w:pPr>
              <w:spacing w:after="0" w:line="98" w:lineRule="exact"/>
              <w:rPr>
                <w:sz w:val="20"/>
                <w:szCs w:val="20"/>
                <w:color w:val="auto"/>
              </w:rPr>
            </w:pPr>
            <w:r>
              <w:rPr>
                <w:rFonts w:ascii="Arial" w:cs="Arial" w:eastAsia="Arial" w:hAnsi="Arial"/>
                <w:sz w:val="9"/>
                <w:szCs w:val="9"/>
                <w:color w:val="auto"/>
              </w:rPr>
              <w:t>common</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560" w:type="dxa"/>
            <w:vAlign w:val="bottom"/>
            <w:shd w:val="clear" w:color="auto" w:fill="CCEEFF"/>
          </w:tcPr>
          <w:p>
            <w:pPr>
              <w:spacing w:after="0"/>
              <w:rPr>
                <w:sz w:val="8"/>
                <w:szCs w:val="8"/>
                <w:color w:val="auto"/>
              </w:rPr>
            </w:pPr>
          </w:p>
        </w:tc>
        <w:tc>
          <w:tcPr>
            <w:tcW w:w="120" w:type="dxa"/>
            <w:vAlign w:val="bottom"/>
            <w:shd w:val="clear" w:color="auto" w:fill="CCEEFF"/>
          </w:tcPr>
          <w:p>
            <w:pPr>
              <w:spacing w:after="0"/>
              <w:rPr>
                <w:sz w:val="8"/>
                <w:szCs w:val="8"/>
                <w:color w:val="auto"/>
              </w:rPr>
            </w:pPr>
          </w:p>
        </w:tc>
        <w:tc>
          <w:tcPr>
            <w:tcW w:w="560" w:type="dxa"/>
            <w:vAlign w:val="bottom"/>
            <w:tcBorders>
              <w:right w:val="single" w:sz="8" w:color="CCEEFF"/>
            </w:tcBorders>
            <w:shd w:val="clear" w:color="auto" w:fill="CCEEFF"/>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0" w:type="dxa"/>
            <w:vAlign w:val="bottom"/>
          </w:tcPr>
          <w:p>
            <w:pPr>
              <w:spacing w:after="0"/>
              <w:rPr>
                <w:sz w:val="8"/>
                <w:szCs w:val="8"/>
                <w:color w:val="auto"/>
              </w:rPr>
            </w:pPr>
          </w:p>
        </w:tc>
        <w:tc>
          <w:tcPr>
            <w:tcW w:w="520" w:type="dxa"/>
            <w:vAlign w:val="bottom"/>
            <w:tcBorders>
              <w:right w:val="single" w:sz="8" w:color="CCEEFF"/>
            </w:tcBorders>
            <w:shd w:val="clear" w:color="auto" w:fill="CCEEFF"/>
          </w:tcPr>
          <w:p>
            <w:pPr>
              <w:spacing w:after="0" w:line="98" w:lineRule="exact"/>
              <w:rPr>
                <w:sz w:val="20"/>
                <w:szCs w:val="20"/>
                <w:color w:val="auto"/>
              </w:rPr>
            </w:pPr>
            <w:r>
              <w:rPr>
                <w:rFonts w:ascii="Arial" w:cs="Arial" w:eastAsia="Arial" w:hAnsi="Arial"/>
                <w:sz w:val="9"/>
                <w:szCs w:val="9"/>
                <w:color w:val="auto"/>
              </w:rPr>
              <w:t>stock upon</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560" w:type="dxa"/>
            <w:vAlign w:val="bottom"/>
            <w:shd w:val="clear" w:color="auto" w:fill="CCEEFF"/>
          </w:tcPr>
          <w:p>
            <w:pPr>
              <w:spacing w:after="0"/>
              <w:rPr>
                <w:sz w:val="8"/>
                <w:szCs w:val="8"/>
                <w:color w:val="auto"/>
              </w:rPr>
            </w:pPr>
          </w:p>
        </w:tc>
        <w:tc>
          <w:tcPr>
            <w:tcW w:w="120" w:type="dxa"/>
            <w:vAlign w:val="bottom"/>
            <w:shd w:val="clear" w:color="auto" w:fill="CCEEFF"/>
          </w:tcPr>
          <w:p>
            <w:pPr>
              <w:spacing w:after="0"/>
              <w:rPr>
                <w:sz w:val="8"/>
                <w:szCs w:val="8"/>
                <w:color w:val="auto"/>
              </w:rPr>
            </w:pPr>
          </w:p>
        </w:tc>
        <w:tc>
          <w:tcPr>
            <w:tcW w:w="560" w:type="dxa"/>
            <w:vAlign w:val="bottom"/>
            <w:tcBorders>
              <w:right w:val="single" w:sz="8" w:color="CCEEFF"/>
            </w:tcBorders>
            <w:shd w:val="clear" w:color="auto" w:fill="CCEEFF"/>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0" w:type="dxa"/>
            <w:vAlign w:val="bottom"/>
          </w:tcPr>
          <w:p>
            <w:pPr>
              <w:spacing w:after="0"/>
              <w:rPr>
                <w:sz w:val="8"/>
                <w:szCs w:val="8"/>
                <w:color w:val="auto"/>
              </w:rPr>
            </w:pPr>
          </w:p>
        </w:tc>
        <w:tc>
          <w:tcPr>
            <w:tcW w:w="520" w:type="dxa"/>
            <w:vAlign w:val="bottom"/>
            <w:tcBorders>
              <w:right w:val="single" w:sz="8" w:color="CCEEFF"/>
            </w:tcBorders>
            <w:shd w:val="clear" w:color="auto" w:fill="CCEEFF"/>
          </w:tcPr>
          <w:p>
            <w:pPr>
              <w:spacing w:after="0" w:line="98" w:lineRule="exact"/>
              <w:rPr>
                <w:sz w:val="20"/>
                <w:szCs w:val="20"/>
                <w:color w:val="auto"/>
              </w:rPr>
            </w:pPr>
            <w:r>
              <w:rPr>
                <w:rFonts w:ascii="Arial" w:cs="Arial" w:eastAsia="Arial" w:hAnsi="Arial"/>
                <w:sz w:val="9"/>
                <w:szCs w:val="9"/>
                <w:color w:val="auto"/>
              </w:rPr>
              <w:t>exercise of</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560" w:type="dxa"/>
            <w:vAlign w:val="bottom"/>
            <w:shd w:val="clear" w:color="auto" w:fill="CCEEFF"/>
          </w:tcPr>
          <w:p>
            <w:pPr>
              <w:spacing w:after="0"/>
              <w:rPr>
                <w:sz w:val="8"/>
                <w:szCs w:val="8"/>
                <w:color w:val="auto"/>
              </w:rPr>
            </w:pPr>
          </w:p>
        </w:tc>
        <w:tc>
          <w:tcPr>
            <w:tcW w:w="120" w:type="dxa"/>
            <w:vAlign w:val="bottom"/>
            <w:shd w:val="clear" w:color="auto" w:fill="CCEEFF"/>
          </w:tcPr>
          <w:p>
            <w:pPr>
              <w:spacing w:after="0"/>
              <w:rPr>
                <w:sz w:val="8"/>
                <w:szCs w:val="8"/>
                <w:color w:val="auto"/>
              </w:rPr>
            </w:pPr>
          </w:p>
        </w:tc>
        <w:tc>
          <w:tcPr>
            <w:tcW w:w="560" w:type="dxa"/>
            <w:vAlign w:val="bottom"/>
            <w:tcBorders>
              <w:right w:val="single" w:sz="8" w:color="CCEEFF"/>
            </w:tcBorders>
            <w:shd w:val="clear" w:color="auto" w:fill="CCEEFF"/>
          </w:tcPr>
          <w:p>
            <w:pPr>
              <w:spacing w:after="0"/>
              <w:rPr>
                <w:sz w:val="8"/>
                <w:szCs w:val="8"/>
                <w:color w:val="auto"/>
              </w:rPr>
            </w:pPr>
          </w:p>
        </w:tc>
        <w:tc>
          <w:tcPr>
            <w:tcW w:w="0" w:type="dxa"/>
            <w:vAlign w:val="bottom"/>
          </w:tcPr>
          <w:p>
            <w:pPr>
              <w:spacing w:after="0"/>
              <w:rPr>
                <w:sz w:val="1"/>
                <w:szCs w:val="1"/>
                <w:color w:val="auto"/>
              </w:rPr>
            </w:pPr>
          </w:p>
        </w:tc>
      </w:tr>
      <w:tr>
        <w:trPr>
          <w:trHeight w:val="109"/>
        </w:trPr>
        <w:tc>
          <w:tcPr>
            <w:tcW w:w="20" w:type="dxa"/>
            <w:vAlign w:val="bottom"/>
          </w:tcPr>
          <w:p>
            <w:pPr>
              <w:spacing w:after="0"/>
              <w:rPr>
                <w:sz w:val="9"/>
                <w:szCs w:val="9"/>
                <w:color w:val="auto"/>
              </w:rPr>
            </w:pPr>
          </w:p>
        </w:tc>
        <w:tc>
          <w:tcPr>
            <w:tcW w:w="52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9"/>
                <w:szCs w:val="9"/>
                <w:color w:val="auto"/>
                <w:w w:val="99"/>
              </w:rPr>
              <w:t>stock option</w:t>
            </w:r>
          </w:p>
        </w:tc>
        <w:tc>
          <w:tcPr>
            <w:tcW w:w="400" w:type="dxa"/>
            <w:vAlign w:val="bottom"/>
            <w:tcBorders>
              <w:right w:val="single" w:sz="8" w:color="CCEEFF"/>
            </w:tcBorders>
            <w:shd w:val="clear" w:color="auto" w:fill="CCEEFF"/>
          </w:tcPr>
          <w:p>
            <w:pPr>
              <w:spacing w:after="0"/>
              <w:rPr>
                <w:sz w:val="9"/>
                <w:szCs w:val="9"/>
                <w:color w:val="auto"/>
              </w:rPr>
            </w:pPr>
          </w:p>
        </w:tc>
        <w:tc>
          <w:tcPr>
            <w:tcW w:w="540" w:type="dxa"/>
            <w:vAlign w:val="bottom"/>
            <w:tcBorders>
              <w:right w:val="single" w:sz="8" w:color="CCEEFF"/>
            </w:tcBorders>
            <w:shd w:val="clear" w:color="auto" w:fill="CCEEFF"/>
          </w:tcPr>
          <w:p>
            <w:pPr>
              <w:spacing w:after="0"/>
              <w:rPr>
                <w:sz w:val="9"/>
                <w:szCs w:val="9"/>
                <w:color w:val="auto"/>
              </w:rPr>
            </w:pPr>
          </w:p>
        </w:tc>
        <w:tc>
          <w:tcPr>
            <w:tcW w:w="38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500" w:type="dxa"/>
            <w:vAlign w:val="bottom"/>
            <w:tcBorders>
              <w:right w:val="single" w:sz="8" w:color="CCEEFF"/>
            </w:tcBorders>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120" w:type="dxa"/>
            <w:vAlign w:val="bottom"/>
            <w:tcBorders>
              <w:right w:val="single" w:sz="8" w:color="CCEEFF"/>
            </w:tcBorders>
            <w:shd w:val="clear" w:color="auto" w:fill="CCEEFF"/>
          </w:tcPr>
          <w:p>
            <w:pPr>
              <w:spacing w:after="0"/>
              <w:rPr>
                <w:sz w:val="9"/>
                <w:szCs w:val="9"/>
                <w:color w:val="auto"/>
              </w:rPr>
            </w:pPr>
          </w:p>
        </w:tc>
        <w:tc>
          <w:tcPr>
            <w:tcW w:w="440" w:type="dxa"/>
            <w:vAlign w:val="bottom"/>
            <w:tcBorders>
              <w:right w:val="single" w:sz="8" w:color="CCEEFF"/>
            </w:tcBorders>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12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40" w:type="dxa"/>
            <w:vAlign w:val="bottom"/>
            <w:shd w:val="clear" w:color="auto" w:fill="CCEEFF"/>
          </w:tcPr>
          <w:p>
            <w:pPr>
              <w:spacing w:after="0"/>
              <w:rPr>
                <w:sz w:val="9"/>
                <w:szCs w:val="9"/>
                <w:color w:val="auto"/>
              </w:rPr>
            </w:pPr>
          </w:p>
        </w:tc>
        <w:tc>
          <w:tcPr>
            <w:tcW w:w="420" w:type="dxa"/>
            <w:vAlign w:val="bottom"/>
            <w:shd w:val="clear" w:color="auto" w:fill="CCEEFF"/>
          </w:tcPr>
          <w:p>
            <w:pPr>
              <w:spacing w:after="0"/>
              <w:rPr>
                <w:sz w:val="9"/>
                <w:szCs w:val="9"/>
                <w:color w:val="auto"/>
              </w:rPr>
            </w:pPr>
          </w:p>
        </w:tc>
        <w:tc>
          <w:tcPr>
            <w:tcW w:w="16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4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28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300" w:type="dxa"/>
            <w:vAlign w:val="bottom"/>
            <w:shd w:val="clear" w:color="auto" w:fill="CCEEFF"/>
          </w:tcPr>
          <w:p>
            <w:pPr>
              <w:spacing w:after="0"/>
              <w:rPr>
                <w:sz w:val="9"/>
                <w:szCs w:val="9"/>
                <w:color w:val="auto"/>
              </w:rPr>
            </w:pPr>
          </w:p>
        </w:tc>
        <w:tc>
          <w:tcPr>
            <w:tcW w:w="180" w:type="dxa"/>
            <w:vAlign w:val="bottom"/>
            <w:tcBorders>
              <w:left w:val="single" w:sz="8" w:color="CCEEFF"/>
              <w:right w:val="single" w:sz="8" w:color="CCEEFF"/>
            </w:tcBorders>
            <w:shd w:val="clear" w:color="auto" w:fill="CCEEFF"/>
          </w:tcPr>
          <w:p>
            <w:pPr>
              <w:spacing w:after="0"/>
              <w:rPr>
                <w:sz w:val="9"/>
                <w:szCs w:val="9"/>
                <w:color w:val="auto"/>
              </w:rPr>
            </w:pPr>
          </w:p>
        </w:tc>
        <w:tc>
          <w:tcPr>
            <w:tcW w:w="520" w:type="dxa"/>
            <w:vAlign w:val="bottom"/>
            <w:gridSpan w:val="2"/>
            <w:shd w:val="clear" w:color="auto" w:fill="CCEEFF"/>
          </w:tcPr>
          <w:p>
            <w:pPr>
              <w:jc w:val="right"/>
              <w:ind w:right="100"/>
              <w:spacing w:after="0"/>
              <w:rPr>
                <w:sz w:val="20"/>
                <w:szCs w:val="20"/>
                <w:color w:val="auto"/>
              </w:rPr>
            </w:pPr>
            <w:r>
              <w:rPr>
                <w:rFonts w:ascii="Arial" w:cs="Arial" w:eastAsia="Arial" w:hAnsi="Arial"/>
                <w:sz w:val="9"/>
                <w:szCs w:val="9"/>
                <w:color w:val="auto"/>
              </w:rPr>
              <w:t>10,000</w:t>
            </w:r>
          </w:p>
        </w:tc>
        <w:tc>
          <w:tcPr>
            <w:tcW w:w="80" w:type="dxa"/>
            <w:vAlign w:val="bottom"/>
            <w:shd w:val="clear" w:color="auto" w:fill="CCEEFF"/>
          </w:tcPr>
          <w:p>
            <w:pPr>
              <w:spacing w:after="0"/>
              <w:rPr>
                <w:sz w:val="9"/>
                <w:szCs w:val="9"/>
                <w:color w:val="auto"/>
              </w:rPr>
            </w:pPr>
          </w:p>
        </w:tc>
        <w:tc>
          <w:tcPr>
            <w:tcW w:w="380" w:type="dxa"/>
            <w:vAlign w:val="bottom"/>
            <w:tcBorders>
              <w:right w:val="single" w:sz="8" w:color="CCEEFF"/>
            </w:tcBorders>
            <w:shd w:val="clear" w:color="auto" w:fill="CCEEFF"/>
          </w:tcPr>
          <w:p>
            <w:pPr>
              <w:jc w:val="right"/>
              <w:ind w:right="54"/>
              <w:spacing w:after="0"/>
              <w:rPr>
                <w:sz w:val="20"/>
                <w:szCs w:val="20"/>
                <w:color w:val="auto"/>
              </w:rPr>
            </w:pPr>
            <w:r>
              <w:rPr>
                <w:rFonts w:ascii="Arial" w:cs="Arial" w:eastAsia="Arial" w:hAnsi="Arial"/>
                <w:sz w:val="9"/>
                <w:szCs w:val="9"/>
                <w:color w:val="auto"/>
              </w:rPr>
              <w:t>10</w:t>
            </w:r>
          </w:p>
        </w:tc>
        <w:tc>
          <w:tcPr>
            <w:tcW w:w="52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color w:val="auto"/>
              </w:rPr>
              <w:t>2,490</w:t>
            </w:r>
          </w:p>
        </w:tc>
        <w:tc>
          <w:tcPr>
            <w:tcW w:w="60" w:type="dxa"/>
            <w:vAlign w:val="bottom"/>
            <w:shd w:val="clear" w:color="auto" w:fill="CCEEFF"/>
          </w:tcPr>
          <w:p>
            <w:pPr>
              <w:spacing w:after="0"/>
              <w:rPr>
                <w:sz w:val="9"/>
                <w:szCs w:val="9"/>
                <w:color w:val="auto"/>
              </w:rPr>
            </w:pPr>
          </w:p>
        </w:tc>
        <w:tc>
          <w:tcPr>
            <w:tcW w:w="560" w:type="dxa"/>
            <w:vAlign w:val="bottom"/>
            <w:shd w:val="clear" w:color="auto" w:fill="CCEEFF"/>
          </w:tcPr>
          <w:p>
            <w:pPr>
              <w:spacing w:after="0"/>
              <w:rPr>
                <w:sz w:val="9"/>
                <w:szCs w:val="9"/>
                <w:color w:val="auto"/>
              </w:rPr>
            </w:pPr>
          </w:p>
        </w:tc>
        <w:tc>
          <w:tcPr>
            <w:tcW w:w="120" w:type="dxa"/>
            <w:vAlign w:val="bottom"/>
            <w:shd w:val="clear" w:color="auto" w:fill="CCEEFF"/>
          </w:tcPr>
          <w:p>
            <w:pPr>
              <w:spacing w:after="0"/>
              <w:rPr>
                <w:sz w:val="9"/>
                <w:szCs w:val="9"/>
                <w:color w:val="auto"/>
              </w:rPr>
            </w:pPr>
          </w:p>
        </w:tc>
        <w:tc>
          <w:tcPr>
            <w:tcW w:w="56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9"/>
                <w:szCs w:val="9"/>
                <w:color w:val="auto"/>
              </w:rPr>
              <w:t>2,500</w:t>
            </w:r>
          </w:p>
        </w:tc>
        <w:tc>
          <w:tcPr>
            <w:tcW w:w="0" w:type="dxa"/>
            <w:vAlign w:val="bottom"/>
          </w:tcPr>
          <w:p>
            <w:pPr>
              <w:spacing w:after="0"/>
              <w:rPr>
                <w:sz w:val="1"/>
                <w:szCs w:val="1"/>
                <w:color w:val="auto"/>
              </w:rPr>
            </w:pPr>
          </w:p>
        </w:tc>
      </w:tr>
      <w:tr>
        <w:trPr>
          <w:trHeight w:val="98"/>
        </w:trPr>
        <w:tc>
          <w:tcPr>
            <w:tcW w:w="20" w:type="dxa"/>
            <w:vAlign w:val="bottom"/>
            <w:vMerge w:val="restart"/>
          </w:tcPr>
          <w:p>
            <w:pPr>
              <w:spacing w:after="0"/>
              <w:rPr>
                <w:sz w:val="8"/>
                <w:szCs w:val="8"/>
                <w:color w:val="auto"/>
              </w:rPr>
            </w:pPr>
          </w:p>
        </w:tc>
        <w:tc>
          <w:tcPr>
            <w:tcW w:w="520" w:type="dxa"/>
            <w:vAlign w:val="bottom"/>
          </w:tcPr>
          <w:p>
            <w:pPr>
              <w:spacing w:after="0"/>
              <w:rPr>
                <w:sz w:val="8"/>
                <w:szCs w:val="8"/>
                <w:color w:val="auto"/>
              </w:rPr>
            </w:pPr>
          </w:p>
        </w:tc>
        <w:tc>
          <w:tcPr>
            <w:tcW w:w="400" w:type="dxa"/>
            <w:vAlign w:val="bottom"/>
          </w:tcPr>
          <w:p>
            <w:pPr>
              <w:spacing w:after="0"/>
              <w:rPr>
                <w:sz w:val="8"/>
                <w:szCs w:val="8"/>
                <w:color w:val="auto"/>
              </w:rPr>
            </w:pPr>
          </w:p>
        </w:tc>
        <w:tc>
          <w:tcPr>
            <w:tcW w:w="540" w:type="dxa"/>
            <w:vAlign w:val="bottom"/>
          </w:tcPr>
          <w:p>
            <w:pPr>
              <w:spacing w:after="0"/>
              <w:rPr>
                <w:sz w:val="8"/>
                <w:szCs w:val="8"/>
                <w:color w:val="auto"/>
              </w:rPr>
            </w:pPr>
          </w:p>
        </w:tc>
        <w:tc>
          <w:tcPr>
            <w:tcW w:w="380" w:type="dxa"/>
            <w:vAlign w:val="bottom"/>
          </w:tcPr>
          <w:p>
            <w:pPr>
              <w:spacing w:after="0"/>
              <w:rPr>
                <w:sz w:val="8"/>
                <w:szCs w:val="8"/>
                <w:color w:val="auto"/>
              </w:rPr>
            </w:pPr>
          </w:p>
        </w:tc>
        <w:tc>
          <w:tcPr>
            <w:tcW w:w="80" w:type="dxa"/>
            <w:vAlign w:val="bottom"/>
          </w:tcPr>
          <w:p>
            <w:pPr>
              <w:spacing w:after="0"/>
              <w:rPr>
                <w:sz w:val="8"/>
                <w:szCs w:val="8"/>
                <w:color w:val="auto"/>
              </w:rPr>
            </w:pPr>
          </w:p>
        </w:tc>
        <w:tc>
          <w:tcPr>
            <w:tcW w:w="500" w:type="dxa"/>
            <w:vAlign w:val="bottom"/>
          </w:tcPr>
          <w:p>
            <w:pPr>
              <w:spacing w:after="0"/>
              <w:rPr>
                <w:sz w:val="8"/>
                <w:szCs w:val="8"/>
                <w:color w:val="auto"/>
              </w:rPr>
            </w:pPr>
          </w:p>
        </w:tc>
        <w:tc>
          <w:tcPr>
            <w:tcW w:w="40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44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0" w:type="dxa"/>
            <w:vAlign w:val="bottom"/>
          </w:tcPr>
          <w:p>
            <w:pPr>
              <w:spacing w:after="0"/>
              <w:rPr>
                <w:sz w:val="8"/>
                <w:szCs w:val="8"/>
                <w:color w:val="auto"/>
              </w:rPr>
            </w:pPr>
          </w:p>
        </w:tc>
        <w:tc>
          <w:tcPr>
            <w:tcW w:w="420" w:type="dxa"/>
            <w:vAlign w:val="bottom"/>
          </w:tcPr>
          <w:p>
            <w:pPr>
              <w:spacing w:after="0"/>
              <w:rPr>
                <w:sz w:val="8"/>
                <w:szCs w:val="8"/>
                <w:color w:val="auto"/>
              </w:rPr>
            </w:pPr>
          </w:p>
        </w:tc>
        <w:tc>
          <w:tcPr>
            <w:tcW w:w="16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40" w:type="dxa"/>
            <w:vAlign w:val="bottom"/>
          </w:tcPr>
          <w:p>
            <w:pPr>
              <w:spacing w:after="0"/>
              <w:rPr>
                <w:sz w:val="8"/>
                <w:szCs w:val="8"/>
                <w:color w:val="auto"/>
              </w:rPr>
            </w:pPr>
          </w:p>
        </w:tc>
        <w:tc>
          <w:tcPr>
            <w:tcW w:w="14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40" w:type="dxa"/>
            <w:vAlign w:val="bottom"/>
          </w:tcPr>
          <w:p>
            <w:pPr>
              <w:spacing w:after="0"/>
              <w:rPr>
                <w:sz w:val="8"/>
                <w:szCs w:val="8"/>
                <w:color w:val="auto"/>
              </w:rPr>
            </w:pPr>
          </w:p>
        </w:tc>
        <w:tc>
          <w:tcPr>
            <w:tcW w:w="100" w:type="dxa"/>
            <w:vAlign w:val="bottom"/>
          </w:tcPr>
          <w:p>
            <w:pPr>
              <w:spacing w:after="0"/>
              <w:rPr>
                <w:sz w:val="8"/>
                <w:szCs w:val="8"/>
                <w:color w:val="auto"/>
              </w:rPr>
            </w:pPr>
          </w:p>
        </w:tc>
        <w:tc>
          <w:tcPr>
            <w:tcW w:w="280" w:type="dxa"/>
            <w:vAlign w:val="bottom"/>
          </w:tcPr>
          <w:p>
            <w:pPr>
              <w:spacing w:after="0"/>
              <w:rPr>
                <w:sz w:val="8"/>
                <w:szCs w:val="8"/>
                <w:color w:val="auto"/>
              </w:rPr>
            </w:pPr>
          </w:p>
        </w:tc>
        <w:tc>
          <w:tcPr>
            <w:tcW w:w="100" w:type="dxa"/>
            <w:vAlign w:val="bottom"/>
          </w:tcPr>
          <w:p>
            <w:pPr>
              <w:spacing w:after="0"/>
              <w:rPr>
                <w:sz w:val="8"/>
                <w:szCs w:val="8"/>
                <w:color w:val="auto"/>
              </w:rPr>
            </w:pPr>
          </w:p>
        </w:tc>
        <w:tc>
          <w:tcPr>
            <w:tcW w:w="300" w:type="dxa"/>
            <w:vAlign w:val="bottom"/>
          </w:tcPr>
          <w:p>
            <w:pPr>
              <w:spacing w:after="0"/>
              <w:rPr>
                <w:sz w:val="8"/>
                <w:szCs w:val="8"/>
                <w:color w:val="auto"/>
              </w:rPr>
            </w:pPr>
          </w:p>
        </w:tc>
        <w:tc>
          <w:tcPr>
            <w:tcW w:w="180" w:type="dxa"/>
            <w:vAlign w:val="bottom"/>
          </w:tcPr>
          <w:p>
            <w:pPr>
              <w:spacing w:after="0"/>
              <w:rPr>
                <w:sz w:val="8"/>
                <w:szCs w:val="8"/>
                <w:color w:val="auto"/>
              </w:rPr>
            </w:pPr>
          </w:p>
        </w:tc>
        <w:tc>
          <w:tcPr>
            <w:tcW w:w="420" w:type="dxa"/>
            <w:vAlign w:val="bottom"/>
          </w:tcPr>
          <w:p>
            <w:pPr>
              <w:spacing w:after="0"/>
              <w:rPr>
                <w:sz w:val="8"/>
                <w:szCs w:val="8"/>
                <w:color w:val="auto"/>
              </w:rPr>
            </w:pPr>
          </w:p>
        </w:tc>
        <w:tc>
          <w:tcPr>
            <w:tcW w:w="1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0" w:type="dxa"/>
            <w:vAlign w:val="bottom"/>
          </w:tcPr>
          <w:p>
            <w:pPr>
              <w:spacing w:after="0"/>
              <w:rPr>
                <w:sz w:val="8"/>
                <w:szCs w:val="8"/>
                <w:color w:val="auto"/>
              </w:rPr>
            </w:pPr>
          </w:p>
        </w:tc>
        <w:tc>
          <w:tcPr>
            <w:tcW w:w="44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560" w:type="dxa"/>
            <w:vAlign w:val="bottom"/>
          </w:tcPr>
          <w:p>
            <w:pPr>
              <w:spacing w:after="0"/>
              <w:rPr>
                <w:sz w:val="8"/>
                <w:szCs w:val="8"/>
                <w:color w:val="auto"/>
              </w:rPr>
            </w:pPr>
          </w:p>
        </w:tc>
        <w:tc>
          <w:tcPr>
            <w:tcW w:w="120" w:type="dxa"/>
            <w:vAlign w:val="bottom"/>
          </w:tcPr>
          <w:p>
            <w:pPr>
              <w:spacing w:after="0"/>
              <w:rPr>
                <w:sz w:val="8"/>
                <w:szCs w:val="8"/>
                <w:color w:val="auto"/>
              </w:rPr>
            </w:pPr>
          </w:p>
        </w:tc>
        <w:tc>
          <w:tcPr>
            <w:tcW w:w="5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87"/>
        </w:trPr>
        <w:tc>
          <w:tcPr>
            <w:tcW w:w="20" w:type="dxa"/>
            <w:vAlign w:val="bottom"/>
            <w:vMerge w:val="continue"/>
          </w:tcPr>
          <w:p>
            <w:pPr>
              <w:spacing w:after="0"/>
              <w:rPr>
                <w:sz w:val="7"/>
                <w:szCs w:val="7"/>
                <w:color w:val="auto"/>
              </w:rPr>
            </w:pPr>
          </w:p>
        </w:tc>
        <w:tc>
          <w:tcPr>
            <w:tcW w:w="520" w:type="dxa"/>
            <w:vAlign w:val="bottom"/>
            <w:tcBorders>
              <w:right w:val="single" w:sz="8" w:color="CCEEFF"/>
            </w:tcBorders>
            <w:shd w:val="clear" w:color="auto" w:fill="CCEEFF"/>
          </w:tcPr>
          <w:p>
            <w:pPr>
              <w:spacing w:after="0" w:line="87" w:lineRule="exact"/>
              <w:rPr>
                <w:sz w:val="20"/>
                <w:szCs w:val="20"/>
                <w:color w:val="auto"/>
              </w:rPr>
            </w:pPr>
            <w:r>
              <w:rPr>
                <w:rFonts w:ascii="Arial" w:cs="Arial" w:eastAsia="Arial" w:hAnsi="Arial"/>
                <w:sz w:val="9"/>
                <w:szCs w:val="9"/>
                <w:color w:val="auto"/>
              </w:rPr>
              <w:t>Series m-4</w:t>
            </w:r>
          </w:p>
        </w:tc>
        <w:tc>
          <w:tcPr>
            <w:tcW w:w="400" w:type="dxa"/>
            <w:vAlign w:val="bottom"/>
            <w:tcBorders>
              <w:right w:val="single" w:sz="8" w:color="CCEEFF"/>
            </w:tcBorders>
            <w:shd w:val="clear" w:color="auto" w:fill="CCEEFF"/>
          </w:tcPr>
          <w:p>
            <w:pPr>
              <w:spacing w:after="0"/>
              <w:rPr>
                <w:sz w:val="7"/>
                <w:szCs w:val="7"/>
                <w:color w:val="auto"/>
              </w:rPr>
            </w:pPr>
          </w:p>
        </w:tc>
        <w:tc>
          <w:tcPr>
            <w:tcW w:w="540" w:type="dxa"/>
            <w:vAlign w:val="bottom"/>
            <w:tcBorders>
              <w:right w:val="single" w:sz="8" w:color="CCEEFF"/>
            </w:tcBorders>
            <w:shd w:val="clear" w:color="auto" w:fill="CCEEFF"/>
          </w:tcPr>
          <w:p>
            <w:pPr>
              <w:spacing w:after="0"/>
              <w:rPr>
                <w:sz w:val="7"/>
                <w:szCs w:val="7"/>
                <w:color w:val="auto"/>
              </w:rPr>
            </w:pPr>
          </w:p>
        </w:tc>
        <w:tc>
          <w:tcPr>
            <w:tcW w:w="38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500" w:type="dxa"/>
            <w:vAlign w:val="bottom"/>
            <w:tcBorders>
              <w:right w:val="single" w:sz="8" w:color="CCEEFF"/>
            </w:tcBorders>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440" w:type="dxa"/>
            <w:vAlign w:val="bottom"/>
            <w:tcBorders>
              <w:right w:val="single" w:sz="8" w:color="CCEEFF"/>
            </w:tcBorders>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0" w:type="dxa"/>
            <w:vAlign w:val="bottom"/>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6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4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28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300" w:type="dxa"/>
            <w:vAlign w:val="bottom"/>
            <w:shd w:val="clear" w:color="auto" w:fill="CCEEFF"/>
          </w:tcPr>
          <w:p>
            <w:pPr>
              <w:spacing w:after="0"/>
              <w:rPr>
                <w:sz w:val="7"/>
                <w:szCs w:val="7"/>
                <w:color w:val="auto"/>
              </w:rPr>
            </w:pPr>
          </w:p>
        </w:tc>
        <w:tc>
          <w:tcPr>
            <w:tcW w:w="180" w:type="dxa"/>
            <w:vAlign w:val="bottom"/>
            <w:tcBorders>
              <w:left w:val="single" w:sz="8" w:color="CCEEFF"/>
              <w:right w:val="single" w:sz="8" w:color="CCEEFF"/>
            </w:tcBorders>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380" w:type="dxa"/>
            <w:vAlign w:val="bottom"/>
            <w:tcBorders>
              <w:right w:val="single" w:sz="8" w:color="CCEEFF"/>
            </w:tcBorders>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560" w:type="dxa"/>
            <w:vAlign w:val="bottom"/>
            <w:shd w:val="clear" w:color="auto" w:fill="CCEEFF"/>
          </w:tcPr>
          <w:p>
            <w:pPr>
              <w:spacing w:after="0"/>
              <w:rPr>
                <w:sz w:val="7"/>
                <w:szCs w:val="7"/>
                <w:color w:val="auto"/>
              </w:rPr>
            </w:pPr>
          </w:p>
        </w:tc>
        <w:tc>
          <w:tcPr>
            <w:tcW w:w="120" w:type="dxa"/>
            <w:vAlign w:val="bottom"/>
            <w:shd w:val="clear" w:color="auto" w:fill="CCEEFF"/>
          </w:tcPr>
          <w:p>
            <w:pPr>
              <w:spacing w:after="0"/>
              <w:rPr>
                <w:sz w:val="7"/>
                <w:szCs w:val="7"/>
                <w:color w:val="auto"/>
              </w:rPr>
            </w:pPr>
          </w:p>
        </w:tc>
        <w:tc>
          <w:tcPr>
            <w:tcW w:w="560" w:type="dxa"/>
            <w:vAlign w:val="bottom"/>
            <w:tcBorders>
              <w:right w:val="single" w:sz="8" w:color="CCEEFF"/>
            </w:tcBorders>
            <w:shd w:val="clear" w:color="auto" w:fill="CCEEFF"/>
          </w:tcPr>
          <w:p>
            <w:pPr>
              <w:spacing w:after="0"/>
              <w:rPr>
                <w:sz w:val="7"/>
                <w:szCs w:val="7"/>
                <w:color w:val="auto"/>
              </w:rPr>
            </w:pPr>
          </w:p>
        </w:tc>
        <w:tc>
          <w:tcPr>
            <w:tcW w:w="0" w:type="dxa"/>
            <w:vAlign w:val="bottom"/>
          </w:tcPr>
          <w:p>
            <w:pPr>
              <w:spacing w:after="0"/>
              <w:rPr>
                <w:sz w:val="1"/>
                <w:szCs w:val="1"/>
                <w:color w:val="auto"/>
              </w:rPr>
            </w:pPr>
          </w:p>
        </w:tc>
      </w:tr>
      <w:tr>
        <w:trPr>
          <w:trHeight w:val="98"/>
        </w:trPr>
        <w:tc>
          <w:tcPr>
            <w:tcW w:w="20" w:type="dxa"/>
            <w:vAlign w:val="bottom"/>
          </w:tcPr>
          <w:p>
            <w:pPr>
              <w:spacing w:after="0"/>
              <w:rPr>
                <w:sz w:val="8"/>
                <w:szCs w:val="8"/>
                <w:color w:val="auto"/>
              </w:rPr>
            </w:pPr>
          </w:p>
        </w:tc>
        <w:tc>
          <w:tcPr>
            <w:tcW w:w="520" w:type="dxa"/>
            <w:vAlign w:val="bottom"/>
            <w:tcBorders>
              <w:right w:val="single" w:sz="8" w:color="CCEEFF"/>
            </w:tcBorders>
            <w:shd w:val="clear" w:color="auto" w:fill="CCEEFF"/>
          </w:tcPr>
          <w:p>
            <w:pPr>
              <w:spacing w:after="0" w:line="98" w:lineRule="exact"/>
              <w:rPr>
                <w:sz w:val="20"/>
                <w:szCs w:val="20"/>
                <w:color w:val="auto"/>
              </w:rPr>
            </w:pPr>
            <w:r>
              <w:rPr>
                <w:rFonts w:ascii="Arial" w:cs="Arial" w:eastAsia="Arial" w:hAnsi="Arial"/>
                <w:sz w:val="9"/>
                <w:szCs w:val="9"/>
                <w:color w:val="auto"/>
              </w:rPr>
              <w:t>accrued</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560" w:type="dxa"/>
            <w:vAlign w:val="bottom"/>
            <w:shd w:val="clear" w:color="auto" w:fill="CCEEFF"/>
          </w:tcPr>
          <w:p>
            <w:pPr>
              <w:spacing w:after="0"/>
              <w:rPr>
                <w:sz w:val="8"/>
                <w:szCs w:val="8"/>
                <w:color w:val="auto"/>
              </w:rPr>
            </w:pPr>
          </w:p>
        </w:tc>
        <w:tc>
          <w:tcPr>
            <w:tcW w:w="120" w:type="dxa"/>
            <w:vAlign w:val="bottom"/>
            <w:shd w:val="clear" w:color="auto" w:fill="CCEEFF"/>
          </w:tcPr>
          <w:p>
            <w:pPr>
              <w:spacing w:after="0"/>
              <w:rPr>
                <w:sz w:val="8"/>
                <w:szCs w:val="8"/>
                <w:color w:val="auto"/>
              </w:rPr>
            </w:pPr>
          </w:p>
        </w:tc>
        <w:tc>
          <w:tcPr>
            <w:tcW w:w="560" w:type="dxa"/>
            <w:vAlign w:val="bottom"/>
            <w:tcBorders>
              <w:right w:val="single" w:sz="8" w:color="CCEEFF"/>
            </w:tcBorders>
            <w:shd w:val="clear" w:color="auto" w:fill="CCEEFF"/>
          </w:tcPr>
          <w:p>
            <w:pPr>
              <w:spacing w:after="0"/>
              <w:rPr>
                <w:sz w:val="8"/>
                <w:szCs w:val="8"/>
                <w:color w:val="auto"/>
              </w:rPr>
            </w:pPr>
          </w:p>
        </w:tc>
        <w:tc>
          <w:tcPr>
            <w:tcW w:w="0" w:type="dxa"/>
            <w:vAlign w:val="bottom"/>
          </w:tcPr>
          <w:p>
            <w:pPr>
              <w:spacing w:after="0"/>
              <w:rPr>
                <w:sz w:val="1"/>
                <w:szCs w:val="1"/>
                <w:color w:val="auto"/>
              </w:rPr>
            </w:pPr>
          </w:p>
        </w:tc>
      </w:tr>
      <w:tr>
        <w:trPr>
          <w:trHeight w:val="109"/>
        </w:trPr>
        <w:tc>
          <w:tcPr>
            <w:tcW w:w="20" w:type="dxa"/>
            <w:vAlign w:val="bottom"/>
          </w:tcPr>
          <w:p>
            <w:pPr>
              <w:spacing w:after="0"/>
              <w:rPr>
                <w:sz w:val="9"/>
                <w:szCs w:val="9"/>
                <w:color w:val="auto"/>
              </w:rPr>
            </w:pPr>
          </w:p>
        </w:tc>
        <w:tc>
          <w:tcPr>
            <w:tcW w:w="52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9"/>
                <w:szCs w:val="9"/>
                <w:color w:val="auto"/>
              </w:rPr>
              <w:t>dividend</w:t>
            </w:r>
          </w:p>
        </w:tc>
        <w:tc>
          <w:tcPr>
            <w:tcW w:w="400" w:type="dxa"/>
            <w:vAlign w:val="bottom"/>
            <w:tcBorders>
              <w:right w:val="single" w:sz="8" w:color="CCEEFF"/>
            </w:tcBorders>
            <w:shd w:val="clear" w:color="auto" w:fill="CCEEFF"/>
          </w:tcPr>
          <w:p>
            <w:pPr>
              <w:spacing w:after="0"/>
              <w:rPr>
                <w:sz w:val="9"/>
                <w:szCs w:val="9"/>
                <w:color w:val="auto"/>
              </w:rPr>
            </w:pPr>
          </w:p>
        </w:tc>
        <w:tc>
          <w:tcPr>
            <w:tcW w:w="540" w:type="dxa"/>
            <w:vAlign w:val="bottom"/>
            <w:tcBorders>
              <w:right w:val="single" w:sz="8" w:color="CCEEFF"/>
            </w:tcBorders>
            <w:shd w:val="clear" w:color="auto" w:fill="CCEEFF"/>
          </w:tcPr>
          <w:p>
            <w:pPr>
              <w:spacing w:after="0"/>
              <w:rPr>
                <w:sz w:val="9"/>
                <w:szCs w:val="9"/>
                <w:color w:val="auto"/>
              </w:rPr>
            </w:pPr>
          </w:p>
        </w:tc>
        <w:tc>
          <w:tcPr>
            <w:tcW w:w="38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500" w:type="dxa"/>
            <w:vAlign w:val="bottom"/>
            <w:tcBorders>
              <w:right w:val="single" w:sz="8" w:color="CCEEFF"/>
            </w:tcBorders>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400" w:type="dxa"/>
            <w:vAlign w:val="bottom"/>
            <w:shd w:val="clear" w:color="auto" w:fill="CCEEFF"/>
          </w:tcPr>
          <w:p>
            <w:pPr>
              <w:spacing w:after="0"/>
              <w:rPr>
                <w:sz w:val="9"/>
                <w:szCs w:val="9"/>
                <w:color w:val="auto"/>
              </w:rPr>
            </w:pPr>
          </w:p>
        </w:tc>
        <w:tc>
          <w:tcPr>
            <w:tcW w:w="120" w:type="dxa"/>
            <w:vAlign w:val="bottom"/>
            <w:tcBorders>
              <w:right w:val="single" w:sz="8" w:color="CCEEFF"/>
            </w:tcBorders>
            <w:shd w:val="clear" w:color="auto" w:fill="CCEEFF"/>
          </w:tcPr>
          <w:p>
            <w:pPr>
              <w:spacing w:after="0"/>
              <w:rPr>
                <w:sz w:val="9"/>
                <w:szCs w:val="9"/>
                <w:color w:val="auto"/>
              </w:rPr>
            </w:pPr>
          </w:p>
        </w:tc>
        <w:tc>
          <w:tcPr>
            <w:tcW w:w="440" w:type="dxa"/>
            <w:vAlign w:val="bottom"/>
            <w:tcBorders>
              <w:right w:val="single" w:sz="8" w:color="CCEEFF"/>
            </w:tcBorders>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520" w:type="dxa"/>
            <w:vAlign w:val="bottom"/>
            <w:tcBorders>
              <w:right w:val="single" w:sz="8" w:color="CCEEFF"/>
            </w:tcBorders>
            <w:gridSpan w:val="2"/>
            <w:shd w:val="clear" w:color="auto" w:fill="CCEEFF"/>
          </w:tcPr>
          <w:p>
            <w:pPr>
              <w:jc w:val="right"/>
              <w:ind w:right="120"/>
              <w:spacing w:after="0"/>
              <w:rPr>
                <w:sz w:val="20"/>
                <w:szCs w:val="20"/>
                <w:color w:val="auto"/>
              </w:rPr>
            </w:pPr>
            <w:r>
              <w:rPr>
                <w:rFonts w:ascii="Arial" w:cs="Arial" w:eastAsia="Arial" w:hAnsi="Arial"/>
                <w:sz w:val="9"/>
                <w:szCs w:val="9"/>
                <w:color w:val="auto"/>
              </w:rPr>
              <w:t>658,487</w:t>
            </w:r>
          </w:p>
        </w:tc>
        <w:tc>
          <w:tcPr>
            <w:tcW w:w="36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40" w:type="dxa"/>
            <w:vAlign w:val="bottom"/>
            <w:shd w:val="clear" w:color="auto" w:fill="CCEEFF"/>
          </w:tcPr>
          <w:p>
            <w:pPr>
              <w:spacing w:after="0"/>
              <w:rPr>
                <w:sz w:val="9"/>
                <w:szCs w:val="9"/>
                <w:color w:val="auto"/>
              </w:rPr>
            </w:pPr>
          </w:p>
        </w:tc>
        <w:tc>
          <w:tcPr>
            <w:tcW w:w="420" w:type="dxa"/>
            <w:vAlign w:val="bottom"/>
            <w:shd w:val="clear" w:color="auto" w:fill="CCEEFF"/>
          </w:tcPr>
          <w:p>
            <w:pPr>
              <w:spacing w:after="0"/>
              <w:rPr>
                <w:sz w:val="9"/>
                <w:szCs w:val="9"/>
                <w:color w:val="auto"/>
              </w:rPr>
            </w:pPr>
          </w:p>
        </w:tc>
        <w:tc>
          <w:tcPr>
            <w:tcW w:w="16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40" w:type="dxa"/>
            <w:vAlign w:val="bottom"/>
            <w:tcBorders>
              <w:right w:val="single" w:sz="8" w:color="CCEEFF"/>
            </w:tcBorders>
            <w:shd w:val="clear" w:color="auto" w:fill="CCEEFF"/>
          </w:tcPr>
          <w:p>
            <w:pPr>
              <w:spacing w:after="0"/>
              <w:rPr>
                <w:sz w:val="9"/>
                <w:szCs w:val="9"/>
                <w:color w:val="auto"/>
              </w:rPr>
            </w:pPr>
          </w:p>
        </w:tc>
        <w:tc>
          <w:tcPr>
            <w:tcW w:w="36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28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300" w:type="dxa"/>
            <w:vAlign w:val="bottom"/>
            <w:shd w:val="clear" w:color="auto" w:fill="CCEEFF"/>
          </w:tcPr>
          <w:p>
            <w:pPr>
              <w:spacing w:after="0"/>
              <w:rPr>
                <w:sz w:val="9"/>
                <w:szCs w:val="9"/>
                <w:color w:val="auto"/>
              </w:rPr>
            </w:pPr>
          </w:p>
        </w:tc>
        <w:tc>
          <w:tcPr>
            <w:tcW w:w="180" w:type="dxa"/>
            <w:vAlign w:val="bottom"/>
            <w:tcBorders>
              <w:left w:val="single" w:sz="8" w:color="CCEEFF"/>
              <w:right w:val="single" w:sz="8" w:color="CCEEFF"/>
            </w:tcBorders>
            <w:shd w:val="clear" w:color="auto" w:fill="CCEEFF"/>
          </w:tcPr>
          <w:p>
            <w:pPr>
              <w:spacing w:after="0"/>
              <w:rPr>
                <w:sz w:val="9"/>
                <w:szCs w:val="9"/>
                <w:color w:val="auto"/>
              </w:rPr>
            </w:pPr>
          </w:p>
        </w:tc>
        <w:tc>
          <w:tcPr>
            <w:tcW w:w="420" w:type="dxa"/>
            <w:vAlign w:val="bottom"/>
            <w:shd w:val="clear" w:color="auto" w:fill="CCEEFF"/>
          </w:tcPr>
          <w:p>
            <w:pPr>
              <w:spacing w:after="0"/>
              <w:rPr>
                <w:sz w:val="9"/>
                <w:szCs w:val="9"/>
                <w:color w:val="auto"/>
              </w:rPr>
            </w:pPr>
          </w:p>
        </w:tc>
        <w:tc>
          <w:tcPr>
            <w:tcW w:w="10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380" w:type="dxa"/>
            <w:vAlign w:val="bottom"/>
            <w:tcBorders>
              <w:right w:val="single" w:sz="8" w:color="CCEEFF"/>
            </w:tcBorders>
            <w:shd w:val="clear" w:color="auto" w:fill="CCEEFF"/>
          </w:tcPr>
          <w:p>
            <w:pPr>
              <w:spacing w:after="0"/>
              <w:rPr>
                <w:sz w:val="9"/>
                <w:szCs w:val="9"/>
                <w:color w:val="auto"/>
              </w:rPr>
            </w:pPr>
          </w:p>
        </w:tc>
        <w:tc>
          <w:tcPr>
            <w:tcW w:w="440" w:type="dxa"/>
            <w:vAlign w:val="bottom"/>
            <w:shd w:val="clear" w:color="auto" w:fill="CCEEFF"/>
          </w:tcPr>
          <w:p>
            <w:pPr>
              <w:spacing w:after="0"/>
              <w:rPr>
                <w:sz w:val="9"/>
                <w:szCs w:val="9"/>
                <w:color w:val="auto"/>
              </w:rPr>
            </w:pPr>
          </w:p>
        </w:tc>
        <w:tc>
          <w:tcPr>
            <w:tcW w:w="80" w:type="dxa"/>
            <w:vAlign w:val="bottom"/>
            <w:shd w:val="clear" w:color="auto" w:fill="CCEEFF"/>
          </w:tcPr>
          <w:p>
            <w:pPr>
              <w:spacing w:after="0"/>
              <w:rPr>
                <w:sz w:val="9"/>
                <w:szCs w:val="9"/>
                <w:color w:val="auto"/>
              </w:rPr>
            </w:pPr>
          </w:p>
        </w:tc>
        <w:tc>
          <w:tcPr>
            <w:tcW w:w="60" w:type="dxa"/>
            <w:vAlign w:val="bottom"/>
            <w:shd w:val="clear" w:color="auto" w:fill="CCEEFF"/>
          </w:tcPr>
          <w:p>
            <w:pPr>
              <w:spacing w:after="0"/>
              <w:rPr>
                <w:sz w:val="9"/>
                <w:szCs w:val="9"/>
                <w:color w:val="auto"/>
              </w:rPr>
            </w:pPr>
          </w:p>
        </w:tc>
        <w:tc>
          <w:tcPr>
            <w:tcW w:w="68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color w:val="auto"/>
              </w:rPr>
              <w:t>(658,487)</w:t>
            </w:r>
          </w:p>
        </w:tc>
        <w:tc>
          <w:tcPr>
            <w:tcW w:w="56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9"/>
                <w:szCs w:val="9"/>
                <w:color w:val="auto"/>
              </w:rPr>
              <w:t>(658,487)</w:t>
            </w:r>
          </w:p>
        </w:tc>
        <w:tc>
          <w:tcPr>
            <w:tcW w:w="0" w:type="dxa"/>
            <w:vAlign w:val="bottom"/>
          </w:tcPr>
          <w:p>
            <w:pPr>
              <w:spacing w:after="0"/>
              <w:rPr>
                <w:sz w:val="1"/>
                <w:szCs w:val="1"/>
                <w:color w:val="auto"/>
              </w:rPr>
            </w:pPr>
          </w:p>
        </w:tc>
      </w:tr>
      <w:tr>
        <w:trPr>
          <w:trHeight w:val="98"/>
        </w:trPr>
        <w:tc>
          <w:tcPr>
            <w:tcW w:w="540" w:type="dxa"/>
            <w:vAlign w:val="bottom"/>
            <w:gridSpan w:val="2"/>
          </w:tcPr>
          <w:p>
            <w:pPr>
              <w:spacing w:after="0"/>
              <w:rPr>
                <w:sz w:val="8"/>
                <w:szCs w:val="8"/>
                <w:color w:val="auto"/>
              </w:rPr>
            </w:pPr>
          </w:p>
        </w:tc>
        <w:tc>
          <w:tcPr>
            <w:tcW w:w="400" w:type="dxa"/>
            <w:vAlign w:val="bottom"/>
          </w:tcPr>
          <w:p>
            <w:pPr>
              <w:spacing w:after="0"/>
              <w:rPr>
                <w:sz w:val="8"/>
                <w:szCs w:val="8"/>
                <w:color w:val="auto"/>
              </w:rPr>
            </w:pPr>
          </w:p>
        </w:tc>
        <w:tc>
          <w:tcPr>
            <w:tcW w:w="540" w:type="dxa"/>
            <w:vAlign w:val="bottom"/>
          </w:tcPr>
          <w:p>
            <w:pPr>
              <w:spacing w:after="0"/>
              <w:rPr>
                <w:sz w:val="8"/>
                <w:szCs w:val="8"/>
                <w:color w:val="auto"/>
              </w:rPr>
            </w:pPr>
          </w:p>
        </w:tc>
        <w:tc>
          <w:tcPr>
            <w:tcW w:w="380" w:type="dxa"/>
            <w:vAlign w:val="bottom"/>
          </w:tcPr>
          <w:p>
            <w:pPr>
              <w:spacing w:after="0"/>
              <w:rPr>
                <w:sz w:val="8"/>
                <w:szCs w:val="8"/>
                <w:color w:val="auto"/>
              </w:rPr>
            </w:pPr>
          </w:p>
        </w:tc>
        <w:tc>
          <w:tcPr>
            <w:tcW w:w="80" w:type="dxa"/>
            <w:vAlign w:val="bottom"/>
          </w:tcPr>
          <w:p>
            <w:pPr>
              <w:spacing w:after="0"/>
              <w:rPr>
                <w:sz w:val="8"/>
                <w:szCs w:val="8"/>
                <w:color w:val="auto"/>
              </w:rPr>
            </w:pPr>
          </w:p>
        </w:tc>
        <w:tc>
          <w:tcPr>
            <w:tcW w:w="500" w:type="dxa"/>
            <w:vAlign w:val="bottom"/>
          </w:tcPr>
          <w:p>
            <w:pPr>
              <w:spacing w:after="0"/>
              <w:rPr>
                <w:sz w:val="8"/>
                <w:szCs w:val="8"/>
                <w:color w:val="auto"/>
              </w:rPr>
            </w:pPr>
          </w:p>
        </w:tc>
        <w:tc>
          <w:tcPr>
            <w:tcW w:w="40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440" w:type="dxa"/>
            <w:vAlign w:val="bottom"/>
          </w:tcPr>
          <w:p>
            <w:pPr>
              <w:spacing w:after="0"/>
              <w:rPr>
                <w:sz w:val="8"/>
                <w:szCs w:val="8"/>
                <w:color w:val="auto"/>
              </w:rPr>
            </w:pPr>
          </w:p>
        </w:tc>
        <w:tc>
          <w:tcPr>
            <w:tcW w:w="60" w:type="dxa"/>
            <w:vAlign w:val="bottom"/>
          </w:tcPr>
          <w:p>
            <w:pPr>
              <w:spacing w:after="0"/>
              <w:rPr>
                <w:sz w:val="8"/>
                <w:szCs w:val="8"/>
                <w:color w:val="auto"/>
              </w:rPr>
            </w:pPr>
          </w:p>
        </w:tc>
        <w:tc>
          <w:tcPr>
            <w:tcW w:w="400" w:type="dxa"/>
            <w:vAlign w:val="bottom"/>
          </w:tcPr>
          <w:p>
            <w:pPr>
              <w:spacing w:after="0"/>
              <w:rPr>
                <w:sz w:val="8"/>
                <w:szCs w:val="8"/>
                <w:color w:val="auto"/>
              </w:rPr>
            </w:pPr>
          </w:p>
        </w:tc>
        <w:tc>
          <w:tcPr>
            <w:tcW w:w="1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0" w:type="dxa"/>
            <w:vAlign w:val="bottom"/>
          </w:tcPr>
          <w:p>
            <w:pPr>
              <w:spacing w:after="0"/>
              <w:rPr>
                <w:sz w:val="8"/>
                <w:szCs w:val="8"/>
                <w:color w:val="auto"/>
              </w:rPr>
            </w:pPr>
          </w:p>
        </w:tc>
        <w:tc>
          <w:tcPr>
            <w:tcW w:w="420" w:type="dxa"/>
            <w:vAlign w:val="bottom"/>
          </w:tcPr>
          <w:p>
            <w:pPr>
              <w:spacing w:after="0"/>
              <w:rPr>
                <w:sz w:val="8"/>
                <w:szCs w:val="8"/>
                <w:color w:val="auto"/>
              </w:rPr>
            </w:pPr>
          </w:p>
        </w:tc>
        <w:tc>
          <w:tcPr>
            <w:tcW w:w="16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40" w:type="dxa"/>
            <w:vAlign w:val="bottom"/>
          </w:tcPr>
          <w:p>
            <w:pPr>
              <w:spacing w:after="0"/>
              <w:rPr>
                <w:sz w:val="8"/>
                <w:szCs w:val="8"/>
                <w:color w:val="auto"/>
              </w:rPr>
            </w:pPr>
          </w:p>
        </w:tc>
        <w:tc>
          <w:tcPr>
            <w:tcW w:w="140" w:type="dxa"/>
            <w:vAlign w:val="bottom"/>
          </w:tcPr>
          <w:p>
            <w:pPr>
              <w:spacing w:after="0"/>
              <w:rPr>
                <w:sz w:val="8"/>
                <w:szCs w:val="8"/>
                <w:color w:val="auto"/>
              </w:rPr>
            </w:pPr>
          </w:p>
        </w:tc>
        <w:tc>
          <w:tcPr>
            <w:tcW w:w="360" w:type="dxa"/>
            <w:vAlign w:val="bottom"/>
          </w:tcPr>
          <w:p>
            <w:pPr>
              <w:spacing w:after="0"/>
              <w:rPr>
                <w:sz w:val="8"/>
                <w:szCs w:val="8"/>
                <w:color w:val="auto"/>
              </w:rPr>
            </w:pPr>
          </w:p>
        </w:tc>
        <w:tc>
          <w:tcPr>
            <w:tcW w:w="100" w:type="dxa"/>
            <w:vAlign w:val="bottom"/>
          </w:tcPr>
          <w:p>
            <w:pPr>
              <w:spacing w:after="0"/>
              <w:rPr>
                <w:sz w:val="8"/>
                <w:szCs w:val="8"/>
                <w:color w:val="auto"/>
              </w:rPr>
            </w:pPr>
          </w:p>
        </w:tc>
        <w:tc>
          <w:tcPr>
            <w:tcW w:w="440" w:type="dxa"/>
            <w:vAlign w:val="bottom"/>
          </w:tcPr>
          <w:p>
            <w:pPr>
              <w:spacing w:after="0"/>
              <w:rPr>
                <w:sz w:val="8"/>
                <w:szCs w:val="8"/>
                <w:color w:val="auto"/>
              </w:rPr>
            </w:pPr>
          </w:p>
        </w:tc>
        <w:tc>
          <w:tcPr>
            <w:tcW w:w="100" w:type="dxa"/>
            <w:vAlign w:val="bottom"/>
          </w:tcPr>
          <w:p>
            <w:pPr>
              <w:spacing w:after="0"/>
              <w:rPr>
                <w:sz w:val="8"/>
                <w:szCs w:val="8"/>
                <w:color w:val="auto"/>
              </w:rPr>
            </w:pPr>
          </w:p>
        </w:tc>
        <w:tc>
          <w:tcPr>
            <w:tcW w:w="280" w:type="dxa"/>
            <w:vAlign w:val="bottom"/>
          </w:tcPr>
          <w:p>
            <w:pPr>
              <w:spacing w:after="0"/>
              <w:rPr>
                <w:sz w:val="8"/>
                <w:szCs w:val="8"/>
                <w:color w:val="auto"/>
              </w:rPr>
            </w:pPr>
          </w:p>
        </w:tc>
        <w:tc>
          <w:tcPr>
            <w:tcW w:w="100" w:type="dxa"/>
            <w:vAlign w:val="bottom"/>
          </w:tcPr>
          <w:p>
            <w:pPr>
              <w:spacing w:after="0"/>
              <w:rPr>
                <w:sz w:val="8"/>
                <w:szCs w:val="8"/>
                <w:color w:val="auto"/>
              </w:rPr>
            </w:pPr>
          </w:p>
        </w:tc>
        <w:tc>
          <w:tcPr>
            <w:tcW w:w="300" w:type="dxa"/>
            <w:vAlign w:val="bottom"/>
          </w:tcPr>
          <w:p>
            <w:pPr>
              <w:spacing w:after="0"/>
              <w:rPr>
                <w:sz w:val="8"/>
                <w:szCs w:val="8"/>
                <w:color w:val="auto"/>
              </w:rPr>
            </w:pPr>
          </w:p>
        </w:tc>
        <w:tc>
          <w:tcPr>
            <w:tcW w:w="180" w:type="dxa"/>
            <w:vAlign w:val="bottom"/>
          </w:tcPr>
          <w:p>
            <w:pPr>
              <w:spacing w:after="0"/>
              <w:rPr>
                <w:sz w:val="8"/>
                <w:szCs w:val="8"/>
                <w:color w:val="auto"/>
              </w:rPr>
            </w:pPr>
          </w:p>
        </w:tc>
        <w:tc>
          <w:tcPr>
            <w:tcW w:w="420" w:type="dxa"/>
            <w:vAlign w:val="bottom"/>
          </w:tcPr>
          <w:p>
            <w:pPr>
              <w:spacing w:after="0"/>
              <w:rPr>
                <w:sz w:val="8"/>
                <w:szCs w:val="8"/>
                <w:color w:val="auto"/>
              </w:rPr>
            </w:pPr>
          </w:p>
        </w:tc>
        <w:tc>
          <w:tcPr>
            <w:tcW w:w="1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0" w:type="dxa"/>
            <w:vAlign w:val="bottom"/>
          </w:tcPr>
          <w:p>
            <w:pPr>
              <w:spacing w:after="0"/>
              <w:rPr>
                <w:sz w:val="8"/>
                <w:szCs w:val="8"/>
                <w:color w:val="auto"/>
              </w:rPr>
            </w:pPr>
          </w:p>
        </w:tc>
        <w:tc>
          <w:tcPr>
            <w:tcW w:w="44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560" w:type="dxa"/>
            <w:vAlign w:val="bottom"/>
          </w:tcPr>
          <w:p>
            <w:pPr>
              <w:spacing w:after="0"/>
              <w:rPr>
                <w:sz w:val="8"/>
                <w:szCs w:val="8"/>
                <w:color w:val="auto"/>
              </w:rPr>
            </w:pPr>
          </w:p>
        </w:tc>
        <w:tc>
          <w:tcPr>
            <w:tcW w:w="120" w:type="dxa"/>
            <w:vAlign w:val="bottom"/>
          </w:tcPr>
          <w:p>
            <w:pPr>
              <w:spacing w:after="0"/>
              <w:rPr>
                <w:sz w:val="8"/>
                <w:szCs w:val="8"/>
                <w:color w:val="auto"/>
              </w:rPr>
            </w:pPr>
          </w:p>
        </w:tc>
        <w:tc>
          <w:tcPr>
            <w:tcW w:w="5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540" w:type="dxa"/>
            <w:vAlign w:val="bottom"/>
            <w:tcBorders>
              <w:right w:val="single" w:sz="8" w:color="CCEEFF"/>
            </w:tcBorders>
            <w:gridSpan w:val="2"/>
            <w:shd w:val="clear" w:color="auto" w:fill="CCEEFF"/>
          </w:tcPr>
          <w:p>
            <w:pPr>
              <w:spacing w:after="0" w:line="98" w:lineRule="exact"/>
              <w:rPr>
                <w:sz w:val="20"/>
                <w:szCs w:val="20"/>
                <w:color w:val="auto"/>
              </w:rPr>
            </w:pPr>
            <w:r>
              <w:rPr>
                <w:rFonts w:ascii="Arial" w:cs="Arial" w:eastAsia="Arial" w:hAnsi="Arial"/>
                <w:sz w:val="9"/>
                <w:szCs w:val="9"/>
                <w:color w:val="auto"/>
              </w:rPr>
              <w:t>Net loss</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680" w:type="dxa"/>
            <w:vAlign w:val="bottom"/>
            <w:gridSpan w:val="2"/>
            <w:shd w:val="clear" w:color="auto" w:fill="CCEEFF"/>
          </w:tcPr>
          <w:p>
            <w:pPr>
              <w:jc w:val="right"/>
              <w:ind w:right="80"/>
              <w:spacing w:after="0" w:line="98" w:lineRule="exact"/>
              <w:rPr>
                <w:sz w:val="20"/>
                <w:szCs w:val="20"/>
                <w:color w:val="auto"/>
              </w:rPr>
            </w:pPr>
            <w:r>
              <w:rPr>
                <w:rFonts w:ascii="Arial" w:cs="Arial" w:eastAsia="Arial" w:hAnsi="Arial"/>
                <w:sz w:val="9"/>
                <w:szCs w:val="9"/>
                <w:color w:val="auto"/>
              </w:rPr>
              <w:t>(19,340,542)</w:t>
            </w:r>
          </w:p>
        </w:tc>
        <w:tc>
          <w:tcPr>
            <w:tcW w:w="560" w:type="dxa"/>
            <w:vAlign w:val="bottom"/>
            <w:tcBorders>
              <w:right w:val="single" w:sz="8" w:color="CCEEFF"/>
            </w:tcBorders>
            <w:shd w:val="clear" w:color="auto" w:fill="CCEEFF"/>
          </w:tcPr>
          <w:p>
            <w:pPr>
              <w:jc w:val="right"/>
              <w:spacing w:after="0" w:line="98" w:lineRule="exact"/>
              <w:rPr>
                <w:sz w:val="20"/>
                <w:szCs w:val="20"/>
                <w:color w:val="auto"/>
              </w:rPr>
            </w:pPr>
            <w:r>
              <w:rPr>
                <w:rFonts w:ascii="Arial" w:cs="Arial" w:eastAsia="Arial" w:hAnsi="Arial"/>
                <w:sz w:val="9"/>
                <w:szCs w:val="9"/>
                <w:color w:val="auto"/>
              </w:rPr>
              <w:t>(19,340,542)</w:t>
            </w:r>
          </w:p>
        </w:tc>
        <w:tc>
          <w:tcPr>
            <w:tcW w:w="0" w:type="dxa"/>
            <w:vAlign w:val="bottom"/>
          </w:tcPr>
          <w:p>
            <w:pPr>
              <w:spacing w:after="0"/>
              <w:rPr>
                <w:sz w:val="1"/>
                <w:szCs w:val="1"/>
                <w:color w:val="auto"/>
              </w:rPr>
            </w:pPr>
          </w:p>
        </w:tc>
      </w:tr>
      <w:tr>
        <w:trPr>
          <w:trHeight w:val="88"/>
        </w:trPr>
        <w:tc>
          <w:tcPr>
            <w:tcW w:w="20" w:type="dxa"/>
            <w:vAlign w:val="bottom"/>
            <w:vMerge w:val="restart"/>
          </w:tcPr>
          <w:p>
            <w:pPr>
              <w:spacing w:after="0"/>
              <w:rPr>
                <w:sz w:val="7"/>
                <w:szCs w:val="7"/>
                <w:color w:val="auto"/>
              </w:rPr>
            </w:pPr>
          </w:p>
        </w:tc>
        <w:tc>
          <w:tcPr>
            <w:tcW w:w="520" w:type="dxa"/>
            <w:vAlign w:val="bottom"/>
          </w:tcPr>
          <w:p>
            <w:pPr>
              <w:spacing w:after="0"/>
              <w:rPr>
                <w:sz w:val="7"/>
                <w:szCs w:val="7"/>
                <w:color w:val="auto"/>
              </w:rPr>
            </w:pPr>
          </w:p>
        </w:tc>
        <w:tc>
          <w:tcPr>
            <w:tcW w:w="400" w:type="dxa"/>
            <w:vAlign w:val="bottom"/>
            <w:tcBorders>
              <w:top w:val="single" w:sz="8" w:color="auto"/>
            </w:tcBorders>
          </w:tcPr>
          <w:p>
            <w:pPr>
              <w:spacing w:after="0"/>
              <w:rPr>
                <w:sz w:val="7"/>
                <w:szCs w:val="7"/>
                <w:color w:val="auto"/>
              </w:rPr>
            </w:pPr>
          </w:p>
        </w:tc>
        <w:tc>
          <w:tcPr>
            <w:tcW w:w="540" w:type="dxa"/>
            <w:vAlign w:val="bottom"/>
            <w:tcBorders>
              <w:top w:val="single" w:sz="8" w:color="auto"/>
            </w:tcBorders>
          </w:tcPr>
          <w:p>
            <w:pPr>
              <w:spacing w:after="0"/>
              <w:rPr>
                <w:sz w:val="7"/>
                <w:szCs w:val="7"/>
                <w:color w:val="auto"/>
              </w:rPr>
            </w:pPr>
          </w:p>
        </w:tc>
        <w:tc>
          <w:tcPr>
            <w:tcW w:w="380" w:type="dxa"/>
            <w:vAlign w:val="bottom"/>
            <w:tcBorders>
              <w:top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500" w:type="dxa"/>
            <w:vAlign w:val="bottom"/>
            <w:tcBorders>
              <w:top w:val="single" w:sz="8" w:color="auto"/>
            </w:tcBorders>
          </w:tcPr>
          <w:p>
            <w:pPr>
              <w:spacing w:after="0"/>
              <w:rPr>
                <w:sz w:val="7"/>
                <w:szCs w:val="7"/>
                <w:color w:val="auto"/>
              </w:rPr>
            </w:pPr>
          </w:p>
        </w:tc>
        <w:tc>
          <w:tcPr>
            <w:tcW w:w="400" w:type="dxa"/>
            <w:vAlign w:val="bottom"/>
            <w:tcBorders>
              <w:top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60" w:type="dxa"/>
            <w:vAlign w:val="bottom"/>
            <w:tcBorders>
              <w:top w:val="single" w:sz="8" w:color="auto"/>
            </w:tcBorders>
          </w:tcPr>
          <w:p>
            <w:pPr>
              <w:spacing w:after="0"/>
              <w:rPr>
                <w:sz w:val="7"/>
                <w:szCs w:val="7"/>
                <w:color w:val="auto"/>
              </w:rPr>
            </w:pPr>
          </w:p>
        </w:tc>
        <w:tc>
          <w:tcPr>
            <w:tcW w:w="400" w:type="dxa"/>
            <w:vAlign w:val="bottom"/>
            <w:tcBorders>
              <w:top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440" w:type="dxa"/>
            <w:vAlign w:val="bottom"/>
            <w:tcBorders>
              <w:top w:val="single" w:sz="8" w:color="auto"/>
            </w:tcBorders>
          </w:tcPr>
          <w:p>
            <w:pPr>
              <w:spacing w:after="0"/>
              <w:rPr>
                <w:sz w:val="7"/>
                <w:szCs w:val="7"/>
                <w:color w:val="auto"/>
              </w:rPr>
            </w:pPr>
          </w:p>
        </w:tc>
        <w:tc>
          <w:tcPr>
            <w:tcW w:w="60" w:type="dxa"/>
            <w:vAlign w:val="bottom"/>
            <w:tcBorders>
              <w:top w:val="single" w:sz="8" w:color="auto"/>
            </w:tcBorders>
          </w:tcPr>
          <w:p>
            <w:pPr>
              <w:spacing w:after="0"/>
              <w:rPr>
                <w:sz w:val="7"/>
                <w:szCs w:val="7"/>
                <w:color w:val="auto"/>
              </w:rPr>
            </w:pPr>
          </w:p>
        </w:tc>
        <w:tc>
          <w:tcPr>
            <w:tcW w:w="400" w:type="dxa"/>
            <w:vAlign w:val="bottom"/>
            <w:tcBorders>
              <w:top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360" w:type="dxa"/>
            <w:vAlign w:val="bottom"/>
            <w:tcBorders>
              <w:top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40" w:type="dxa"/>
            <w:vAlign w:val="bottom"/>
            <w:tcBorders>
              <w:top w:val="single" w:sz="8" w:color="auto"/>
            </w:tcBorders>
          </w:tcPr>
          <w:p>
            <w:pPr>
              <w:spacing w:after="0"/>
              <w:rPr>
                <w:sz w:val="7"/>
                <w:szCs w:val="7"/>
                <w:color w:val="auto"/>
              </w:rPr>
            </w:pPr>
          </w:p>
        </w:tc>
        <w:tc>
          <w:tcPr>
            <w:tcW w:w="420" w:type="dxa"/>
            <w:vAlign w:val="bottom"/>
            <w:tcBorders>
              <w:top w:val="single" w:sz="8" w:color="auto"/>
            </w:tcBorders>
          </w:tcPr>
          <w:p>
            <w:pPr>
              <w:spacing w:after="0"/>
              <w:rPr>
                <w:sz w:val="7"/>
                <w:szCs w:val="7"/>
                <w:color w:val="auto"/>
              </w:rPr>
            </w:pPr>
          </w:p>
        </w:tc>
        <w:tc>
          <w:tcPr>
            <w:tcW w:w="160" w:type="dxa"/>
            <w:vAlign w:val="bottom"/>
          </w:tcPr>
          <w:p>
            <w:pPr>
              <w:spacing w:after="0"/>
              <w:rPr>
                <w:sz w:val="7"/>
                <w:szCs w:val="7"/>
                <w:color w:val="auto"/>
              </w:rPr>
            </w:pPr>
          </w:p>
        </w:tc>
        <w:tc>
          <w:tcPr>
            <w:tcW w:w="360" w:type="dxa"/>
            <w:vAlign w:val="bottom"/>
            <w:tcBorders>
              <w:top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440" w:type="dxa"/>
            <w:vAlign w:val="bottom"/>
            <w:tcBorders>
              <w:top w:val="single" w:sz="8" w:color="auto"/>
            </w:tcBorders>
          </w:tcPr>
          <w:p>
            <w:pPr>
              <w:spacing w:after="0"/>
              <w:rPr>
                <w:sz w:val="7"/>
                <w:szCs w:val="7"/>
                <w:color w:val="auto"/>
              </w:rPr>
            </w:pPr>
          </w:p>
        </w:tc>
        <w:tc>
          <w:tcPr>
            <w:tcW w:w="140" w:type="dxa"/>
            <w:vAlign w:val="bottom"/>
          </w:tcPr>
          <w:p>
            <w:pPr>
              <w:spacing w:after="0"/>
              <w:rPr>
                <w:sz w:val="7"/>
                <w:szCs w:val="7"/>
                <w:color w:val="auto"/>
              </w:rPr>
            </w:pPr>
          </w:p>
        </w:tc>
        <w:tc>
          <w:tcPr>
            <w:tcW w:w="360" w:type="dxa"/>
            <w:vAlign w:val="bottom"/>
            <w:tcBorders>
              <w:top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440" w:type="dxa"/>
            <w:vAlign w:val="bottom"/>
            <w:tcBorders>
              <w:top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280" w:type="dxa"/>
            <w:vAlign w:val="bottom"/>
            <w:tcBorders>
              <w:top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300" w:type="dxa"/>
            <w:vAlign w:val="bottom"/>
            <w:tcBorders>
              <w:top w:val="single" w:sz="8" w:color="auto"/>
            </w:tcBorders>
          </w:tcPr>
          <w:p>
            <w:pPr>
              <w:spacing w:after="0"/>
              <w:rPr>
                <w:sz w:val="7"/>
                <w:szCs w:val="7"/>
                <w:color w:val="auto"/>
              </w:rPr>
            </w:pPr>
          </w:p>
        </w:tc>
        <w:tc>
          <w:tcPr>
            <w:tcW w:w="180" w:type="dxa"/>
            <w:vAlign w:val="bottom"/>
          </w:tcPr>
          <w:p>
            <w:pPr>
              <w:spacing w:after="0"/>
              <w:rPr>
                <w:sz w:val="7"/>
                <w:szCs w:val="7"/>
                <w:color w:val="auto"/>
              </w:rPr>
            </w:pPr>
          </w:p>
        </w:tc>
        <w:tc>
          <w:tcPr>
            <w:tcW w:w="420" w:type="dxa"/>
            <w:vAlign w:val="bottom"/>
            <w:tcBorders>
              <w:top w:val="single" w:sz="8" w:color="auto"/>
            </w:tcBorders>
          </w:tcPr>
          <w:p>
            <w:pPr>
              <w:spacing w:after="0"/>
              <w:rPr>
                <w:sz w:val="7"/>
                <w:szCs w:val="7"/>
                <w:color w:val="auto"/>
              </w:rPr>
            </w:pPr>
          </w:p>
        </w:tc>
        <w:tc>
          <w:tcPr>
            <w:tcW w:w="100" w:type="dxa"/>
            <w:vAlign w:val="bottom"/>
          </w:tcPr>
          <w:p>
            <w:pPr>
              <w:spacing w:after="0"/>
              <w:rPr>
                <w:sz w:val="7"/>
                <w:szCs w:val="7"/>
                <w:color w:val="auto"/>
              </w:rPr>
            </w:pPr>
          </w:p>
        </w:tc>
        <w:tc>
          <w:tcPr>
            <w:tcW w:w="80" w:type="dxa"/>
            <w:vAlign w:val="bottom"/>
            <w:tcBorders>
              <w:top w:val="single" w:sz="8" w:color="auto"/>
            </w:tcBorders>
          </w:tcPr>
          <w:p>
            <w:pPr>
              <w:spacing w:after="0"/>
              <w:rPr>
                <w:sz w:val="7"/>
                <w:szCs w:val="7"/>
                <w:color w:val="auto"/>
              </w:rPr>
            </w:pPr>
          </w:p>
        </w:tc>
        <w:tc>
          <w:tcPr>
            <w:tcW w:w="380" w:type="dxa"/>
            <w:vAlign w:val="bottom"/>
            <w:tcBorders>
              <w:top w:val="single" w:sz="8" w:color="auto"/>
            </w:tcBorders>
          </w:tcPr>
          <w:p>
            <w:pPr>
              <w:spacing w:after="0"/>
              <w:rPr>
                <w:sz w:val="7"/>
                <w:szCs w:val="7"/>
                <w:color w:val="auto"/>
              </w:rPr>
            </w:pPr>
          </w:p>
        </w:tc>
        <w:tc>
          <w:tcPr>
            <w:tcW w:w="440" w:type="dxa"/>
            <w:vAlign w:val="bottom"/>
            <w:tcBorders>
              <w:top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60" w:type="dxa"/>
            <w:vAlign w:val="bottom"/>
            <w:tcBorders>
              <w:top w:val="single" w:sz="8" w:color="auto"/>
            </w:tcBorders>
          </w:tcPr>
          <w:p>
            <w:pPr>
              <w:spacing w:after="0"/>
              <w:rPr>
                <w:sz w:val="7"/>
                <w:szCs w:val="7"/>
                <w:color w:val="auto"/>
              </w:rPr>
            </w:pPr>
          </w:p>
        </w:tc>
        <w:tc>
          <w:tcPr>
            <w:tcW w:w="560" w:type="dxa"/>
            <w:vAlign w:val="bottom"/>
            <w:tcBorders>
              <w:top w:val="single" w:sz="8" w:color="auto"/>
            </w:tcBorders>
          </w:tcPr>
          <w:p>
            <w:pPr>
              <w:spacing w:after="0"/>
              <w:rPr>
                <w:sz w:val="7"/>
                <w:szCs w:val="7"/>
                <w:color w:val="auto"/>
              </w:rPr>
            </w:pPr>
          </w:p>
        </w:tc>
        <w:tc>
          <w:tcPr>
            <w:tcW w:w="120" w:type="dxa"/>
            <w:vAlign w:val="bottom"/>
          </w:tcPr>
          <w:p>
            <w:pPr>
              <w:spacing w:after="0"/>
              <w:rPr>
                <w:sz w:val="7"/>
                <w:szCs w:val="7"/>
                <w:color w:val="auto"/>
              </w:rPr>
            </w:pPr>
          </w:p>
        </w:tc>
        <w:tc>
          <w:tcPr>
            <w:tcW w:w="560" w:type="dxa"/>
            <w:vAlign w:val="bottom"/>
            <w:tcBorders>
              <w:top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85"/>
        </w:trPr>
        <w:tc>
          <w:tcPr>
            <w:tcW w:w="20" w:type="dxa"/>
            <w:vAlign w:val="bottom"/>
            <w:vMerge w:val="continue"/>
          </w:tcPr>
          <w:p>
            <w:pPr>
              <w:spacing w:after="0"/>
              <w:rPr>
                <w:sz w:val="7"/>
                <w:szCs w:val="7"/>
                <w:color w:val="auto"/>
              </w:rPr>
            </w:pPr>
          </w:p>
        </w:tc>
        <w:tc>
          <w:tcPr>
            <w:tcW w:w="520" w:type="dxa"/>
            <w:vAlign w:val="bottom"/>
            <w:tcBorders>
              <w:right w:val="single" w:sz="8" w:color="CCEEFF"/>
            </w:tcBorders>
            <w:shd w:val="clear" w:color="auto" w:fill="CCEEFF"/>
          </w:tcPr>
          <w:p>
            <w:pPr>
              <w:spacing w:after="0" w:line="85" w:lineRule="exact"/>
              <w:rPr>
                <w:sz w:val="20"/>
                <w:szCs w:val="20"/>
                <w:color w:val="auto"/>
              </w:rPr>
            </w:pPr>
            <w:r>
              <w:rPr>
                <w:rFonts w:ascii="Arial" w:cs="Arial" w:eastAsia="Arial" w:hAnsi="Arial"/>
                <w:sz w:val="9"/>
                <w:szCs w:val="9"/>
                <w:b w:val="1"/>
                <w:bCs w:val="1"/>
                <w:color w:val="auto"/>
              </w:rPr>
              <w:t>Balance -</w:t>
            </w:r>
          </w:p>
        </w:tc>
        <w:tc>
          <w:tcPr>
            <w:tcW w:w="400" w:type="dxa"/>
            <w:vAlign w:val="bottom"/>
            <w:tcBorders>
              <w:right w:val="single" w:sz="8" w:color="CCEEFF"/>
            </w:tcBorders>
            <w:shd w:val="clear" w:color="auto" w:fill="CCEEFF"/>
          </w:tcPr>
          <w:p>
            <w:pPr>
              <w:spacing w:after="0"/>
              <w:rPr>
                <w:sz w:val="7"/>
                <w:szCs w:val="7"/>
                <w:color w:val="auto"/>
              </w:rPr>
            </w:pPr>
          </w:p>
        </w:tc>
        <w:tc>
          <w:tcPr>
            <w:tcW w:w="540" w:type="dxa"/>
            <w:vAlign w:val="bottom"/>
            <w:tcBorders>
              <w:right w:val="single" w:sz="8" w:color="CCEEFF"/>
            </w:tcBorders>
            <w:shd w:val="clear" w:color="auto" w:fill="CCEEFF"/>
          </w:tcPr>
          <w:p>
            <w:pPr>
              <w:spacing w:after="0"/>
              <w:rPr>
                <w:sz w:val="7"/>
                <w:szCs w:val="7"/>
                <w:color w:val="auto"/>
              </w:rPr>
            </w:pPr>
          </w:p>
        </w:tc>
        <w:tc>
          <w:tcPr>
            <w:tcW w:w="38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500" w:type="dxa"/>
            <w:vAlign w:val="bottom"/>
            <w:tcBorders>
              <w:right w:val="single" w:sz="8" w:color="CCEEFF"/>
            </w:tcBorders>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440" w:type="dxa"/>
            <w:vAlign w:val="bottom"/>
            <w:tcBorders>
              <w:right w:val="single" w:sz="8" w:color="CCEEFF"/>
            </w:tcBorders>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400" w:type="dxa"/>
            <w:vAlign w:val="bottom"/>
            <w:shd w:val="clear" w:color="auto" w:fill="CCEEFF"/>
          </w:tcPr>
          <w:p>
            <w:pPr>
              <w:spacing w:after="0"/>
              <w:rPr>
                <w:sz w:val="7"/>
                <w:szCs w:val="7"/>
                <w:color w:val="auto"/>
              </w:rPr>
            </w:pPr>
          </w:p>
        </w:tc>
        <w:tc>
          <w:tcPr>
            <w:tcW w:w="12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0" w:type="dxa"/>
            <w:vAlign w:val="bottom"/>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6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40" w:type="dxa"/>
            <w:vAlign w:val="bottom"/>
            <w:tcBorders>
              <w:right w:val="single" w:sz="8" w:color="CCEEFF"/>
            </w:tcBorders>
            <w:shd w:val="clear" w:color="auto" w:fill="CCEEFF"/>
          </w:tcPr>
          <w:p>
            <w:pPr>
              <w:spacing w:after="0"/>
              <w:rPr>
                <w:sz w:val="7"/>
                <w:szCs w:val="7"/>
                <w:color w:val="auto"/>
              </w:rPr>
            </w:pPr>
          </w:p>
        </w:tc>
        <w:tc>
          <w:tcPr>
            <w:tcW w:w="36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28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300" w:type="dxa"/>
            <w:vAlign w:val="bottom"/>
            <w:shd w:val="clear" w:color="auto" w:fill="CCEEFF"/>
          </w:tcPr>
          <w:p>
            <w:pPr>
              <w:spacing w:after="0"/>
              <w:rPr>
                <w:sz w:val="7"/>
                <w:szCs w:val="7"/>
                <w:color w:val="auto"/>
              </w:rPr>
            </w:pPr>
          </w:p>
        </w:tc>
        <w:tc>
          <w:tcPr>
            <w:tcW w:w="180" w:type="dxa"/>
            <w:vAlign w:val="bottom"/>
            <w:tcBorders>
              <w:left w:val="single" w:sz="8" w:color="CCEEFF"/>
              <w:right w:val="single" w:sz="8" w:color="CCEEFF"/>
            </w:tcBorders>
            <w:shd w:val="clear" w:color="auto" w:fill="CCEEFF"/>
          </w:tcPr>
          <w:p>
            <w:pPr>
              <w:spacing w:after="0"/>
              <w:rPr>
                <w:sz w:val="7"/>
                <w:szCs w:val="7"/>
                <w:color w:val="auto"/>
              </w:rPr>
            </w:pPr>
          </w:p>
        </w:tc>
        <w:tc>
          <w:tcPr>
            <w:tcW w:w="420" w:type="dxa"/>
            <w:vAlign w:val="bottom"/>
            <w:shd w:val="clear" w:color="auto" w:fill="CCEEFF"/>
          </w:tcPr>
          <w:p>
            <w:pPr>
              <w:spacing w:after="0"/>
              <w:rPr>
                <w:sz w:val="7"/>
                <w:szCs w:val="7"/>
                <w:color w:val="auto"/>
              </w:rPr>
            </w:pPr>
          </w:p>
        </w:tc>
        <w:tc>
          <w:tcPr>
            <w:tcW w:w="10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380" w:type="dxa"/>
            <w:vAlign w:val="bottom"/>
            <w:tcBorders>
              <w:right w:val="single" w:sz="8" w:color="CCEEFF"/>
            </w:tcBorders>
            <w:shd w:val="clear" w:color="auto" w:fill="CCEEFF"/>
          </w:tcPr>
          <w:p>
            <w:pPr>
              <w:spacing w:after="0"/>
              <w:rPr>
                <w:sz w:val="7"/>
                <w:szCs w:val="7"/>
                <w:color w:val="auto"/>
              </w:rPr>
            </w:pPr>
          </w:p>
        </w:tc>
        <w:tc>
          <w:tcPr>
            <w:tcW w:w="440" w:type="dxa"/>
            <w:vAlign w:val="bottom"/>
            <w:shd w:val="clear" w:color="auto" w:fill="CCEEFF"/>
          </w:tcPr>
          <w:p>
            <w:pPr>
              <w:spacing w:after="0"/>
              <w:rPr>
                <w:sz w:val="7"/>
                <w:szCs w:val="7"/>
                <w:color w:val="auto"/>
              </w:rPr>
            </w:pPr>
          </w:p>
        </w:tc>
        <w:tc>
          <w:tcPr>
            <w:tcW w:w="80" w:type="dxa"/>
            <w:vAlign w:val="bottom"/>
            <w:shd w:val="clear" w:color="auto" w:fill="CCEEFF"/>
          </w:tcPr>
          <w:p>
            <w:pPr>
              <w:spacing w:after="0"/>
              <w:rPr>
                <w:sz w:val="7"/>
                <w:szCs w:val="7"/>
                <w:color w:val="auto"/>
              </w:rPr>
            </w:pPr>
          </w:p>
        </w:tc>
        <w:tc>
          <w:tcPr>
            <w:tcW w:w="60" w:type="dxa"/>
            <w:vAlign w:val="bottom"/>
            <w:shd w:val="clear" w:color="auto" w:fill="CCEEFF"/>
          </w:tcPr>
          <w:p>
            <w:pPr>
              <w:spacing w:after="0"/>
              <w:rPr>
                <w:sz w:val="7"/>
                <w:szCs w:val="7"/>
                <w:color w:val="auto"/>
              </w:rPr>
            </w:pPr>
          </w:p>
        </w:tc>
        <w:tc>
          <w:tcPr>
            <w:tcW w:w="560" w:type="dxa"/>
            <w:vAlign w:val="bottom"/>
            <w:shd w:val="clear" w:color="auto" w:fill="CCEEFF"/>
          </w:tcPr>
          <w:p>
            <w:pPr>
              <w:spacing w:after="0"/>
              <w:rPr>
                <w:sz w:val="7"/>
                <w:szCs w:val="7"/>
                <w:color w:val="auto"/>
              </w:rPr>
            </w:pPr>
          </w:p>
        </w:tc>
        <w:tc>
          <w:tcPr>
            <w:tcW w:w="120" w:type="dxa"/>
            <w:vAlign w:val="bottom"/>
            <w:shd w:val="clear" w:color="auto" w:fill="CCEEFF"/>
          </w:tcPr>
          <w:p>
            <w:pPr>
              <w:spacing w:after="0"/>
              <w:rPr>
                <w:sz w:val="7"/>
                <w:szCs w:val="7"/>
                <w:color w:val="auto"/>
              </w:rPr>
            </w:pPr>
          </w:p>
        </w:tc>
        <w:tc>
          <w:tcPr>
            <w:tcW w:w="560" w:type="dxa"/>
            <w:vAlign w:val="bottom"/>
            <w:tcBorders>
              <w:right w:val="single" w:sz="8" w:color="CCEEFF"/>
            </w:tcBorders>
            <w:shd w:val="clear" w:color="auto" w:fill="CCEEFF"/>
          </w:tcPr>
          <w:p>
            <w:pPr>
              <w:spacing w:after="0"/>
              <w:rPr>
                <w:sz w:val="7"/>
                <w:szCs w:val="7"/>
                <w:color w:val="auto"/>
              </w:rPr>
            </w:pPr>
          </w:p>
        </w:tc>
        <w:tc>
          <w:tcPr>
            <w:tcW w:w="0" w:type="dxa"/>
            <w:vAlign w:val="bottom"/>
          </w:tcPr>
          <w:p>
            <w:pPr>
              <w:spacing w:after="0"/>
              <w:rPr>
                <w:sz w:val="1"/>
                <w:szCs w:val="1"/>
                <w:color w:val="auto"/>
              </w:rPr>
            </w:pPr>
          </w:p>
        </w:tc>
      </w:tr>
      <w:tr>
        <w:trPr>
          <w:trHeight w:val="98"/>
        </w:trPr>
        <w:tc>
          <w:tcPr>
            <w:tcW w:w="20" w:type="dxa"/>
            <w:vAlign w:val="bottom"/>
          </w:tcPr>
          <w:p>
            <w:pPr>
              <w:spacing w:after="0"/>
              <w:rPr>
                <w:sz w:val="8"/>
                <w:szCs w:val="8"/>
                <w:color w:val="auto"/>
              </w:rPr>
            </w:pPr>
          </w:p>
        </w:tc>
        <w:tc>
          <w:tcPr>
            <w:tcW w:w="520" w:type="dxa"/>
            <w:vAlign w:val="bottom"/>
            <w:tcBorders>
              <w:righ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rPr>
              <w:t>December</w:t>
            </w:r>
          </w:p>
        </w:tc>
        <w:tc>
          <w:tcPr>
            <w:tcW w:w="400" w:type="dxa"/>
            <w:vAlign w:val="bottom"/>
            <w:tcBorders>
              <w:right w:val="single" w:sz="8" w:color="CCEEFF"/>
            </w:tcBorders>
            <w:shd w:val="clear" w:color="auto" w:fill="CCEEFF"/>
          </w:tcPr>
          <w:p>
            <w:pPr>
              <w:spacing w:after="0"/>
              <w:rPr>
                <w:sz w:val="8"/>
                <w:szCs w:val="8"/>
                <w:color w:val="auto"/>
              </w:rPr>
            </w:pPr>
          </w:p>
        </w:tc>
        <w:tc>
          <w:tcPr>
            <w:tcW w:w="54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500" w:type="dxa"/>
            <w:vAlign w:val="bottom"/>
            <w:tcBorders>
              <w:right w:val="single" w:sz="8" w:color="CCEEFF"/>
            </w:tcBorders>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400" w:type="dxa"/>
            <w:vAlign w:val="bottom"/>
            <w:shd w:val="clear" w:color="auto" w:fill="CCEEFF"/>
          </w:tcPr>
          <w:p>
            <w:pPr>
              <w:spacing w:after="0"/>
              <w:rPr>
                <w:sz w:val="8"/>
                <w:szCs w:val="8"/>
                <w:color w:val="auto"/>
              </w:rPr>
            </w:pPr>
          </w:p>
        </w:tc>
        <w:tc>
          <w:tcPr>
            <w:tcW w:w="12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6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4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300" w:type="dxa"/>
            <w:vAlign w:val="bottom"/>
            <w:shd w:val="clear" w:color="auto" w:fill="CCEEFF"/>
          </w:tcPr>
          <w:p>
            <w:pPr>
              <w:spacing w:after="0"/>
              <w:rPr>
                <w:sz w:val="8"/>
                <w:szCs w:val="8"/>
                <w:color w:val="auto"/>
              </w:rPr>
            </w:pPr>
          </w:p>
        </w:tc>
        <w:tc>
          <w:tcPr>
            <w:tcW w:w="180" w:type="dxa"/>
            <w:vAlign w:val="bottom"/>
            <w:tcBorders>
              <w:left w:val="single" w:sz="8" w:color="CCEEFF"/>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10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shd w:val="clear" w:color="auto" w:fill="CCEEFF"/>
          </w:tcPr>
          <w:p>
            <w:pPr>
              <w:spacing w:after="0"/>
              <w:rPr>
                <w:sz w:val="8"/>
                <w:szCs w:val="8"/>
                <w:color w:val="auto"/>
              </w:rPr>
            </w:pPr>
          </w:p>
        </w:tc>
        <w:tc>
          <w:tcPr>
            <w:tcW w:w="560" w:type="dxa"/>
            <w:vAlign w:val="bottom"/>
            <w:shd w:val="clear" w:color="auto" w:fill="CCEEFF"/>
          </w:tcPr>
          <w:p>
            <w:pPr>
              <w:spacing w:after="0"/>
              <w:rPr>
                <w:sz w:val="8"/>
                <w:szCs w:val="8"/>
                <w:color w:val="auto"/>
              </w:rPr>
            </w:pPr>
          </w:p>
        </w:tc>
        <w:tc>
          <w:tcPr>
            <w:tcW w:w="120" w:type="dxa"/>
            <w:vAlign w:val="bottom"/>
            <w:shd w:val="clear" w:color="auto" w:fill="CCEEFF"/>
          </w:tcPr>
          <w:p>
            <w:pPr>
              <w:spacing w:after="0"/>
              <w:rPr>
                <w:sz w:val="8"/>
                <w:szCs w:val="8"/>
                <w:color w:val="auto"/>
              </w:rPr>
            </w:pPr>
          </w:p>
        </w:tc>
        <w:tc>
          <w:tcPr>
            <w:tcW w:w="560" w:type="dxa"/>
            <w:vAlign w:val="bottom"/>
            <w:tcBorders>
              <w:right w:val="single" w:sz="8" w:color="CCEEFF"/>
            </w:tcBorders>
            <w:shd w:val="clear" w:color="auto" w:fill="CCEEFF"/>
          </w:tcPr>
          <w:p>
            <w:pPr>
              <w:spacing w:after="0"/>
              <w:rPr>
                <w:sz w:val="8"/>
                <w:szCs w:val="8"/>
                <w:color w:val="auto"/>
              </w:rPr>
            </w:pPr>
          </w:p>
        </w:tc>
        <w:tc>
          <w:tcPr>
            <w:tcW w:w="0" w:type="dxa"/>
            <w:vAlign w:val="bottom"/>
          </w:tcPr>
          <w:p>
            <w:pPr>
              <w:spacing w:after="0"/>
              <w:rPr>
                <w:sz w:val="1"/>
                <w:szCs w:val="1"/>
                <w:color w:val="auto"/>
              </w:rPr>
            </w:pPr>
          </w:p>
        </w:tc>
      </w:tr>
      <w:tr>
        <w:trPr>
          <w:trHeight w:val="130"/>
        </w:trPr>
        <w:tc>
          <w:tcPr>
            <w:tcW w:w="20" w:type="dxa"/>
            <w:vAlign w:val="bottom"/>
          </w:tcPr>
          <w:p>
            <w:pPr>
              <w:spacing w:after="0"/>
              <w:rPr>
                <w:sz w:val="11"/>
                <w:szCs w:val="11"/>
                <w:color w:val="auto"/>
              </w:rPr>
            </w:pPr>
          </w:p>
        </w:tc>
        <w:tc>
          <w:tcPr>
            <w:tcW w:w="52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9"/>
                <w:szCs w:val="9"/>
                <w:b w:val="1"/>
                <w:bCs w:val="1"/>
                <w:color w:val="auto"/>
              </w:rPr>
              <w:t>31, 2020</w:t>
            </w:r>
          </w:p>
        </w:tc>
        <w:tc>
          <w:tcPr>
            <w:tcW w:w="4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9"/>
                <w:szCs w:val="9"/>
                <w:b w:val="1"/>
                <w:bCs w:val="1"/>
                <w:color w:val="auto"/>
                <w:w w:val="84"/>
              </w:rPr>
              <w:t>5,339,215</w:t>
            </w:r>
          </w:p>
        </w:tc>
        <w:tc>
          <w:tcPr>
            <w:tcW w:w="540" w:type="dxa"/>
            <w:vAlign w:val="bottom"/>
            <w:tcBorders>
              <w:right w:val="single" w:sz="8" w:color="CCEEFF"/>
            </w:tcBorders>
            <w:shd w:val="clear" w:color="auto" w:fill="CCEEFF"/>
          </w:tcPr>
          <w:p>
            <w:pPr>
              <w:jc w:val="right"/>
              <w:ind w:right="34"/>
              <w:spacing w:after="0"/>
              <w:rPr>
                <w:sz w:val="20"/>
                <w:szCs w:val="20"/>
                <w:color w:val="auto"/>
              </w:rPr>
            </w:pPr>
            <w:r>
              <w:rPr>
                <w:rFonts w:ascii="Arial" w:cs="Arial" w:eastAsia="Arial" w:hAnsi="Arial"/>
                <w:sz w:val="9"/>
                <w:szCs w:val="9"/>
                <w:b w:val="1"/>
                <w:bCs w:val="1"/>
                <w:color w:val="auto"/>
                <w:w w:val="83"/>
              </w:rPr>
              <w:t>$ 13,865,715</w:t>
            </w:r>
          </w:p>
        </w:tc>
        <w:tc>
          <w:tcPr>
            <w:tcW w:w="46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b w:val="1"/>
                <w:bCs w:val="1"/>
                <w:color w:val="auto"/>
                <w:w w:val="89"/>
              </w:rPr>
              <w:t>1,660,756</w:t>
            </w:r>
          </w:p>
        </w:tc>
        <w:tc>
          <w:tcPr>
            <w:tcW w:w="500" w:type="dxa"/>
            <w:vAlign w:val="bottom"/>
            <w:tcBorders>
              <w:right w:val="single" w:sz="8" w:color="CCEEFF"/>
            </w:tcBorders>
            <w:shd w:val="clear" w:color="auto" w:fill="CCEEFF"/>
          </w:tcPr>
          <w:p>
            <w:pPr>
              <w:jc w:val="right"/>
              <w:ind w:right="34"/>
              <w:spacing w:after="0"/>
              <w:rPr>
                <w:sz w:val="20"/>
                <w:szCs w:val="20"/>
                <w:color w:val="auto"/>
              </w:rPr>
            </w:pPr>
            <w:r>
              <w:rPr>
                <w:rFonts w:ascii="Arial" w:cs="Arial" w:eastAsia="Arial" w:hAnsi="Arial"/>
                <w:sz w:val="9"/>
                <w:szCs w:val="9"/>
                <w:b w:val="1"/>
                <w:bCs w:val="1"/>
                <w:color w:val="auto"/>
                <w:w w:val="84"/>
              </w:rPr>
              <w:t>$ 4,982,268</w:t>
            </w:r>
          </w:p>
        </w:tc>
        <w:tc>
          <w:tcPr>
            <w:tcW w:w="48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b w:val="1"/>
                <w:bCs w:val="1"/>
                <w:color w:val="auto"/>
              </w:rPr>
              <w:t>16,757</w:t>
            </w:r>
          </w:p>
        </w:tc>
        <w:tc>
          <w:tcPr>
            <w:tcW w:w="60" w:type="dxa"/>
            <w:vAlign w:val="bottom"/>
            <w:shd w:val="clear" w:color="auto" w:fill="CCEEFF"/>
          </w:tcPr>
          <w:p>
            <w:pPr>
              <w:jc w:val="right"/>
              <w:spacing w:after="0"/>
              <w:rPr>
                <w:sz w:val="20"/>
                <w:szCs w:val="20"/>
                <w:color w:val="auto"/>
              </w:rPr>
            </w:pPr>
            <w:r>
              <w:rPr>
                <w:rFonts w:ascii="Arial" w:cs="Arial" w:eastAsia="Arial" w:hAnsi="Arial"/>
                <w:sz w:val="5"/>
                <w:szCs w:val="5"/>
                <w:b w:val="1"/>
                <w:bCs w:val="1"/>
                <w:color w:val="auto"/>
                <w:w w:val="70"/>
              </w:rPr>
              <w:t>$</w:t>
            </w:r>
          </w:p>
        </w:tc>
        <w:tc>
          <w:tcPr>
            <w:tcW w:w="520" w:type="dxa"/>
            <w:vAlign w:val="bottom"/>
            <w:tcBorders>
              <w:right w:val="single" w:sz="8" w:color="CCEEFF"/>
            </w:tcBorders>
            <w:gridSpan w:val="2"/>
            <w:shd w:val="clear" w:color="auto" w:fill="CCEEFF"/>
          </w:tcPr>
          <w:p>
            <w:pPr>
              <w:jc w:val="right"/>
              <w:ind w:right="120"/>
              <w:spacing w:after="0"/>
              <w:rPr>
                <w:sz w:val="20"/>
                <w:szCs w:val="20"/>
                <w:color w:val="auto"/>
              </w:rPr>
            </w:pPr>
            <w:r>
              <w:rPr>
                <w:rFonts w:ascii="Arial" w:cs="Arial" w:eastAsia="Arial" w:hAnsi="Arial"/>
                <w:sz w:val="9"/>
                <w:szCs w:val="9"/>
                <w:b w:val="1"/>
                <w:bCs w:val="1"/>
                <w:color w:val="auto"/>
              </w:rPr>
              <w:t>45,945</w:t>
            </w:r>
          </w:p>
        </w:tc>
        <w:tc>
          <w:tcPr>
            <w:tcW w:w="440" w:type="dxa"/>
            <w:vAlign w:val="bottom"/>
            <w:tcBorders>
              <w:right w:val="single" w:sz="8" w:color="CCEEFF"/>
            </w:tcBorders>
            <w:shd w:val="clear" w:color="auto" w:fill="CCEEFF"/>
          </w:tcPr>
          <w:p>
            <w:pPr>
              <w:jc w:val="right"/>
              <w:ind w:right="34"/>
              <w:spacing w:after="0"/>
              <w:rPr>
                <w:sz w:val="20"/>
                <w:szCs w:val="20"/>
                <w:color w:val="auto"/>
              </w:rPr>
            </w:pPr>
            <w:r>
              <w:rPr>
                <w:rFonts w:ascii="Arial" w:cs="Arial" w:eastAsia="Arial" w:hAnsi="Arial"/>
                <w:sz w:val="9"/>
                <w:szCs w:val="9"/>
                <w:b w:val="1"/>
                <w:bCs w:val="1"/>
                <w:color w:val="auto"/>
                <w:w w:val="84"/>
              </w:rPr>
              <w:t>1,432,786</w:t>
            </w:r>
          </w:p>
        </w:tc>
        <w:tc>
          <w:tcPr>
            <w:tcW w:w="60" w:type="dxa"/>
            <w:vAlign w:val="bottom"/>
            <w:shd w:val="clear" w:color="auto" w:fill="CCEEFF"/>
          </w:tcPr>
          <w:p>
            <w:pPr>
              <w:jc w:val="right"/>
              <w:spacing w:after="0"/>
              <w:rPr>
                <w:sz w:val="20"/>
                <w:szCs w:val="20"/>
                <w:color w:val="auto"/>
              </w:rPr>
            </w:pPr>
            <w:r>
              <w:rPr>
                <w:rFonts w:ascii="Arial" w:cs="Arial" w:eastAsia="Arial" w:hAnsi="Arial"/>
                <w:sz w:val="5"/>
                <w:szCs w:val="5"/>
                <w:b w:val="1"/>
                <w:bCs w:val="1"/>
                <w:color w:val="auto"/>
                <w:w w:val="70"/>
              </w:rPr>
              <w:t>$</w:t>
            </w:r>
          </w:p>
        </w:tc>
        <w:tc>
          <w:tcPr>
            <w:tcW w:w="520" w:type="dxa"/>
            <w:vAlign w:val="bottom"/>
            <w:tcBorders>
              <w:right w:val="single" w:sz="8" w:color="CCEEFF"/>
            </w:tcBorders>
            <w:gridSpan w:val="2"/>
            <w:shd w:val="clear" w:color="auto" w:fill="CCEEFF"/>
          </w:tcPr>
          <w:p>
            <w:pPr>
              <w:jc w:val="right"/>
              <w:ind w:right="120"/>
              <w:spacing w:after="0"/>
              <w:rPr>
                <w:sz w:val="20"/>
                <w:szCs w:val="20"/>
                <w:color w:val="auto"/>
              </w:rPr>
            </w:pPr>
            <w:r>
              <w:rPr>
                <w:rFonts w:ascii="Arial" w:cs="Arial" w:eastAsia="Arial" w:hAnsi="Arial"/>
                <w:sz w:val="9"/>
                <w:szCs w:val="9"/>
                <w:b w:val="1"/>
                <w:bCs w:val="1"/>
                <w:color w:val="auto"/>
                <w:w w:val="94"/>
              </w:rPr>
              <w:t>5,825,889</w:t>
            </w:r>
          </w:p>
        </w:tc>
        <w:tc>
          <w:tcPr>
            <w:tcW w:w="460" w:type="dxa"/>
            <w:vAlign w:val="bottom"/>
            <w:gridSpan w:val="2"/>
            <w:shd w:val="clear" w:color="auto" w:fill="CCEEFF"/>
          </w:tcPr>
          <w:p>
            <w:pPr>
              <w:jc w:val="right"/>
              <w:ind w:right="100"/>
              <w:spacing w:after="0"/>
              <w:rPr>
                <w:sz w:val="20"/>
                <w:szCs w:val="20"/>
                <w:color w:val="auto"/>
              </w:rPr>
            </w:pPr>
            <w:r>
              <w:rPr>
                <w:rFonts w:ascii="Arial" w:cs="Arial" w:eastAsia="Arial" w:hAnsi="Arial"/>
                <w:sz w:val="9"/>
                <w:szCs w:val="9"/>
                <w:b w:val="1"/>
                <w:bCs w:val="1"/>
                <w:color w:val="auto"/>
                <w:w w:val="84"/>
              </w:rPr>
              <w:t>3,731,248</w:t>
            </w:r>
          </w:p>
        </w:tc>
        <w:tc>
          <w:tcPr>
            <w:tcW w:w="40" w:type="dxa"/>
            <w:vAlign w:val="bottom"/>
            <w:shd w:val="clear" w:color="auto" w:fill="CCEEFF"/>
          </w:tcPr>
          <w:p>
            <w:pPr>
              <w:jc w:val="right"/>
              <w:spacing w:after="0"/>
              <w:rPr>
                <w:sz w:val="20"/>
                <w:szCs w:val="20"/>
                <w:color w:val="auto"/>
              </w:rPr>
            </w:pPr>
            <w:r>
              <w:rPr>
                <w:rFonts w:ascii="Arial" w:cs="Arial" w:eastAsia="Arial" w:hAnsi="Arial"/>
                <w:sz w:val="5"/>
                <w:szCs w:val="5"/>
                <w:b w:val="1"/>
                <w:bCs w:val="1"/>
                <w:color w:val="auto"/>
                <w:w w:val="70"/>
              </w:rPr>
              <w:t>$</w:t>
            </w:r>
          </w:p>
        </w:tc>
        <w:tc>
          <w:tcPr>
            <w:tcW w:w="580" w:type="dxa"/>
            <w:vAlign w:val="bottom"/>
            <w:tcBorders>
              <w:right w:val="single" w:sz="8" w:color="CCEEFF"/>
            </w:tcBorders>
            <w:gridSpan w:val="2"/>
            <w:shd w:val="clear" w:color="auto" w:fill="CCEEFF"/>
          </w:tcPr>
          <w:p>
            <w:pPr>
              <w:jc w:val="right"/>
              <w:ind w:right="160"/>
              <w:spacing w:after="0"/>
              <w:rPr>
                <w:sz w:val="20"/>
                <w:szCs w:val="20"/>
                <w:color w:val="auto"/>
              </w:rPr>
            </w:pPr>
            <w:r>
              <w:rPr>
                <w:rFonts w:ascii="Arial" w:cs="Arial" w:eastAsia="Arial" w:hAnsi="Arial"/>
                <w:sz w:val="9"/>
                <w:szCs w:val="9"/>
                <w:b w:val="1"/>
                <w:bCs w:val="1"/>
                <w:color w:val="auto"/>
                <w:w w:val="88"/>
              </w:rPr>
              <w:t>27,134,832</w:t>
            </w:r>
          </w:p>
        </w:tc>
        <w:tc>
          <w:tcPr>
            <w:tcW w:w="44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b w:val="1"/>
                <w:bCs w:val="1"/>
                <w:color w:val="auto"/>
                <w:w w:val="84"/>
              </w:rPr>
              <w:t>8,936,015</w:t>
            </w:r>
          </w:p>
        </w:tc>
        <w:tc>
          <w:tcPr>
            <w:tcW w:w="580" w:type="dxa"/>
            <w:vAlign w:val="bottom"/>
            <w:tcBorders>
              <w:right w:val="single" w:sz="8" w:color="CCEEFF"/>
            </w:tcBorders>
            <w:gridSpan w:val="2"/>
            <w:shd w:val="clear" w:color="auto" w:fill="CCEEFF"/>
          </w:tcPr>
          <w:p>
            <w:pPr>
              <w:jc w:val="right"/>
              <w:ind w:right="140"/>
              <w:spacing w:after="0"/>
              <w:rPr>
                <w:sz w:val="20"/>
                <w:szCs w:val="20"/>
                <w:color w:val="auto"/>
              </w:rPr>
            </w:pPr>
            <w:r>
              <w:rPr>
                <w:rFonts w:ascii="Arial" w:cs="Arial" w:eastAsia="Arial" w:hAnsi="Arial"/>
                <w:sz w:val="9"/>
                <w:szCs w:val="9"/>
                <w:b w:val="1"/>
                <w:bCs w:val="1"/>
                <w:color w:val="auto"/>
                <w:w w:val="88"/>
              </w:rPr>
              <w:t>$ 3,865,155</w:t>
            </w:r>
          </w:p>
        </w:tc>
        <w:tc>
          <w:tcPr>
            <w:tcW w:w="360" w:type="dxa"/>
            <w:vAlign w:val="bottom"/>
            <w:shd w:val="clear" w:color="auto" w:fill="CCEEFF"/>
          </w:tcPr>
          <w:p>
            <w:pPr>
              <w:jc w:val="right"/>
              <w:spacing w:after="0"/>
              <w:rPr>
                <w:sz w:val="20"/>
                <w:szCs w:val="20"/>
                <w:color w:val="auto"/>
              </w:rPr>
            </w:pPr>
            <w:r>
              <w:rPr>
                <w:rFonts w:ascii="Arial" w:cs="Arial" w:eastAsia="Arial" w:hAnsi="Arial"/>
                <w:sz w:val="9"/>
                <w:szCs w:val="9"/>
                <w:b w:val="1"/>
                <w:bCs w:val="1"/>
                <w:color w:val="auto"/>
                <w:w w:val="84"/>
              </w:rPr>
              <w:t>4,653,583</w:t>
            </w:r>
          </w:p>
        </w:tc>
        <w:tc>
          <w:tcPr>
            <w:tcW w:w="100" w:type="dxa"/>
            <w:vAlign w:val="bottom"/>
            <w:shd w:val="clear" w:color="auto" w:fill="CCEEFF"/>
          </w:tcPr>
          <w:p>
            <w:pPr>
              <w:spacing w:after="0"/>
              <w:rPr>
                <w:sz w:val="11"/>
                <w:szCs w:val="11"/>
                <w:color w:val="auto"/>
              </w:rPr>
            </w:pPr>
          </w:p>
        </w:tc>
        <w:tc>
          <w:tcPr>
            <w:tcW w:w="540" w:type="dxa"/>
            <w:vAlign w:val="bottom"/>
            <w:gridSpan w:val="2"/>
            <w:shd w:val="clear" w:color="auto" w:fill="CCEEFF"/>
          </w:tcPr>
          <w:p>
            <w:pPr>
              <w:jc w:val="right"/>
              <w:ind w:right="100"/>
              <w:spacing w:after="0"/>
              <w:rPr>
                <w:sz w:val="20"/>
                <w:szCs w:val="20"/>
                <w:color w:val="auto"/>
              </w:rPr>
            </w:pPr>
            <w:r>
              <w:rPr>
                <w:rFonts w:ascii="Arial" w:cs="Arial" w:eastAsia="Arial" w:hAnsi="Arial"/>
                <w:sz w:val="9"/>
                <w:szCs w:val="9"/>
                <w:b w:val="1"/>
                <w:bCs w:val="1"/>
                <w:color w:val="auto"/>
                <w:w w:val="88"/>
              </w:rPr>
              <w:t>$ 9,441,770</w:t>
            </w:r>
          </w:p>
        </w:tc>
        <w:tc>
          <w:tcPr>
            <w:tcW w:w="380" w:type="dxa"/>
            <w:vAlign w:val="bottom"/>
            <w:gridSpan w:val="2"/>
            <w:shd w:val="clear" w:color="auto" w:fill="CCEEFF"/>
          </w:tcPr>
          <w:p>
            <w:pPr>
              <w:jc w:val="right"/>
              <w:ind w:right="100"/>
              <w:spacing w:after="0"/>
              <w:rPr>
                <w:sz w:val="20"/>
                <w:szCs w:val="20"/>
                <w:color w:val="auto"/>
              </w:rPr>
            </w:pPr>
            <w:r>
              <w:rPr>
                <w:rFonts w:ascii="Arial" w:cs="Arial" w:eastAsia="Arial" w:hAnsi="Arial"/>
                <w:sz w:val="9"/>
                <w:szCs w:val="9"/>
                <w:b w:val="1"/>
                <w:bCs w:val="1"/>
                <w:color w:val="auto"/>
              </w:rPr>
              <w:t>-</w:t>
            </w:r>
          </w:p>
        </w:tc>
        <w:tc>
          <w:tcPr>
            <w:tcW w:w="300" w:type="dxa"/>
            <w:vAlign w:val="bottom"/>
            <w:shd w:val="clear" w:color="auto" w:fill="CCEEFF"/>
          </w:tcPr>
          <w:p>
            <w:pPr>
              <w:spacing w:after="0"/>
              <w:rPr>
                <w:sz w:val="20"/>
                <w:szCs w:val="20"/>
                <w:color w:val="auto"/>
              </w:rPr>
            </w:pPr>
            <w:r>
              <w:rPr>
                <w:rFonts w:ascii="Arial" w:cs="Arial" w:eastAsia="Arial" w:hAnsi="Arial"/>
                <w:sz w:val="9"/>
                <w:szCs w:val="9"/>
                <w:b w:val="1"/>
                <w:bCs w:val="1"/>
                <w:color w:val="auto"/>
              </w:rPr>
              <w:t>$</w:t>
            </w:r>
          </w:p>
        </w:tc>
        <w:tc>
          <w:tcPr>
            <w:tcW w:w="180" w:type="dxa"/>
            <w:vAlign w:val="bottom"/>
            <w:tcBorders>
              <w:left w:val="single" w:sz="8" w:color="CCEEFF"/>
              <w:right w:val="single" w:sz="8" w:color="CCEEFF"/>
            </w:tcBorders>
            <w:shd w:val="clear" w:color="auto" w:fill="CCEEFF"/>
          </w:tcPr>
          <w:p>
            <w:pPr>
              <w:jc w:val="right"/>
              <w:ind w:right="100"/>
              <w:spacing w:after="0"/>
              <w:rPr>
                <w:sz w:val="20"/>
                <w:szCs w:val="20"/>
                <w:color w:val="auto"/>
              </w:rPr>
            </w:pPr>
            <w:r>
              <w:rPr>
                <w:rFonts w:ascii="Arial" w:cs="Arial" w:eastAsia="Arial" w:hAnsi="Arial"/>
                <w:sz w:val="8"/>
                <w:szCs w:val="8"/>
                <w:b w:val="1"/>
                <w:bCs w:val="1"/>
                <w:color w:val="auto"/>
                <w:w w:val="73"/>
              </w:rPr>
              <w:t>-</w:t>
            </w:r>
          </w:p>
        </w:tc>
        <w:tc>
          <w:tcPr>
            <w:tcW w:w="420" w:type="dxa"/>
            <w:vAlign w:val="bottom"/>
            <w:shd w:val="clear" w:color="auto" w:fill="CCEEFF"/>
          </w:tcPr>
          <w:p>
            <w:pPr>
              <w:jc w:val="right"/>
              <w:spacing w:after="0"/>
              <w:rPr>
                <w:sz w:val="20"/>
                <w:szCs w:val="20"/>
                <w:color w:val="auto"/>
              </w:rPr>
            </w:pPr>
            <w:r>
              <w:rPr>
                <w:rFonts w:ascii="Arial" w:cs="Arial" w:eastAsia="Arial" w:hAnsi="Arial"/>
                <w:sz w:val="9"/>
                <w:szCs w:val="9"/>
                <w:b w:val="1"/>
                <w:bCs w:val="1"/>
                <w:color w:val="auto"/>
                <w:w w:val="88"/>
              </w:rPr>
              <w:t>10,189,000</w:t>
            </w:r>
          </w:p>
        </w:tc>
        <w:tc>
          <w:tcPr>
            <w:tcW w:w="100" w:type="dxa"/>
            <w:vAlign w:val="bottom"/>
            <w:shd w:val="clear" w:color="auto" w:fill="CCEEFF"/>
          </w:tcPr>
          <w:p>
            <w:pPr>
              <w:spacing w:after="0"/>
              <w:rPr>
                <w:sz w:val="11"/>
                <w:szCs w:val="11"/>
                <w:color w:val="auto"/>
              </w:rPr>
            </w:pPr>
          </w:p>
        </w:tc>
        <w:tc>
          <w:tcPr>
            <w:tcW w:w="80" w:type="dxa"/>
            <w:vAlign w:val="bottom"/>
            <w:shd w:val="clear" w:color="auto" w:fill="CCEEFF"/>
          </w:tcPr>
          <w:p>
            <w:pPr>
              <w:jc w:val="right"/>
              <w:ind w:right="10"/>
              <w:spacing w:after="0"/>
              <w:rPr>
                <w:sz w:val="20"/>
                <w:szCs w:val="20"/>
                <w:color w:val="auto"/>
              </w:rPr>
            </w:pPr>
            <w:r>
              <w:rPr>
                <w:rFonts w:ascii="Arial" w:cs="Arial" w:eastAsia="Arial" w:hAnsi="Arial"/>
                <w:sz w:val="5"/>
                <w:szCs w:val="5"/>
                <w:b w:val="1"/>
                <w:bCs w:val="1"/>
                <w:color w:val="auto"/>
                <w:w w:val="70"/>
              </w:rPr>
              <w:t>$</w:t>
            </w:r>
          </w:p>
        </w:tc>
        <w:tc>
          <w:tcPr>
            <w:tcW w:w="380" w:type="dxa"/>
            <w:vAlign w:val="bottom"/>
            <w:tcBorders>
              <w:right w:val="single" w:sz="8" w:color="CCEEFF"/>
            </w:tcBorders>
            <w:shd w:val="clear" w:color="auto" w:fill="CCEEFF"/>
          </w:tcPr>
          <w:p>
            <w:pPr>
              <w:jc w:val="right"/>
              <w:ind w:right="54"/>
              <w:spacing w:after="0"/>
              <w:rPr>
                <w:sz w:val="20"/>
                <w:szCs w:val="20"/>
                <w:color w:val="auto"/>
              </w:rPr>
            </w:pPr>
            <w:r>
              <w:rPr>
                <w:rFonts w:ascii="Arial" w:cs="Arial" w:eastAsia="Arial" w:hAnsi="Arial"/>
                <w:sz w:val="9"/>
                <w:szCs w:val="9"/>
                <w:b w:val="1"/>
                <w:bCs w:val="1"/>
                <w:color w:val="auto"/>
                <w:w w:val="94"/>
              </w:rPr>
              <w:t>10,189</w:t>
            </w:r>
          </w:p>
        </w:tc>
        <w:tc>
          <w:tcPr>
            <w:tcW w:w="520" w:type="dxa"/>
            <w:vAlign w:val="bottom"/>
            <w:gridSpan w:val="2"/>
            <w:shd w:val="clear" w:color="auto" w:fill="CCEEFF"/>
          </w:tcPr>
          <w:p>
            <w:pPr>
              <w:jc w:val="right"/>
              <w:ind w:right="80"/>
              <w:spacing w:after="0"/>
              <w:rPr>
                <w:sz w:val="20"/>
                <w:szCs w:val="20"/>
                <w:color w:val="auto"/>
              </w:rPr>
            </w:pPr>
            <w:r>
              <w:rPr>
                <w:rFonts w:ascii="Arial" w:cs="Arial" w:eastAsia="Arial" w:hAnsi="Arial"/>
                <w:sz w:val="9"/>
                <w:szCs w:val="9"/>
                <w:b w:val="1"/>
                <w:bCs w:val="1"/>
                <w:color w:val="auto"/>
                <w:w w:val="88"/>
              </w:rPr>
              <w:t>$ 3,050,755</w:t>
            </w:r>
          </w:p>
        </w:tc>
        <w:tc>
          <w:tcPr>
            <w:tcW w:w="60" w:type="dxa"/>
            <w:vAlign w:val="bottom"/>
            <w:shd w:val="clear" w:color="auto" w:fill="CCEEFF"/>
          </w:tcPr>
          <w:p>
            <w:pPr>
              <w:jc w:val="right"/>
              <w:spacing w:after="0"/>
              <w:rPr>
                <w:sz w:val="20"/>
                <w:szCs w:val="20"/>
                <w:color w:val="auto"/>
              </w:rPr>
            </w:pPr>
            <w:r>
              <w:rPr>
                <w:rFonts w:ascii="Arial" w:cs="Arial" w:eastAsia="Arial" w:hAnsi="Arial"/>
                <w:sz w:val="9"/>
                <w:szCs w:val="9"/>
                <w:b w:val="1"/>
                <w:bCs w:val="1"/>
                <w:color w:val="auto"/>
                <w:w w:val="78"/>
              </w:rPr>
              <w:t>$</w:t>
            </w:r>
          </w:p>
        </w:tc>
        <w:tc>
          <w:tcPr>
            <w:tcW w:w="680" w:type="dxa"/>
            <w:vAlign w:val="bottom"/>
            <w:gridSpan w:val="2"/>
            <w:shd w:val="clear" w:color="auto" w:fill="CCEEFF"/>
          </w:tcPr>
          <w:p>
            <w:pPr>
              <w:jc w:val="right"/>
              <w:ind w:right="80"/>
              <w:spacing w:after="0" w:line="131" w:lineRule="exact"/>
              <w:rPr>
                <w:sz w:val="20"/>
                <w:szCs w:val="20"/>
                <w:color w:val="auto"/>
              </w:rPr>
            </w:pPr>
            <w:r>
              <w:rPr>
                <w:rFonts w:ascii="Arial" w:cs="Arial" w:eastAsia="Arial" w:hAnsi="Arial"/>
                <w:sz w:val="8"/>
                <w:szCs w:val="8"/>
                <w:b w:val="1"/>
                <w:bCs w:val="1"/>
                <w:color w:val="auto"/>
              </w:rPr>
              <w:t>(69,246,228</w:t>
            </w:r>
            <w:r>
              <w:rPr>
                <w:rFonts w:ascii="Arial" w:cs="Arial" w:eastAsia="Arial" w:hAnsi="Arial"/>
                <w:sz w:val="15"/>
                <w:szCs w:val="15"/>
                <w:b w:val="1"/>
                <w:bCs w:val="1"/>
                <w:color w:val="auto"/>
                <w:vertAlign w:val="superscript"/>
              </w:rPr>
              <w:t>)</w:t>
            </w:r>
          </w:p>
        </w:tc>
        <w:tc>
          <w:tcPr>
            <w:tcW w:w="560" w:type="dxa"/>
            <w:vAlign w:val="bottom"/>
            <w:tcBorders>
              <w:right w:val="single" w:sz="8" w:color="CCEEFF"/>
            </w:tcBorders>
            <w:shd w:val="clear" w:color="auto" w:fill="CCEEFF"/>
          </w:tcPr>
          <w:p>
            <w:pPr>
              <w:jc w:val="right"/>
              <w:spacing w:after="0" w:line="131" w:lineRule="exact"/>
              <w:rPr>
                <w:sz w:val="20"/>
                <w:szCs w:val="20"/>
                <w:color w:val="auto"/>
              </w:rPr>
            </w:pPr>
            <w:r>
              <w:rPr>
                <w:rFonts w:ascii="Arial" w:cs="Arial" w:eastAsia="Arial" w:hAnsi="Arial"/>
                <w:sz w:val="8"/>
                <w:szCs w:val="8"/>
                <w:b w:val="1"/>
                <w:bCs w:val="1"/>
                <w:color w:val="auto"/>
                <w:w w:val="98"/>
              </w:rPr>
              <w:t>$ (66,185,284</w:t>
            </w:r>
            <w:r>
              <w:rPr>
                <w:rFonts w:ascii="Arial" w:cs="Arial" w:eastAsia="Arial" w:hAnsi="Arial"/>
                <w:sz w:val="15"/>
                <w:szCs w:val="15"/>
                <w:b w:val="1"/>
                <w:bCs w:val="1"/>
                <w:color w:val="auto"/>
                <w:w w:val="98"/>
                <w:vertAlign w:val="superscript"/>
              </w:rPr>
              <w:t>)</w:t>
            </w:r>
          </w:p>
        </w:tc>
        <w:tc>
          <w:tcPr>
            <w:tcW w:w="0" w:type="dxa"/>
            <w:vAlign w:val="bottom"/>
          </w:tcPr>
          <w:p>
            <w:pPr>
              <w:spacing w:after="0"/>
              <w:rPr>
                <w:sz w:val="1"/>
                <w:szCs w:val="1"/>
                <w:color w:val="auto"/>
              </w:rPr>
            </w:pPr>
          </w:p>
        </w:tc>
      </w:tr>
      <w:tr>
        <w:trPr>
          <w:trHeight w:val="29"/>
        </w:trPr>
        <w:tc>
          <w:tcPr>
            <w:tcW w:w="20" w:type="dxa"/>
            <w:vAlign w:val="bottom"/>
          </w:tcPr>
          <w:p>
            <w:pPr>
              <w:spacing w:after="0"/>
              <w:rPr>
                <w:sz w:val="2"/>
                <w:szCs w:val="2"/>
                <w:color w:val="auto"/>
              </w:rPr>
            </w:pPr>
          </w:p>
        </w:tc>
        <w:tc>
          <w:tcPr>
            <w:tcW w:w="520" w:type="dxa"/>
            <w:vAlign w:val="bottom"/>
            <w:tcBorders>
              <w:right w:val="single" w:sz="8" w:color="CCEEFF"/>
            </w:tcBorders>
            <w:shd w:val="clear" w:color="auto" w:fill="CCEEFF"/>
          </w:tcPr>
          <w:p>
            <w:pPr>
              <w:spacing w:after="0"/>
              <w:rPr>
                <w:sz w:val="2"/>
                <w:szCs w:val="2"/>
                <w:color w:val="auto"/>
              </w:rPr>
            </w:pPr>
          </w:p>
        </w:tc>
        <w:tc>
          <w:tcPr>
            <w:tcW w:w="400" w:type="dxa"/>
            <w:vAlign w:val="bottom"/>
            <w:tcBorders>
              <w:right w:val="single" w:sz="8" w:color="CCEEFF"/>
            </w:tcBorders>
            <w:shd w:val="clear" w:color="auto" w:fill="000000"/>
          </w:tcPr>
          <w:p>
            <w:pPr>
              <w:spacing w:after="0"/>
              <w:rPr>
                <w:sz w:val="2"/>
                <w:szCs w:val="2"/>
                <w:color w:val="auto"/>
              </w:rPr>
            </w:pPr>
          </w:p>
        </w:tc>
        <w:tc>
          <w:tcPr>
            <w:tcW w:w="540" w:type="dxa"/>
            <w:vAlign w:val="bottom"/>
            <w:tcBorders>
              <w:right w:val="single" w:sz="8" w:color="CCEEFF"/>
            </w:tcBorders>
            <w:shd w:val="clear" w:color="auto" w:fill="000000"/>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500" w:type="dxa"/>
            <w:vAlign w:val="bottom"/>
            <w:tcBorders>
              <w:right w:val="single" w:sz="8" w:color="CCEEFF"/>
            </w:tcBorders>
            <w:shd w:val="clear" w:color="auto" w:fill="000000"/>
          </w:tcPr>
          <w:p>
            <w:pPr>
              <w:spacing w:after="0"/>
              <w:rPr>
                <w:sz w:val="2"/>
                <w:szCs w:val="2"/>
                <w:color w:val="auto"/>
              </w:rPr>
            </w:pPr>
          </w:p>
        </w:tc>
        <w:tc>
          <w:tcPr>
            <w:tcW w:w="400" w:type="dxa"/>
            <w:vAlign w:val="bottom"/>
            <w:shd w:val="clear" w:color="auto" w:fill="000000"/>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60" w:type="dxa"/>
            <w:vAlign w:val="bottom"/>
            <w:shd w:val="clear" w:color="auto" w:fill="000000"/>
          </w:tcPr>
          <w:p>
            <w:pPr>
              <w:spacing w:after="0"/>
              <w:rPr>
                <w:sz w:val="2"/>
                <w:szCs w:val="2"/>
                <w:color w:val="auto"/>
              </w:rPr>
            </w:pPr>
          </w:p>
        </w:tc>
        <w:tc>
          <w:tcPr>
            <w:tcW w:w="400" w:type="dxa"/>
            <w:vAlign w:val="bottom"/>
            <w:shd w:val="clear" w:color="auto" w:fill="000000"/>
          </w:tcPr>
          <w:p>
            <w:pPr>
              <w:spacing w:after="0"/>
              <w:rPr>
                <w:sz w:val="2"/>
                <w:szCs w:val="2"/>
                <w:color w:val="auto"/>
              </w:rPr>
            </w:pPr>
          </w:p>
        </w:tc>
        <w:tc>
          <w:tcPr>
            <w:tcW w:w="120" w:type="dxa"/>
            <w:vAlign w:val="bottom"/>
            <w:tcBorders>
              <w:right w:val="single" w:sz="8" w:color="CCEEFF"/>
            </w:tcBorders>
            <w:shd w:val="clear" w:color="auto" w:fill="CCEEFF"/>
          </w:tcPr>
          <w:p>
            <w:pPr>
              <w:spacing w:after="0"/>
              <w:rPr>
                <w:sz w:val="2"/>
                <w:szCs w:val="2"/>
                <w:color w:val="auto"/>
              </w:rPr>
            </w:pPr>
          </w:p>
        </w:tc>
        <w:tc>
          <w:tcPr>
            <w:tcW w:w="440" w:type="dxa"/>
            <w:vAlign w:val="bottom"/>
            <w:tcBorders>
              <w:right w:val="single" w:sz="8" w:color="CCEEFF"/>
            </w:tcBorders>
            <w:shd w:val="clear" w:color="auto" w:fill="000000"/>
          </w:tcPr>
          <w:p>
            <w:pPr>
              <w:spacing w:after="0"/>
              <w:rPr>
                <w:sz w:val="2"/>
                <w:szCs w:val="2"/>
                <w:color w:val="auto"/>
              </w:rPr>
            </w:pPr>
          </w:p>
        </w:tc>
        <w:tc>
          <w:tcPr>
            <w:tcW w:w="60" w:type="dxa"/>
            <w:vAlign w:val="bottom"/>
            <w:shd w:val="clear" w:color="auto" w:fill="000000"/>
          </w:tcPr>
          <w:p>
            <w:pPr>
              <w:spacing w:after="0"/>
              <w:rPr>
                <w:sz w:val="2"/>
                <w:szCs w:val="2"/>
                <w:color w:val="auto"/>
              </w:rPr>
            </w:pPr>
          </w:p>
        </w:tc>
        <w:tc>
          <w:tcPr>
            <w:tcW w:w="400" w:type="dxa"/>
            <w:vAlign w:val="bottom"/>
            <w:shd w:val="clear" w:color="auto" w:fill="000000"/>
          </w:tcPr>
          <w:p>
            <w:pPr>
              <w:spacing w:after="0"/>
              <w:rPr>
                <w:sz w:val="2"/>
                <w:szCs w:val="2"/>
                <w:color w:val="auto"/>
              </w:rPr>
            </w:pPr>
          </w:p>
        </w:tc>
        <w:tc>
          <w:tcPr>
            <w:tcW w:w="120" w:type="dxa"/>
            <w:vAlign w:val="bottom"/>
            <w:tcBorders>
              <w:right w:val="single" w:sz="8" w:color="CCEEFF"/>
            </w:tcBorders>
            <w:shd w:val="clear" w:color="auto" w:fill="CCEEFF"/>
          </w:tcPr>
          <w:p>
            <w:pPr>
              <w:spacing w:after="0"/>
              <w:rPr>
                <w:sz w:val="2"/>
                <w:szCs w:val="2"/>
                <w:color w:val="auto"/>
              </w:rPr>
            </w:pPr>
          </w:p>
        </w:tc>
        <w:tc>
          <w:tcPr>
            <w:tcW w:w="36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40" w:type="dxa"/>
            <w:vAlign w:val="bottom"/>
            <w:shd w:val="clear" w:color="auto" w:fill="000000"/>
          </w:tcPr>
          <w:p>
            <w:pPr>
              <w:spacing w:after="0"/>
              <w:rPr>
                <w:sz w:val="2"/>
                <w:szCs w:val="2"/>
                <w:color w:val="auto"/>
              </w:rPr>
            </w:pPr>
          </w:p>
        </w:tc>
        <w:tc>
          <w:tcPr>
            <w:tcW w:w="420" w:type="dxa"/>
            <w:vAlign w:val="bottom"/>
            <w:shd w:val="clear" w:color="auto" w:fill="000000"/>
          </w:tcPr>
          <w:p>
            <w:pPr>
              <w:spacing w:after="0"/>
              <w:rPr>
                <w:sz w:val="2"/>
                <w:szCs w:val="2"/>
                <w:color w:val="auto"/>
              </w:rPr>
            </w:pPr>
          </w:p>
        </w:tc>
        <w:tc>
          <w:tcPr>
            <w:tcW w:w="160" w:type="dxa"/>
            <w:vAlign w:val="bottom"/>
            <w:tcBorders>
              <w:right w:val="single" w:sz="8" w:color="CCEEFF"/>
            </w:tcBorders>
            <w:shd w:val="clear" w:color="auto" w:fill="CCEEFF"/>
          </w:tcPr>
          <w:p>
            <w:pPr>
              <w:spacing w:after="0"/>
              <w:rPr>
                <w:sz w:val="2"/>
                <w:szCs w:val="2"/>
                <w:color w:val="auto"/>
              </w:rPr>
            </w:pPr>
          </w:p>
        </w:tc>
        <w:tc>
          <w:tcPr>
            <w:tcW w:w="360" w:type="dxa"/>
            <w:vAlign w:val="bottom"/>
            <w:shd w:val="clear" w:color="auto" w:fill="000000"/>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440" w:type="dxa"/>
            <w:vAlign w:val="bottom"/>
            <w:shd w:val="clear" w:color="auto" w:fill="000000"/>
          </w:tcPr>
          <w:p>
            <w:pPr>
              <w:spacing w:after="0"/>
              <w:rPr>
                <w:sz w:val="2"/>
                <w:szCs w:val="2"/>
                <w:color w:val="auto"/>
              </w:rPr>
            </w:pPr>
          </w:p>
        </w:tc>
        <w:tc>
          <w:tcPr>
            <w:tcW w:w="140" w:type="dxa"/>
            <w:vAlign w:val="bottom"/>
            <w:tcBorders>
              <w:right w:val="single" w:sz="8" w:color="CCEEFF"/>
            </w:tcBorders>
            <w:shd w:val="clear" w:color="auto" w:fill="CCEEFF"/>
          </w:tcPr>
          <w:p>
            <w:pPr>
              <w:spacing w:after="0"/>
              <w:rPr>
                <w:sz w:val="2"/>
                <w:szCs w:val="2"/>
                <w:color w:val="auto"/>
              </w:rPr>
            </w:pPr>
          </w:p>
        </w:tc>
        <w:tc>
          <w:tcPr>
            <w:tcW w:w="36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44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28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300" w:type="dxa"/>
            <w:vAlign w:val="bottom"/>
            <w:shd w:val="clear" w:color="auto" w:fill="000000"/>
          </w:tcPr>
          <w:p>
            <w:pPr>
              <w:spacing w:after="0"/>
              <w:rPr>
                <w:sz w:val="2"/>
                <w:szCs w:val="2"/>
                <w:color w:val="auto"/>
              </w:rPr>
            </w:pPr>
          </w:p>
        </w:tc>
        <w:tc>
          <w:tcPr>
            <w:tcW w:w="180" w:type="dxa"/>
            <w:vAlign w:val="bottom"/>
            <w:tcBorders>
              <w:left w:val="single" w:sz="8" w:color="auto"/>
              <w:right w:val="single" w:sz="8" w:color="CCEEFF"/>
            </w:tcBorders>
            <w:shd w:val="clear" w:color="auto" w:fill="CCEEFF"/>
          </w:tcPr>
          <w:p>
            <w:pPr>
              <w:spacing w:after="0"/>
              <w:rPr>
                <w:sz w:val="2"/>
                <w:szCs w:val="2"/>
                <w:color w:val="auto"/>
              </w:rPr>
            </w:pPr>
          </w:p>
        </w:tc>
        <w:tc>
          <w:tcPr>
            <w:tcW w:w="42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80" w:type="dxa"/>
            <w:vAlign w:val="bottom"/>
            <w:shd w:val="clear" w:color="auto" w:fill="000000"/>
          </w:tcPr>
          <w:p>
            <w:pPr>
              <w:spacing w:after="0"/>
              <w:rPr>
                <w:sz w:val="2"/>
                <w:szCs w:val="2"/>
                <w:color w:val="auto"/>
              </w:rPr>
            </w:pPr>
          </w:p>
        </w:tc>
        <w:tc>
          <w:tcPr>
            <w:tcW w:w="380" w:type="dxa"/>
            <w:vAlign w:val="bottom"/>
            <w:tcBorders>
              <w:right w:val="single" w:sz="8" w:color="CCEEFF"/>
            </w:tcBorders>
            <w:shd w:val="clear" w:color="auto" w:fill="000000"/>
          </w:tcPr>
          <w:p>
            <w:pPr>
              <w:spacing w:after="0"/>
              <w:rPr>
                <w:sz w:val="2"/>
                <w:szCs w:val="2"/>
                <w:color w:val="auto"/>
              </w:rPr>
            </w:pPr>
          </w:p>
        </w:tc>
        <w:tc>
          <w:tcPr>
            <w:tcW w:w="440" w:type="dxa"/>
            <w:vAlign w:val="bottom"/>
            <w:shd w:val="clear" w:color="auto" w:fill="000000"/>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60" w:type="dxa"/>
            <w:vAlign w:val="bottom"/>
            <w:shd w:val="clear" w:color="auto" w:fill="000000"/>
          </w:tcPr>
          <w:p>
            <w:pPr>
              <w:spacing w:after="0"/>
              <w:rPr>
                <w:sz w:val="2"/>
                <w:szCs w:val="2"/>
                <w:color w:val="auto"/>
              </w:rPr>
            </w:pPr>
          </w:p>
        </w:tc>
        <w:tc>
          <w:tcPr>
            <w:tcW w:w="560" w:type="dxa"/>
            <w:vAlign w:val="bottom"/>
            <w:shd w:val="clear" w:color="auto" w:fill="000000"/>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560" w:type="dxa"/>
            <w:vAlign w:val="bottom"/>
            <w:tcBorders>
              <w:right w:val="single" w:sz="8" w:color="CCEEFF"/>
            </w:tcBorders>
            <w:shd w:val="clear" w:color="auto" w:fill="000000"/>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8"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See accompanying Notes to Financial Statements.</w:t>
      </w:r>
    </w:p>
    <w:p>
      <w:pPr>
        <w:spacing w:after="0" w:line="320"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68" w:name="page69"/>
    <w:bookmarkEnd w:id="68"/>
    <w:p>
      <w:pPr>
        <w:jc w:val="center"/>
        <w:spacing w:after="0"/>
        <w:rPr>
          <w:sz w:val="20"/>
          <w:szCs w:val="20"/>
          <w:color w:val="auto"/>
        </w:rPr>
      </w:pPr>
      <w:r>
        <w:rPr>
          <w:rFonts w:ascii="Arial" w:cs="Arial" w:eastAsia="Arial" w:hAnsi="Arial"/>
          <w:sz w:val="13"/>
          <w:szCs w:val="13"/>
          <w:b w:val="1"/>
          <w:bCs w:val="1"/>
          <w:color w:val="auto"/>
        </w:rPr>
        <w:t>NOTES TO FINANCIAL STATEMENTS</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FOR THE YEARS ENDED DECEMBER 31, 2020 AND 2019</w:t>
      </w:r>
    </w:p>
    <w:p>
      <w:pPr>
        <w:spacing w:after="0" w:line="15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1: The Company and Summary of Significant Accounting Policies</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Description of Business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Knightscope, Inc. (the “Company”), was incorporated on April 4, 2013 under the laws of the State of Delaware.</w:t>
      </w:r>
    </w:p>
    <w:p>
      <w:pPr>
        <w:spacing w:after="0" w:line="163"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The Company designs, develops, builds, deploys, and supports advanced physical security technologies. The Knightscope solution to reducing crime combines the physical presence of our proprietary Autonomous Security Robots (“ASRs”) with real-time on-site data collection and analysis and a human-machine interface. Two of our ASRs, the outdoor “K5” and the indoor “K3”, autonomously patrol client sites without the need for remote control to provide a visible, force multiplying, physical security presence to help protect assets, monitor changes in the environment and deter crime. They gather real-time data using a large array of sensors. The data is accessible through the Knightscope Security Operations Center (“KSOC”), an intuitive, browser-based interface that enables security professionals to review events generated from “really smart mobile eyes and ears” to do their jobs more effectively.</w:t>
      </w:r>
    </w:p>
    <w:p>
      <w:pPr>
        <w:spacing w:after="0" w:line="141"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Basis of Presentation and Liquidity</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These financial statements and accompanying notes have been prepared in accordance with United States generally accepted accounting principles (“GAAP”), pursuant to the rules and regulations of the Securities and Exchange Commission (“SEC”).</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Since its inception, the Company has incurred significant operating losses and negative cash flows from operations which is principally the result of significant research and development activities related to the development and continued improvement of the Company’s ASRs (hardware and software).</w:t>
      </w:r>
    </w:p>
    <w:p>
      <w:pPr>
        <w:spacing w:after="0" w:line="128" w:lineRule="exact"/>
        <w:rPr>
          <w:sz w:val="20"/>
          <w:szCs w:val="20"/>
          <w:color w:val="auto"/>
        </w:rPr>
      </w:pPr>
    </w:p>
    <w:p>
      <w:pPr>
        <w:jc w:val="both"/>
        <w:spacing w:after="0" w:line="302" w:lineRule="auto"/>
        <w:rPr>
          <w:sz w:val="20"/>
          <w:szCs w:val="20"/>
          <w:color w:val="auto"/>
        </w:rPr>
      </w:pPr>
      <w:r>
        <w:rPr>
          <w:rFonts w:ascii="Arial" w:cs="Arial" w:eastAsia="Arial" w:hAnsi="Arial"/>
          <w:sz w:val="11"/>
          <w:szCs w:val="11"/>
          <w:color w:val="auto"/>
        </w:rPr>
        <w:t>Cash and cash equivalents on hand was $7.1 million as of December 31, 2020, compared to $0.6 million at December 31, 2019. The Company has historically incurred losses and negative cashflows from operations. As of December 31, 2020, the Company also had an accumulated deficit of approximately $69.2 million, working capital of $6.1 million and stockholders’ deficit of $66.2 million. The Company is dependent on additional fundraising in order to sustain its ongoing operations. On April 20, 2021, the Company secured up to $10 million in financing of Client Machine-as-a-Service (“MaaS”) subscriptions (See Note 10 – Subsequent Events). The Company’s Regulation A Offering terminated on April 21, 2021, generating additional cash proceeds, net of issuance costs, of $10.8 million year-to-date. In addition, the Company estimates an additional share issuance of 515,176 shares, representing gross proceeds of $5.1 million, based upon pending transactions at the termination of the Regulation A Offering. Without additional fundraising, typically and historically conducted on a rolling close basis, the Company will not be solvent after the third quarter of 2022. There can be no assurance that the Company will be successful in raising funds at levels sufficient to fund its future operations beyond the current cash runway. If the Company is unable to raise additional capital in sufficient amounts or on terms acceptable to it, the Company may have to significantly reduce its operations or delay, scale back or discontinue the development of one or more of its platforms, seek alternative financing arrangements, declare bankruptcy or terminate its operations entirely. These factors raise substantial doubt regarding the Company’s ability to continue as a going concern for a period of one year from the issuance date of these financial statements. Management’s plans include seeking additional financing activities such as issuances of equity, issuances of debt and convertible debt instruments. The Company’s projected cash flows are subject to various risks and uncertainties, and the unavailability or inadequacy of financing to meet future capital needs could force it to modify, curtail, delay, or suspend some or all aspects of its planned operations. Sales of additional equity securities by the Company could result in the dilution of the interests of existing stockholders. The Company will require significant additional financing and is pursuing opportunities to obtain additional financing in the future through private equity and/or debt financings. However, there can be no assurance that financing will be available when required in sufficient amounts, on acceptable terms or at all. These financial statements have been prepared on a going concern basis and do not include any adjustments to the amounts and classification of assets and liabilities that may be necessary in the event the Company can no longer continue as a going concern.</w:t>
      </w:r>
    </w:p>
    <w:p>
      <w:pPr>
        <w:spacing w:after="0" w:line="200" w:lineRule="exact"/>
        <w:rPr>
          <w:sz w:val="20"/>
          <w:szCs w:val="20"/>
          <w:color w:val="auto"/>
        </w:rPr>
      </w:pPr>
    </w:p>
    <w:p>
      <w:pPr>
        <w:spacing w:after="0" w:line="234"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69" w:name="page70"/>
    <w:bookmarkEnd w:id="69"/>
    <w:p>
      <w:pPr>
        <w:spacing w:after="0"/>
        <w:rPr>
          <w:sz w:val="20"/>
          <w:szCs w:val="20"/>
          <w:color w:val="auto"/>
        </w:rPr>
      </w:pPr>
      <w:r>
        <w:rPr>
          <w:rFonts w:ascii="Arial" w:cs="Arial" w:eastAsia="Arial" w:hAnsi="Arial"/>
          <w:sz w:val="13"/>
          <w:szCs w:val="13"/>
          <w:b w:val="1"/>
          <w:bCs w:val="1"/>
          <w:color w:val="auto"/>
        </w:rPr>
        <w:t>NOTE 1: The Company and Summary of Significant Accounting Policies (Continue)</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Comprehensive Loss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Net loss was equal to comprehensive loss for years ended December 31, 2020 and 2019.</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Use of Estimates</w:t>
      </w:r>
    </w:p>
    <w:p>
      <w:pPr>
        <w:spacing w:after="0" w:line="163"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The preparation of financial statements in conformity with GAAP requires management to make judgements, estimates and assumptions that affect the reported amounts of assets, liabilities, revenue and expenses. Specific accounts that require management estimates include, but are not limited to, estimating the useful lives of our ASRs and property and equipment, certain estimates required within revenue recognition, estimating fair values of Company’s common stock, share-based awards and warrant liabilities, inclusive of any contingent assets and liabilities. Actual results could differ from those estimates and such differences may be material to the financial statements.</w:t>
      </w:r>
    </w:p>
    <w:p>
      <w:pPr>
        <w:spacing w:after="0" w:line="139"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Cash Equivalents</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 considers all highly liquid investments purchased with an original maturity of three months or less to be cash equivalents. The Company places its cash and cash equivalents in highly liquid instruments with, and in the custody of, financial institutions with high credit ratings.</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Restricted Cash</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The Company has restricted cash as a collateral for the Company’s corporate credit card program. As of December 31, 2020 and 2019, the carrying value of restricted cash was $0.1 million.</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Concentrations of Credit Risk</w:t>
      </w:r>
    </w:p>
    <w:p>
      <w:pPr>
        <w:spacing w:after="0" w:line="163"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Financial instruments that potentially subject the Company to significant concentrations of credit risk consist primarily of cash and cash equivalents and accounts receivable. The Company limits the credit exposure of its cash and cash equivalent balances by maintaining its accounts in high credit quality financial institutions. Cash and cash equivalent deposits with financial institutions may occasionally exceed the limits of insurance on bank deposits; however, the Company has not experienced any losses on such accounts. As of December 31, 2020 and 2019, the Company had cash and cash equivalent balances exceeding FDIC insured limits by $6.8 million and $0.4 million, respectively.</w:t>
      </w:r>
    </w:p>
    <w:p>
      <w:pPr>
        <w:spacing w:after="0" w:line="139"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 extends credit to Clients in the normal course of business and performs ongoing credit evaluations of its Clients. Concentrations of credit risk with respect to accounts receivable exist to the full extent of amounts presented in the financial statements. The Company does not require collateral from its Clients to secure accounts receivable.</w:t>
      </w:r>
    </w:p>
    <w:p>
      <w:pPr>
        <w:spacing w:after="0" w:line="128"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Accounts receivable are derived from the rental of proprietary ASRs along with access to browser-based interface Knightscope Security Operations Center (“KSOC”). The Company reviews its receivables for collectability based on historical loss patterns, aging of the receivables, and assessments of specific identifiable Client accounts considered at risk or uncollectible and provides allowances for potential credit losses, as needed. The Company also considers any changes to the financial condition of its Clients and any other external market factors that could impact the collectability of the receivables in the determination of the allowance for doubtful accounts. Based on these assessments, the Company determined that an allowance for doubtful accounts of $0.3 million on its accounts receivable balance as of December 31, 2020 was appropriate, however, in 2019 it was determined not to be necessary.</w:t>
      </w:r>
    </w:p>
    <w:p>
      <w:pPr>
        <w:spacing w:after="0" w:line="141"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As of December 31, 2020, the Company had two Clients whose accounts receivable balances, including unbilled amounts, each totaled 10% or more of the Company’s total accounts receivable (29.82% and 21.33%) compared with four such Clients as of December 31, 2019 (15.3%, 14.6%, 13.5% and 12.6%).</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For the year ended December 31, 2020, the Company had three Clients who individually accounted for 10% or more of the Company’s total Client revenue (21%, 15% and 10%) compared with two Clients for the year ended December 31, 2019 (18% and 16%).</w:t>
      </w:r>
    </w:p>
    <w:p>
      <w:pPr>
        <w:spacing w:after="0" w:line="284"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70" w:name="page71"/>
    <w:bookmarkEnd w:id="70"/>
    <w:p>
      <w:pPr>
        <w:spacing w:after="0"/>
        <w:rPr>
          <w:sz w:val="20"/>
          <w:szCs w:val="20"/>
          <w:color w:val="auto"/>
        </w:rPr>
      </w:pPr>
      <w:r>
        <w:rPr>
          <w:rFonts w:ascii="Arial" w:cs="Arial" w:eastAsia="Arial" w:hAnsi="Arial"/>
          <w:sz w:val="13"/>
          <w:szCs w:val="13"/>
          <w:b w:val="1"/>
          <w:bCs w:val="1"/>
          <w:color w:val="auto"/>
        </w:rPr>
        <w:t>NOTE 1: The Company and Summary of Significant Accounting Policies (Continue)</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Autonomous Security Robots, net (“</w:t>
      </w:r>
      <w:r>
        <w:rPr>
          <w:rFonts w:ascii="Arial" w:cs="Arial" w:eastAsia="Arial" w:hAnsi="Arial"/>
          <w:sz w:val="13"/>
          <w:szCs w:val="13"/>
          <w:b w:val="1"/>
          <w:bCs w:val="1"/>
          <w:i w:val="1"/>
          <w:iCs w:val="1"/>
          <w:color w:val="auto"/>
        </w:rPr>
        <w:t>ASRs”)</w:t>
      </w:r>
    </w:p>
    <w:p>
      <w:pPr>
        <w:spacing w:after="0" w:line="167"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ASRs consist of materials, ASRs in progress and finished ASRs. ASRs in progress and finished ASRs include materials, labor and other direct and indirect costs used in their production. Finished ASRs are valued using a discrete bill of materials, which includes an allocation of labor and direct overhead based on assembly hours. Depreciation expense on ASRs is recorded using the straight-line method over their estimated expected lives, which currently ranges from 3 to 4.5 years. Depreciation expense of finished ASRs included in research and development expense amounted to $82,878 and $14,049, depreciation expense of finished ASRs included in sales and marketing expense amounted to $69,983 and $86,415, and depreciation expense included in cost of services amounted to $1,156,896 and $1,298,393 for the years ended December 31, 2020 and 2019, respectively.</w:t>
      </w:r>
    </w:p>
    <w:p>
      <w:pPr>
        <w:spacing w:after="0" w:line="141"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6420" w:type="dxa"/>
            <w:vAlign w:val="bottom"/>
            <w:gridSpan w:val="2"/>
          </w:tcPr>
          <w:p>
            <w:pPr>
              <w:spacing w:after="0"/>
              <w:rPr>
                <w:sz w:val="20"/>
                <w:szCs w:val="20"/>
                <w:color w:val="auto"/>
              </w:rPr>
            </w:pPr>
            <w:r>
              <w:rPr>
                <w:rFonts w:ascii="Arial" w:cs="Arial" w:eastAsia="Arial" w:hAnsi="Arial"/>
                <w:sz w:val="13"/>
                <w:szCs w:val="13"/>
                <w:color w:val="auto"/>
              </w:rPr>
              <w:t>ASRs, net, consisted of the following:</w:t>
            </w:r>
          </w:p>
        </w:tc>
        <w:tc>
          <w:tcPr>
            <w:tcW w:w="20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23"/>
        </w:trPr>
        <w:tc>
          <w:tcPr>
            <w:tcW w:w="20" w:type="dxa"/>
            <w:vAlign w:val="bottom"/>
          </w:tcPr>
          <w:p>
            <w:pPr>
              <w:spacing w:after="0"/>
              <w:rPr>
                <w:sz w:val="24"/>
                <w:szCs w:val="24"/>
                <w:color w:val="auto"/>
              </w:rPr>
            </w:pPr>
          </w:p>
        </w:tc>
        <w:tc>
          <w:tcPr>
            <w:tcW w:w="6400" w:type="dxa"/>
            <w:vAlign w:val="bottom"/>
          </w:tcPr>
          <w:p>
            <w:pPr>
              <w:spacing w:after="0"/>
              <w:rPr>
                <w:sz w:val="24"/>
                <w:szCs w:val="24"/>
                <w:color w:val="auto"/>
              </w:rPr>
            </w:pPr>
          </w:p>
        </w:tc>
        <w:tc>
          <w:tcPr>
            <w:tcW w:w="2060" w:type="dxa"/>
            <w:vAlign w:val="bottom"/>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gridSpan w:val="3"/>
          </w:tcPr>
          <w:p>
            <w:pPr>
              <w:jc w:val="right"/>
              <w:ind w:right="82"/>
              <w:spacing w:after="0"/>
              <w:rPr>
                <w:sz w:val="20"/>
                <w:szCs w:val="20"/>
                <w:color w:val="auto"/>
              </w:rPr>
            </w:pPr>
            <w:r>
              <w:rPr>
                <w:rFonts w:ascii="Arial" w:cs="Arial" w:eastAsia="Arial" w:hAnsi="Arial"/>
                <w:sz w:val="13"/>
                <w:szCs w:val="13"/>
                <w:b w:val="1"/>
                <w:bCs w:val="1"/>
                <w:color w:val="auto"/>
              </w:rPr>
              <w:t>December 31,</w:t>
            </w:r>
          </w:p>
        </w:tc>
        <w:tc>
          <w:tcPr>
            <w:tcW w:w="860" w:type="dxa"/>
            <w:vAlign w:val="bottom"/>
            <w:tcBorders>
              <w:bottom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7"/>
        </w:trPr>
        <w:tc>
          <w:tcPr>
            <w:tcW w:w="20" w:type="dxa"/>
            <w:vAlign w:val="bottom"/>
          </w:tcPr>
          <w:p>
            <w:pPr>
              <w:spacing w:after="0"/>
              <w:rPr>
                <w:sz w:val="13"/>
                <w:szCs w:val="13"/>
                <w:color w:val="auto"/>
              </w:rPr>
            </w:pPr>
          </w:p>
        </w:tc>
        <w:tc>
          <w:tcPr>
            <w:tcW w:w="6400" w:type="dxa"/>
            <w:vAlign w:val="bottom"/>
            <w:tcBorders>
              <w:bottom w:val="single" w:sz="8" w:color="CCEEFF"/>
            </w:tcBorders>
          </w:tcPr>
          <w:p>
            <w:pPr>
              <w:spacing w:after="0"/>
              <w:rPr>
                <w:sz w:val="13"/>
                <w:szCs w:val="13"/>
                <w:color w:val="auto"/>
              </w:rPr>
            </w:pPr>
          </w:p>
        </w:tc>
        <w:tc>
          <w:tcPr>
            <w:tcW w:w="2060" w:type="dxa"/>
            <w:vAlign w:val="bottom"/>
            <w:tcBorders>
              <w:bottom w:val="single" w:sz="8" w:color="CCEEFF"/>
            </w:tcBorders>
          </w:tcPr>
          <w:p>
            <w:pPr>
              <w:spacing w:after="0"/>
              <w:rPr>
                <w:sz w:val="13"/>
                <w:szCs w:val="13"/>
                <w:color w:val="auto"/>
              </w:rPr>
            </w:pPr>
          </w:p>
        </w:tc>
        <w:tc>
          <w:tcPr>
            <w:tcW w:w="280" w:type="dxa"/>
            <w:vAlign w:val="bottom"/>
            <w:tcBorders>
              <w:bottom w:val="single" w:sz="8" w:color="auto"/>
            </w:tcBorders>
          </w:tcPr>
          <w:p>
            <w:pPr>
              <w:spacing w:after="0"/>
              <w:rPr>
                <w:sz w:val="13"/>
                <w:szCs w:val="13"/>
                <w:color w:val="auto"/>
              </w:rPr>
            </w:pPr>
          </w:p>
        </w:tc>
        <w:tc>
          <w:tcPr>
            <w:tcW w:w="96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240" w:type="dxa"/>
            <w:vAlign w:val="bottom"/>
            <w:tcBorders>
              <w:bottom w:val="single" w:sz="8" w:color="CCEEFF"/>
            </w:tcBorders>
          </w:tcPr>
          <w:p>
            <w:pPr>
              <w:spacing w:after="0"/>
              <w:rPr>
                <w:sz w:val="13"/>
                <w:szCs w:val="13"/>
                <w:color w:val="auto"/>
              </w:rPr>
            </w:pPr>
          </w:p>
        </w:tc>
        <w:tc>
          <w:tcPr>
            <w:tcW w:w="360" w:type="dxa"/>
            <w:vAlign w:val="bottom"/>
            <w:tcBorders>
              <w:bottom w:val="single" w:sz="8" w:color="auto"/>
            </w:tcBorders>
          </w:tcPr>
          <w:p>
            <w:pPr>
              <w:spacing w:after="0"/>
              <w:rPr>
                <w:sz w:val="13"/>
                <w:szCs w:val="13"/>
                <w:color w:val="auto"/>
              </w:rPr>
            </w:pPr>
          </w:p>
        </w:tc>
        <w:tc>
          <w:tcPr>
            <w:tcW w:w="86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2019</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40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Raw materials</w:t>
            </w:r>
          </w:p>
        </w:tc>
        <w:tc>
          <w:tcPr>
            <w:tcW w:w="2060" w:type="dxa"/>
            <w:vAlign w:val="bottom"/>
            <w:shd w:val="clear" w:color="auto" w:fill="CCEEFF"/>
          </w:tcPr>
          <w:p>
            <w:pPr>
              <w:spacing w:after="0"/>
              <w:rPr>
                <w:sz w:val="12"/>
                <w:szCs w:val="12"/>
                <w:color w:val="auto"/>
              </w:rPr>
            </w:pP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596,841</w:t>
            </w:r>
          </w:p>
        </w:tc>
        <w:tc>
          <w:tcPr>
            <w:tcW w:w="240" w:type="dxa"/>
            <w:vAlign w:val="bottom"/>
            <w:tcBorders>
              <w:right w:val="single" w:sz="8" w:color="CCEEFF"/>
            </w:tcBorders>
            <w:shd w:val="clear" w:color="auto" w:fill="CCEEFF"/>
          </w:tcPr>
          <w:p>
            <w:pPr>
              <w:spacing w:after="0"/>
              <w:rPr>
                <w:sz w:val="12"/>
                <w:szCs w:val="12"/>
                <w:color w:val="auto"/>
              </w:rPr>
            </w:pPr>
          </w:p>
        </w:tc>
        <w:tc>
          <w:tcPr>
            <w:tcW w:w="360" w:type="dxa"/>
            <w:vAlign w:val="bottom"/>
            <w:shd w:val="clear" w:color="auto" w:fill="CCEEFF"/>
          </w:tcPr>
          <w:p>
            <w:pPr>
              <w:jc w:val="right"/>
              <w:ind w:right="262"/>
              <w:spacing w:after="0"/>
              <w:rPr>
                <w:sz w:val="20"/>
                <w:szCs w:val="20"/>
                <w:color w:val="auto"/>
              </w:rPr>
            </w:pPr>
            <w:r>
              <w:rPr>
                <w:rFonts w:ascii="Arial" w:cs="Arial" w:eastAsia="Arial" w:hAnsi="Arial"/>
                <w:sz w:val="10"/>
                <w:szCs w:val="10"/>
                <w:color w:val="auto"/>
                <w:w w:val="71"/>
              </w:rPr>
              <w:t>$</w:t>
            </w:r>
          </w:p>
        </w:tc>
        <w:tc>
          <w:tcPr>
            <w:tcW w:w="8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595,094</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spacing w:after="0"/>
              <w:rPr>
                <w:sz w:val="20"/>
                <w:szCs w:val="20"/>
                <w:color w:val="auto"/>
              </w:rPr>
            </w:pPr>
            <w:r>
              <w:rPr>
                <w:rFonts w:ascii="Arial" w:cs="Arial" w:eastAsia="Arial" w:hAnsi="Arial"/>
                <w:sz w:val="13"/>
                <w:szCs w:val="13"/>
                <w:color w:val="auto"/>
              </w:rPr>
              <w:t>ASRs in progress</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200" w:type="dxa"/>
            <w:vAlign w:val="bottom"/>
            <w:gridSpan w:val="2"/>
          </w:tcPr>
          <w:p>
            <w:pPr>
              <w:jc w:val="right"/>
              <w:ind w:right="240"/>
              <w:spacing w:after="0"/>
              <w:rPr>
                <w:sz w:val="20"/>
                <w:szCs w:val="20"/>
                <w:color w:val="auto"/>
              </w:rPr>
            </w:pPr>
            <w:r>
              <w:rPr>
                <w:rFonts w:ascii="Arial" w:cs="Arial" w:eastAsia="Arial" w:hAnsi="Arial"/>
                <w:sz w:val="13"/>
                <w:szCs w:val="13"/>
                <w:color w:val="auto"/>
              </w:rPr>
              <w:t>132,594</w:t>
            </w:r>
          </w:p>
        </w:tc>
        <w:tc>
          <w:tcPr>
            <w:tcW w:w="360" w:type="dxa"/>
            <w:vAlign w:val="bottom"/>
          </w:tcPr>
          <w:p>
            <w:pPr>
              <w:spacing w:after="0"/>
              <w:rPr>
                <w:sz w:val="13"/>
                <w:szCs w:val="13"/>
                <w:color w:val="auto"/>
              </w:rPr>
            </w:pPr>
          </w:p>
        </w:tc>
        <w:tc>
          <w:tcPr>
            <w:tcW w:w="960" w:type="dxa"/>
            <w:vAlign w:val="bottom"/>
            <w:gridSpan w:val="2"/>
          </w:tcPr>
          <w:p>
            <w:pPr>
              <w:jc w:val="right"/>
              <w:ind w:right="100"/>
              <w:spacing w:after="0"/>
              <w:rPr>
                <w:sz w:val="20"/>
                <w:szCs w:val="20"/>
                <w:color w:val="auto"/>
              </w:rPr>
            </w:pPr>
            <w:r>
              <w:rPr>
                <w:rFonts w:ascii="Arial" w:cs="Arial" w:eastAsia="Arial" w:hAnsi="Arial"/>
                <w:sz w:val="13"/>
                <w:szCs w:val="13"/>
                <w:color w:val="auto"/>
              </w:rPr>
              <w:t>50,027</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color w:val="auto"/>
              </w:rPr>
              <w:t>Finished ASRs</w:t>
            </w:r>
          </w:p>
        </w:tc>
        <w:tc>
          <w:tcPr>
            <w:tcW w:w="206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200" w:type="dxa"/>
            <w:vAlign w:val="bottom"/>
            <w:tcBorders>
              <w:right w:val="single" w:sz="8" w:color="CCEEFF"/>
            </w:tcBorders>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6,216,863</w:t>
            </w:r>
          </w:p>
        </w:tc>
        <w:tc>
          <w:tcPr>
            <w:tcW w:w="360" w:type="dxa"/>
            <w:vAlign w:val="bottom"/>
            <w:shd w:val="clear" w:color="auto" w:fill="CCEEFF"/>
          </w:tcPr>
          <w:p>
            <w:pPr>
              <w:spacing w:after="0"/>
              <w:rPr>
                <w:sz w:val="14"/>
                <w:szCs w:val="14"/>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6,144,081</w:t>
            </w:r>
          </w:p>
        </w:tc>
        <w:tc>
          <w:tcPr>
            <w:tcW w:w="10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400" w:type="dxa"/>
            <w:vAlign w:val="bottom"/>
          </w:tcPr>
          <w:p>
            <w:pPr>
              <w:spacing w:after="0"/>
              <w:rPr>
                <w:sz w:val="12"/>
                <w:szCs w:val="12"/>
                <w:color w:val="auto"/>
              </w:rPr>
            </w:pPr>
          </w:p>
        </w:tc>
        <w:tc>
          <w:tcPr>
            <w:tcW w:w="2060" w:type="dxa"/>
            <w:vAlign w:val="bottom"/>
          </w:tcPr>
          <w:p>
            <w:pPr>
              <w:spacing w:after="0"/>
              <w:rPr>
                <w:sz w:val="12"/>
                <w:szCs w:val="12"/>
                <w:color w:val="auto"/>
              </w:rPr>
            </w:pPr>
          </w:p>
        </w:tc>
        <w:tc>
          <w:tcPr>
            <w:tcW w:w="280" w:type="dxa"/>
            <w:vAlign w:val="bottom"/>
            <w:tcBorders>
              <w:top w:val="single" w:sz="8" w:color="auto"/>
            </w:tcBorders>
          </w:tcPr>
          <w:p>
            <w:pPr>
              <w:spacing w:after="0"/>
              <w:rPr>
                <w:sz w:val="12"/>
                <w:szCs w:val="12"/>
                <w:color w:val="auto"/>
              </w:rPr>
            </w:pPr>
          </w:p>
        </w:tc>
        <w:tc>
          <w:tcPr>
            <w:tcW w:w="960" w:type="dxa"/>
            <w:vAlign w:val="bottom"/>
            <w:tcBorders>
              <w:top w:val="single" w:sz="8" w:color="auto"/>
            </w:tcBorders>
          </w:tcPr>
          <w:p>
            <w:pPr>
              <w:jc w:val="right"/>
              <w:spacing w:after="0" w:line="146" w:lineRule="exact"/>
              <w:rPr>
                <w:sz w:val="20"/>
                <w:szCs w:val="20"/>
                <w:color w:val="auto"/>
              </w:rPr>
            </w:pPr>
            <w:r>
              <w:rPr>
                <w:rFonts w:ascii="Arial" w:cs="Arial" w:eastAsia="Arial" w:hAnsi="Arial"/>
                <w:sz w:val="13"/>
                <w:szCs w:val="13"/>
                <w:color w:val="auto"/>
              </w:rPr>
              <w:t>6,946,298</w:t>
            </w:r>
          </w:p>
        </w:tc>
        <w:tc>
          <w:tcPr>
            <w:tcW w:w="240" w:type="dxa"/>
            <w:vAlign w:val="bottom"/>
          </w:tcPr>
          <w:p>
            <w:pPr>
              <w:spacing w:after="0"/>
              <w:rPr>
                <w:sz w:val="12"/>
                <w:szCs w:val="12"/>
                <w:color w:val="auto"/>
              </w:rPr>
            </w:pPr>
          </w:p>
        </w:tc>
        <w:tc>
          <w:tcPr>
            <w:tcW w:w="360" w:type="dxa"/>
            <w:vAlign w:val="bottom"/>
            <w:tcBorders>
              <w:top w:val="single" w:sz="8" w:color="auto"/>
            </w:tcBorders>
          </w:tcPr>
          <w:p>
            <w:pPr>
              <w:spacing w:after="0"/>
              <w:rPr>
                <w:sz w:val="12"/>
                <w:szCs w:val="12"/>
                <w:color w:val="auto"/>
              </w:rPr>
            </w:pPr>
          </w:p>
        </w:tc>
        <w:tc>
          <w:tcPr>
            <w:tcW w:w="860" w:type="dxa"/>
            <w:vAlign w:val="bottom"/>
            <w:tcBorders>
              <w:top w:val="single" w:sz="8" w:color="auto"/>
            </w:tcBorders>
          </w:tcPr>
          <w:p>
            <w:pPr>
              <w:jc w:val="right"/>
              <w:spacing w:after="0" w:line="146" w:lineRule="exact"/>
              <w:rPr>
                <w:sz w:val="20"/>
                <w:szCs w:val="20"/>
                <w:color w:val="auto"/>
              </w:rPr>
            </w:pPr>
            <w:r>
              <w:rPr>
                <w:rFonts w:ascii="Arial" w:cs="Arial" w:eastAsia="Arial" w:hAnsi="Arial"/>
                <w:sz w:val="13"/>
                <w:szCs w:val="13"/>
                <w:color w:val="auto"/>
              </w:rPr>
              <w:t>6,789,202</w:t>
            </w: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color w:val="auto"/>
              </w:rPr>
              <w:t>Accumulated depreciation on Finished ASRs</w:t>
            </w:r>
          </w:p>
        </w:tc>
        <w:tc>
          <w:tcPr>
            <w:tcW w:w="206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200" w:type="dxa"/>
            <w:vAlign w:val="bottom"/>
            <w:tcBorders>
              <w:right w:val="single" w:sz="8" w:color="CCEEFF"/>
            </w:tcBorders>
            <w:gridSpan w:val="2"/>
            <w:shd w:val="clear" w:color="auto" w:fill="CCEEFF"/>
          </w:tcPr>
          <w:p>
            <w:pPr>
              <w:jc w:val="right"/>
              <w:ind w:right="200"/>
              <w:spacing w:after="0"/>
              <w:rPr>
                <w:sz w:val="20"/>
                <w:szCs w:val="20"/>
                <w:color w:val="auto"/>
              </w:rPr>
            </w:pPr>
            <w:r>
              <w:rPr>
                <w:rFonts w:ascii="Arial" w:cs="Arial" w:eastAsia="Arial" w:hAnsi="Arial"/>
                <w:sz w:val="13"/>
                <w:szCs w:val="13"/>
                <w:color w:val="auto"/>
              </w:rPr>
              <w:t>(4,655,868)</w:t>
            </w:r>
          </w:p>
        </w:tc>
        <w:tc>
          <w:tcPr>
            <w:tcW w:w="360" w:type="dxa"/>
            <w:vAlign w:val="bottom"/>
            <w:shd w:val="clear" w:color="auto" w:fill="CCEEFF"/>
          </w:tcPr>
          <w:p>
            <w:pPr>
              <w:spacing w:after="0"/>
              <w:rPr>
                <w:sz w:val="14"/>
                <w:szCs w:val="14"/>
                <w:color w:val="auto"/>
              </w:rPr>
            </w:pPr>
          </w:p>
        </w:tc>
        <w:tc>
          <w:tcPr>
            <w:tcW w:w="9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(3,758,599)</w:t>
            </w: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400" w:type="dxa"/>
            <w:vAlign w:val="bottom"/>
          </w:tcPr>
          <w:p>
            <w:pPr>
              <w:spacing w:after="0"/>
              <w:rPr>
                <w:sz w:val="12"/>
                <w:szCs w:val="12"/>
                <w:color w:val="auto"/>
              </w:rPr>
            </w:pPr>
          </w:p>
        </w:tc>
        <w:tc>
          <w:tcPr>
            <w:tcW w:w="2060" w:type="dxa"/>
            <w:vAlign w:val="bottom"/>
          </w:tcPr>
          <w:p>
            <w:pPr>
              <w:spacing w:after="0"/>
              <w:rPr>
                <w:sz w:val="12"/>
                <w:szCs w:val="12"/>
                <w:color w:val="auto"/>
              </w:rPr>
            </w:pPr>
          </w:p>
        </w:tc>
        <w:tc>
          <w:tcPr>
            <w:tcW w:w="280" w:type="dxa"/>
            <w:vAlign w:val="bottom"/>
            <w:tcBorders>
              <w:top w:val="single" w:sz="8" w:color="auto"/>
            </w:tcBorders>
          </w:tcPr>
          <w:p>
            <w:pPr>
              <w:spacing w:after="0"/>
              <w:rPr>
                <w:sz w:val="12"/>
                <w:szCs w:val="12"/>
                <w:color w:val="auto"/>
              </w:rPr>
            </w:pPr>
          </w:p>
        </w:tc>
        <w:tc>
          <w:tcPr>
            <w:tcW w:w="960" w:type="dxa"/>
            <w:vAlign w:val="bottom"/>
            <w:tcBorders>
              <w:top w:val="single" w:sz="8" w:color="auto"/>
            </w:tcBorders>
          </w:tcPr>
          <w:p>
            <w:pPr>
              <w:spacing w:after="0"/>
              <w:rPr>
                <w:sz w:val="12"/>
                <w:szCs w:val="12"/>
                <w:color w:val="auto"/>
              </w:rPr>
            </w:pPr>
          </w:p>
        </w:tc>
        <w:tc>
          <w:tcPr>
            <w:tcW w:w="240" w:type="dxa"/>
            <w:vAlign w:val="bottom"/>
          </w:tcPr>
          <w:p>
            <w:pPr>
              <w:spacing w:after="0"/>
              <w:rPr>
                <w:sz w:val="12"/>
                <w:szCs w:val="12"/>
                <w:color w:val="auto"/>
              </w:rPr>
            </w:pPr>
          </w:p>
        </w:tc>
        <w:tc>
          <w:tcPr>
            <w:tcW w:w="360" w:type="dxa"/>
            <w:vAlign w:val="bottom"/>
            <w:tcBorders>
              <w:top w:val="single" w:sz="8" w:color="auto"/>
            </w:tcBorders>
          </w:tcPr>
          <w:p>
            <w:pPr>
              <w:spacing w:after="0"/>
              <w:rPr>
                <w:sz w:val="12"/>
                <w:szCs w:val="12"/>
                <w:color w:val="auto"/>
              </w:rPr>
            </w:pPr>
          </w:p>
        </w:tc>
        <w:tc>
          <w:tcPr>
            <w:tcW w:w="860" w:type="dxa"/>
            <w:vAlign w:val="bottom"/>
            <w:tcBorders>
              <w:top w:val="single" w:sz="8" w:color="auto"/>
            </w:tcBorders>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75"/>
        </w:trPr>
        <w:tc>
          <w:tcPr>
            <w:tcW w:w="20" w:type="dxa"/>
            <w:vAlign w:val="bottom"/>
            <w:vMerge w:val="continue"/>
          </w:tcPr>
          <w:p>
            <w:pPr>
              <w:spacing w:after="0"/>
              <w:rPr>
                <w:sz w:val="15"/>
                <w:szCs w:val="15"/>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color w:val="auto"/>
              </w:rPr>
              <w:t>ASRs, net</w:t>
            </w:r>
          </w:p>
        </w:tc>
        <w:tc>
          <w:tcPr>
            <w:tcW w:w="2340" w:type="dxa"/>
            <w:vAlign w:val="bottom"/>
            <w:gridSpan w:val="2"/>
            <w:shd w:val="clear" w:color="auto" w:fill="CCEEFF"/>
          </w:tcPr>
          <w:p>
            <w:pPr>
              <w:jc w:val="right"/>
              <w:ind w:right="171"/>
              <w:spacing w:after="0"/>
              <w:rPr>
                <w:sz w:val="20"/>
                <w:szCs w:val="20"/>
                <w:color w:val="auto"/>
              </w:rPr>
            </w:pPr>
            <w:r>
              <w:rPr>
                <w:rFonts w:ascii="Arial" w:cs="Arial" w:eastAsia="Arial" w:hAnsi="Arial"/>
                <w:sz w:val="13"/>
                <w:szCs w:val="13"/>
                <w:color w:val="auto"/>
              </w:rPr>
              <w:t>$</w:t>
            </w:r>
          </w:p>
        </w:tc>
        <w:tc>
          <w:tcPr>
            <w:tcW w:w="1200" w:type="dxa"/>
            <w:vAlign w:val="bottom"/>
            <w:tcBorders>
              <w:right w:val="single" w:sz="8" w:color="CCEEFF"/>
            </w:tcBorders>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2,290,430</w:t>
            </w:r>
          </w:p>
        </w:tc>
        <w:tc>
          <w:tcPr>
            <w:tcW w:w="360" w:type="dxa"/>
            <w:vAlign w:val="bottom"/>
            <w:shd w:val="clear" w:color="auto" w:fill="CCEEFF"/>
          </w:tcPr>
          <w:p>
            <w:pPr>
              <w:jc w:val="right"/>
              <w:ind w:right="262"/>
              <w:spacing w:after="0"/>
              <w:rPr>
                <w:sz w:val="20"/>
                <w:szCs w:val="20"/>
                <w:color w:val="auto"/>
              </w:rPr>
            </w:pPr>
            <w:r>
              <w:rPr>
                <w:rFonts w:ascii="Arial" w:cs="Arial" w:eastAsia="Arial" w:hAnsi="Arial"/>
                <w:sz w:val="10"/>
                <w:szCs w:val="10"/>
                <w:color w:val="auto"/>
                <w:w w:val="71"/>
              </w:rPr>
              <w:t>$</w:t>
            </w: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3,030,603</w:t>
            </w:r>
          </w:p>
        </w:tc>
        <w:tc>
          <w:tcPr>
            <w:tcW w:w="100" w:type="dxa"/>
            <w:vAlign w:val="bottom"/>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6400" w:type="dxa"/>
            <w:vAlign w:val="bottom"/>
            <w:shd w:val="clear" w:color="auto" w:fill="CCEEFF"/>
          </w:tcPr>
          <w:p>
            <w:pPr>
              <w:spacing w:after="0" w:line="20" w:lineRule="exact"/>
              <w:rPr>
                <w:sz w:val="1"/>
                <w:szCs w:val="1"/>
                <w:color w:val="auto"/>
              </w:rPr>
            </w:pPr>
          </w:p>
        </w:tc>
        <w:tc>
          <w:tcPr>
            <w:tcW w:w="2060" w:type="dxa"/>
            <w:vAlign w:val="bottom"/>
            <w:shd w:val="clear" w:color="auto" w:fill="CCEEFF"/>
          </w:tcPr>
          <w:p>
            <w:pPr>
              <w:spacing w:after="0" w:line="20" w:lineRule="exact"/>
              <w:rPr>
                <w:sz w:val="1"/>
                <w:szCs w:val="1"/>
                <w:color w:val="auto"/>
              </w:rPr>
            </w:pPr>
          </w:p>
        </w:tc>
        <w:tc>
          <w:tcPr>
            <w:tcW w:w="280" w:type="dxa"/>
            <w:vAlign w:val="bottom"/>
            <w:tcBorders>
              <w:bottom w:val="single" w:sz="8" w:color="auto"/>
            </w:tcBorders>
            <w:shd w:val="clear" w:color="auto" w:fill="000000"/>
          </w:tcPr>
          <w:p>
            <w:pPr>
              <w:spacing w:after="0" w:line="20" w:lineRule="exact"/>
              <w:rPr>
                <w:sz w:val="1"/>
                <w:szCs w:val="1"/>
                <w:color w:val="auto"/>
              </w:rPr>
            </w:pPr>
          </w:p>
        </w:tc>
        <w:tc>
          <w:tcPr>
            <w:tcW w:w="960" w:type="dxa"/>
            <w:vAlign w:val="bottom"/>
            <w:tcBorders>
              <w:bottom w:val="single" w:sz="8" w:color="auto"/>
            </w:tcBorders>
            <w:shd w:val="clear" w:color="auto" w:fill="000000"/>
          </w:tcPr>
          <w:p>
            <w:pPr>
              <w:spacing w:after="0" w:line="20" w:lineRule="exact"/>
              <w:rPr>
                <w:sz w:val="1"/>
                <w:szCs w:val="1"/>
                <w:color w:val="auto"/>
              </w:rPr>
            </w:pPr>
          </w:p>
        </w:tc>
        <w:tc>
          <w:tcPr>
            <w:tcW w:w="240" w:type="dxa"/>
            <w:vAlign w:val="bottom"/>
            <w:tcBorders>
              <w:right w:val="single" w:sz="8" w:color="CCEEFF"/>
            </w:tcBorders>
            <w:shd w:val="clear" w:color="auto" w:fill="CCEEFF"/>
          </w:tcPr>
          <w:p>
            <w:pPr>
              <w:spacing w:after="0" w:line="20" w:lineRule="exact"/>
              <w:rPr>
                <w:sz w:val="1"/>
                <w:szCs w:val="1"/>
                <w:color w:val="auto"/>
              </w:rPr>
            </w:pPr>
          </w:p>
        </w:tc>
        <w:tc>
          <w:tcPr>
            <w:tcW w:w="360" w:type="dxa"/>
            <w:vAlign w:val="bottom"/>
            <w:tcBorders>
              <w:bottom w:val="single" w:sz="8" w:color="auto"/>
            </w:tcBorders>
            <w:shd w:val="clear" w:color="auto" w:fill="000000"/>
          </w:tcPr>
          <w:p>
            <w:pPr>
              <w:spacing w:after="0" w:line="20" w:lineRule="exact"/>
              <w:rPr>
                <w:sz w:val="1"/>
                <w:szCs w:val="1"/>
                <w:color w:val="auto"/>
              </w:rPr>
            </w:pPr>
          </w:p>
        </w:tc>
        <w:tc>
          <w:tcPr>
            <w:tcW w:w="860" w:type="dxa"/>
            <w:vAlign w:val="bottom"/>
            <w:tcBorders>
              <w:bottom w:val="single" w:sz="8" w:color="auto"/>
            </w:tcBorders>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302"/>
        </w:trPr>
        <w:tc>
          <w:tcPr>
            <w:tcW w:w="6420" w:type="dxa"/>
            <w:vAlign w:val="bottom"/>
            <w:gridSpan w:val="2"/>
          </w:tcPr>
          <w:p>
            <w:pPr>
              <w:spacing w:after="0"/>
              <w:rPr>
                <w:sz w:val="20"/>
                <w:szCs w:val="20"/>
                <w:color w:val="auto"/>
              </w:rPr>
            </w:pPr>
            <w:r>
              <w:rPr>
                <w:rFonts w:ascii="Arial" w:cs="Arial" w:eastAsia="Arial" w:hAnsi="Arial"/>
                <w:sz w:val="13"/>
                <w:szCs w:val="13"/>
                <w:color w:val="auto"/>
              </w:rPr>
              <w:t>The components of the Finished ASRs, net as of December 31, 2020 are as follows:</w:t>
            </w:r>
          </w:p>
        </w:tc>
        <w:tc>
          <w:tcPr>
            <w:tcW w:w="20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8"/>
        </w:trPr>
        <w:tc>
          <w:tcPr>
            <w:tcW w:w="20" w:type="dxa"/>
            <w:vAlign w:val="bottom"/>
            <w:vMerge w:val="restart"/>
          </w:tcPr>
          <w:p>
            <w:pPr>
              <w:spacing w:after="0"/>
              <w:rPr>
                <w:sz w:val="13"/>
                <w:szCs w:val="13"/>
                <w:color w:val="auto"/>
              </w:rPr>
            </w:pPr>
          </w:p>
        </w:tc>
        <w:tc>
          <w:tcPr>
            <w:tcW w:w="6400" w:type="dxa"/>
            <w:vAlign w:val="bottom"/>
          </w:tcPr>
          <w:p>
            <w:pPr>
              <w:spacing w:after="0"/>
              <w:rPr>
                <w:sz w:val="13"/>
                <w:szCs w:val="13"/>
                <w:color w:val="auto"/>
              </w:rPr>
            </w:pP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color w:val="auto"/>
              </w:rPr>
              <w:t>ASRs on lease or available for lease</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240" w:type="dxa"/>
            <w:vAlign w:val="bottom"/>
            <w:tcBorders>
              <w:right w:val="single" w:sz="8" w:color="CCEEFF"/>
            </w:tcBorders>
            <w:shd w:val="clear" w:color="auto" w:fill="CCEEFF"/>
          </w:tcPr>
          <w:p>
            <w:pPr>
              <w:spacing w:after="0"/>
              <w:rPr>
                <w:sz w:val="13"/>
                <w:szCs w:val="13"/>
                <w:color w:val="auto"/>
              </w:rPr>
            </w:pPr>
          </w:p>
        </w:tc>
        <w:tc>
          <w:tcPr>
            <w:tcW w:w="360" w:type="dxa"/>
            <w:vAlign w:val="bottom"/>
            <w:shd w:val="clear" w:color="auto" w:fill="CCEEFF"/>
          </w:tcPr>
          <w:p>
            <w:pPr>
              <w:jc w:val="right"/>
              <w:ind w:right="282"/>
              <w:spacing w:after="0"/>
              <w:rPr>
                <w:sz w:val="20"/>
                <w:szCs w:val="20"/>
                <w:color w:val="auto"/>
              </w:rPr>
            </w:pPr>
            <w:r>
              <w:rPr>
                <w:rFonts w:ascii="Arial" w:cs="Arial" w:eastAsia="Arial" w:hAnsi="Arial"/>
                <w:sz w:val="5"/>
                <w:szCs w:val="5"/>
                <w:color w:val="auto"/>
                <w:w w:val="70"/>
              </w:rPr>
              <w:t>$</w:t>
            </w: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4,821,933</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spacing w:after="0"/>
              <w:rPr>
                <w:sz w:val="20"/>
                <w:szCs w:val="20"/>
                <w:color w:val="auto"/>
              </w:rPr>
            </w:pPr>
            <w:r>
              <w:rPr>
                <w:rFonts w:ascii="Arial" w:cs="Arial" w:eastAsia="Arial" w:hAnsi="Arial"/>
                <w:sz w:val="13"/>
                <w:szCs w:val="13"/>
                <w:color w:val="auto"/>
              </w:rPr>
              <w:t>Demonstration ASRs</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603,926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color w:val="auto"/>
              </w:rPr>
              <w:t>Research and development ASRs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240" w:type="dxa"/>
            <w:vAlign w:val="bottom"/>
            <w:tcBorders>
              <w:right w:val="single" w:sz="8" w:color="CCEEFF"/>
            </w:tcBorders>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567,109</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6400" w:type="dxa"/>
            <w:vAlign w:val="bottom"/>
          </w:tcPr>
          <w:p>
            <w:pPr>
              <w:spacing w:after="0"/>
              <w:rPr>
                <w:sz w:val="13"/>
                <w:szCs w:val="13"/>
                <w:color w:val="auto"/>
              </w:rPr>
            </w:pP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vMerge w:val="continue"/>
          </w:tcPr>
          <w:p>
            <w:pPr>
              <w:spacing w:after="0"/>
              <w:rPr>
                <w:sz w:val="14"/>
                <w:szCs w:val="14"/>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color w:val="auto"/>
              </w:rPr>
              <w:t>Charge boxes</w:t>
            </w:r>
          </w:p>
        </w:tc>
        <w:tc>
          <w:tcPr>
            <w:tcW w:w="206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960" w:type="dxa"/>
            <w:vAlign w:val="bottom"/>
            <w:shd w:val="clear" w:color="auto" w:fill="CCEEFF"/>
          </w:tcPr>
          <w:p>
            <w:pPr>
              <w:spacing w:after="0"/>
              <w:rPr>
                <w:sz w:val="14"/>
                <w:szCs w:val="14"/>
                <w:color w:val="auto"/>
              </w:rPr>
            </w:pPr>
          </w:p>
        </w:tc>
        <w:tc>
          <w:tcPr>
            <w:tcW w:w="240" w:type="dxa"/>
            <w:vAlign w:val="bottom"/>
            <w:tcBorders>
              <w:right w:val="single" w:sz="8" w:color="CCEEFF"/>
            </w:tcBorders>
            <w:shd w:val="clear" w:color="auto" w:fill="CCEEFF"/>
          </w:tcPr>
          <w:p>
            <w:pPr>
              <w:spacing w:after="0"/>
              <w:rPr>
                <w:sz w:val="14"/>
                <w:szCs w:val="14"/>
                <w:color w:val="auto"/>
              </w:rPr>
            </w:pPr>
          </w:p>
        </w:tc>
        <w:tc>
          <w:tcPr>
            <w:tcW w:w="360" w:type="dxa"/>
            <w:vAlign w:val="bottom"/>
            <w:tcBorders>
              <w:bottom w:val="single" w:sz="8" w:color="auto"/>
            </w:tcBorders>
            <w:shd w:val="clear" w:color="auto" w:fill="CCEEFF"/>
          </w:tcPr>
          <w:p>
            <w:pPr>
              <w:spacing w:after="0"/>
              <w:rPr>
                <w:sz w:val="14"/>
                <w:szCs w:val="14"/>
                <w:color w:val="auto"/>
              </w:rPr>
            </w:pPr>
          </w:p>
        </w:tc>
        <w:tc>
          <w:tcPr>
            <w:tcW w:w="8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223,895</w:t>
            </w:r>
          </w:p>
        </w:tc>
        <w:tc>
          <w:tcPr>
            <w:tcW w:w="10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6400" w:type="dxa"/>
            <w:vAlign w:val="bottom"/>
          </w:tcPr>
          <w:p>
            <w:pPr>
              <w:spacing w:after="0"/>
              <w:rPr>
                <w:sz w:val="12"/>
                <w:szCs w:val="12"/>
                <w:color w:val="auto"/>
              </w:rPr>
            </w:pPr>
          </w:p>
        </w:tc>
        <w:tc>
          <w:tcPr>
            <w:tcW w:w="20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360" w:type="dxa"/>
            <w:vAlign w:val="bottom"/>
          </w:tcPr>
          <w:p>
            <w:pPr>
              <w:spacing w:after="0"/>
              <w:rPr>
                <w:sz w:val="12"/>
                <w:szCs w:val="12"/>
                <w:color w:val="auto"/>
              </w:rPr>
            </w:pPr>
          </w:p>
        </w:tc>
        <w:tc>
          <w:tcPr>
            <w:tcW w:w="860" w:type="dxa"/>
            <w:vAlign w:val="bottom"/>
          </w:tcPr>
          <w:p>
            <w:pPr>
              <w:jc w:val="right"/>
              <w:spacing w:after="0" w:line="147" w:lineRule="exact"/>
              <w:rPr>
                <w:sz w:val="20"/>
                <w:szCs w:val="20"/>
                <w:color w:val="auto"/>
              </w:rPr>
            </w:pPr>
            <w:r>
              <w:rPr>
                <w:rFonts w:ascii="Arial" w:cs="Arial" w:eastAsia="Arial" w:hAnsi="Arial"/>
                <w:sz w:val="13"/>
                <w:szCs w:val="13"/>
                <w:color w:val="auto"/>
              </w:rPr>
              <w:t>6,216,863</w:t>
            </w: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color w:val="auto"/>
              </w:rPr>
              <w:t>Less: accumulated depreciation</w:t>
            </w:r>
          </w:p>
        </w:tc>
        <w:tc>
          <w:tcPr>
            <w:tcW w:w="206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960" w:type="dxa"/>
            <w:vAlign w:val="bottom"/>
            <w:shd w:val="clear" w:color="auto" w:fill="CCEEFF"/>
          </w:tcPr>
          <w:p>
            <w:pPr>
              <w:spacing w:after="0"/>
              <w:rPr>
                <w:sz w:val="14"/>
                <w:szCs w:val="14"/>
                <w:color w:val="auto"/>
              </w:rPr>
            </w:pPr>
          </w:p>
        </w:tc>
        <w:tc>
          <w:tcPr>
            <w:tcW w:w="240" w:type="dxa"/>
            <w:vAlign w:val="bottom"/>
            <w:tcBorders>
              <w:right w:val="single" w:sz="8" w:color="CCEEFF"/>
            </w:tcBorders>
            <w:shd w:val="clear" w:color="auto" w:fill="CCEEFF"/>
          </w:tcPr>
          <w:p>
            <w:pPr>
              <w:spacing w:after="0"/>
              <w:rPr>
                <w:sz w:val="14"/>
                <w:szCs w:val="14"/>
                <w:color w:val="auto"/>
              </w:rPr>
            </w:pPr>
          </w:p>
        </w:tc>
        <w:tc>
          <w:tcPr>
            <w:tcW w:w="360" w:type="dxa"/>
            <w:vAlign w:val="bottom"/>
            <w:shd w:val="clear" w:color="auto" w:fill="CCEEFF"/>
          </w:tcPr>
          <w:p>
            <w:pPr>
              <w:spacing w:after="0"/>
              <w:rPr>
                <w:sz w:val="14"/>
                <w:szCs w:val="14"/>
                <w:color w:val="auto"/>
              </w:rPr>
            </w:pPr>
          </w:p>
        </w:tc>
        <w:tc>
          <w:tcPr>
            <w:tcW w:w="9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(4,655,868)</w:t>
            </w: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6400" w:type="dxa"/>
            <w:vAlign w:val="bottom"/>
          </w:tcPr>
          <w:p>
            <w:pPr>
              <w:spacing w:after="0" w:line="144" w:lineRule="exact"/>
              <w:rPr>
                <w:sz w:val="20"/>
                <w:szCs w:val="20"/>
                <w:color w:val="auto"/>
              </w:rPr>
            </w:pPr>
            <w:r>
              <w:rPr>
                <w:rFonts w:ascii="Arial" w:cs="Arial" w:eastAsia="Arial" w:hAnsi="Arial"/>
                <w:sz w:val="13"/>
                <w:szCs w:val="13"/>
                <w:color w:val="auto"/>
              </w:rPr>
              <w:t>Finished ASRs, net</w:t>
            </w:r>
          </w:p>
        </w:tc>
        <w:tc>
          <w:tcPr>
            <w:tcW w:w="20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360" w:type="dxa"/>
            <w:vAlign w:val="bottom"/>
            <w:tcBorders>
              <w:top w:val="single" w:sz="8" w:color="auto"/>
              <w:bottom w:val="single" w:sz="8" w:color="auto"/>
            </w:tcBorders>
          </w:tcPr>
          <w:p>
            <w:pPr>
              <w:jc w:val="right"/>
              <w:ind w:right="282"/>
              <w:spacing w:after="0"/>
              <w:rPr>
                <w:sz w:val="20"/>
                <w:szCs w:val="20"/>
                <w:color w:val="auto"/>
              </w:rPr>
            </w:pPr>
            <w:r>
              <w:rPr>
                <w:rFonts w:ascii="Arial" w:cs="Arial" w:eastAsia="Arial" w:hAnsi="Arial"/>
                <w:sz w:val="5"/>
                <w:szCs w:val="5"/>
                <w:color w:val="auto"/>
                <w:w w:val="70"/>
              </w:rPr>
              <w:t>$</w:t>
            </w:r>
          </w:p>
        </w:tc>
        <w:tc>
          <w:tcPr>
            <w:tcW w:w="8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3"/>
                <w:szCs w:val="13"/>
                <w:color w:val="auto"/>
              </w:rPr>
              <w:t>1,560,995</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bl>
    <w:p>
      <w:pPr>
        <w:spacing w:after="0" w:line="14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Property, Equipment and Software</w:t>
      </w:r>
    </w:p>
    <w:p>
      <w:pPr>
        <w:spacing w:after="0" w:line="163" w:lineRule="exact"/>
        <w:rPr>
          <w:sz w:val="20"/>
          <w:szCs w:val="20"/>
          <w:color w:val="auto"/>
        </w:rPr>
      </w:pPr>
    </w:p>
    <w:p>
      <w:pPr>
        <w:jc w:val="both"/>
        <w:spacing w:after="0" w:line="287" w:lineRule="auto"/>
        <w:rPr>
          <w:sz w:val="20"/>
          <w:szCs w:val="20"/>
          <w:color w:val="auto"/>
        </w:rPr>
      </w:pPr>
      <w:r>
        <w:rPr>
          <w:rFonts w:ascii="Arial" w:cs="Arial" w:eastAsia="Arial" w:hAnsi="Arial"/>
          <w:sz w:val="12"/>
          <w:szCs w:val="12"/>
          <w:color w:val="auto"/>
        </w:rPr>
        <w:t>Property, equipment and software, net is stated at cost less accumulated depreciation and amortization and is depreciated using the straight-line method over the estimated useful lives of the assets. Computer equipment, software and furniture, fixtures and equipment are depreciated over useful lives ranging from three to five years, and leasehold improvements are depreciated over the respective lease term or useful lives, whichever is shorter. Maintenance and repairs are charged to expense as incurred, and improvements and betterments are capitalized. When assets are retired or otherwise disposed of, the cost and accumulated depreciation and amortization are removed from the balance sheet and any resulting gain or loss is reflected in the statements of operations in the period realized.</w:t>
      </w:r>
    </w:p>
    <w:p>
      <w:pPr>
        <w:spacing w:after="0" w:line="122"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6480" w:type="dxa"/>
            <w:vAlign w:val="bottom"/>
          </w:tcPr>
          <w:p>
            <w:pPr>
              <w:spacing w:after="0"/>
              <w:rPr>
                <w:sz w:val="20"/>
                <w:szCs w:val="20"/>
                <w:color w:val="auto"/>
              </w:rPr>
            </w:pPr>
            <w:r>
              <w:rPr>
                <w:rFonts w:ascii="Arial" w:cs="Arial" w:eastAsia="Arial" w:hAnsi="Arial"/>
                <w:sz w:val="13"/>
                <w:szCs w:val="13"/>
                <w:color w:val="auto"/>
              </w:rPr>
              <w:t>Property, equipment, and software, as of December 31, 2020 and 2019 are as follows:</w:t>
            </w:r>
          </w:p>
        </w:tc>
        <w:tc>
          <w:tcPr>
            <w:tcW w:w="200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23"/>
        </w:trPr>
        <w:tc>
          <w:tcPr>
            <w:tcW w:w="648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gridSpan w:val="4"/>
          </w:tcPr>
          <w:p>
            <w:pPr>
              <w:jc w:val="right"/>
              <w:ind w:right="71"/>
              <w:spacing w:after="0"/>
              <w:rPr>
                <w:sz w:val="20"/>
                <w:szCs w:val="20"/>
                <w:color w:val="auto"/>
              </w:rPr>
            </w:pPr>
            <w:r>
              <w:rPr>
                <w:rFonts w:ascii="Arial" w:cs="Arial" w:eastAsia="Arial" w:hAnsi="Arial"/>
                <w:sz w:val="13"/>
                <w:szCs w:val="13"/>
                <w:b w:val="1"/>
                <w:bCs w:val="1"/>
                <w:color w:val="auto"/>
              </w:rPr>
              <w:t>December 31</w:t>
            </w:r>
          </w:p>
        </w:tc>
        <w:tc>
          <w:tcPr>
            <w:tcW w:w="860" w:type="dxa"/>
            <w:vAlign w:val="bottom"/>
            <w:tcBorders>
              <w:bottom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7"/>
        </w:trPr>
        <w:tc>
          <w:tcPr>
            <w:tcW w:w="6480" w:type="dxa"/>
            <w:vAlign w:val="bottom"/>
            <w:tcBorders>
              <w:bottom w:val="single" w:sz="8" w:color="CCEEFF"/>
            </w:tcBorders>
          </w:tcPr>
          <w:p>
            <w:pPr>
              <w:spacing w:after="0"/>
              <w:rPr>
                <w:sz w:val="13"/>
                <w:szCs w:val="13"/>
                <w:color w:val="auto"/>
              </w:rPr>
            </w:pPr>
          </w:p>
        </w:tc>
        <w:tc>
          <w:tcPr>
            <w:tcW w:w="2000" w:type="dxa"/>
            <w:vAlign w:val="bottom"/>
            <w:tcBorders>
              <w:bottom w:val="single" w:sz="8" w:color="CCEEFF"/>
            </w:tcBorders>
          </w:tcPr>
          <w:p>
            <w:pPr>
              <w:spacing w:after="0"/>
              <w:rPr>
                <w:sz w:val="13"/>
                <w:szCs w:val="13"/>
                <w:color w:val="auto"/>
              </w:rPr>
            </w:pPr>
          </w:p>
        </w:tc>
        <w:tc>
          <w:tcPr>
            <w:tcW w:w="280" w:type="dxa"/>
            <w:vAlign w:val="bottom"/>
            <w:tcBorders>
              <w:bottom w:val="single" w:sz="8" w:color="auto"/>
            </w:tcBorders>
          </w:tcPr>
          <w:p>
            <w:pPr>
              <w:spacing w:after="0"/>
              <w:rPr>
                <w:sz w:val="13"/>
                <w:szCs w:val="13"/>
                <w:color w:val="auto"/>
              </w:rPr>
            </w:pPr>
          </w:p>
        </w:tc>
        <w:tc>
          <w:tcPr>
            <w:tcW w:w="96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40" w:type="dxa"/>
            <w:vAlign w:val="bottom"/>
            <w:tcBorders>
              <w:bottom w:val="single" w:sz="8" w:color="CCEEFF"/>
            </w:tcBorders>
          </w:tcPr>
          <w:p>
            <w:pPr>
              <w:spacing w:after="0"/>
              <w:rPr>
                <w:sz w:val="13"/>
                <w:szCs w:val="13"/>
                <w:color w:val="auto"/>
              </w:rPr>
            </w:pPr>
          </w:p>
        </w:tc>
        <w:tc>
          <w:tcPr>
            <w:tcW w:w="100" w:type="dxa"/>
            <w:vAlign w:val="bottom"/>
            <w:tcBorders>
              <w:bottom w:val="single" w:sz="8" w:color="CCEEFF"/>
            </w:tcBorders>
          </w:tcPr>
          <w:p>
            <w:pPr>
              <w:spacing w:after="0"/>
              <w:rPr>
                <w:sz w:val="13"/>
                <w:szCs w:val="13"/>
                <w:color w:val="auto"/>
              </w:rPr>
            </w:pPr>
          </w:p>
        </w:tc>
        <w:tc>
          <w:tcPr>
            <w:tcW w:w="360" w:type="dxa"/>
            <w:vAlign w:val="bottom"/>
            <w:tcBorders>
              <w:bottom w:val="single" w:sz="8" w:color="auto"/>
            </w:tcBorders>
          </w:tcPr>
          <w:p>
            <w:pPr>
              <w:spacing w:after="0"/>
              <w:rPr>
                <w:sz w:val="13"/>
                <w:szCs w:val="13"/>
                <w:color w:val="auto"/>
              </w:rPr>
            </w:pPr>
          </w:p>
        </w:tc>
        <w:tc>
          <w:tcPr>
            <w:tcW w:w="86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2019</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648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Computer equipment</w:t>
            </w:r>
          </w:p>
        </w:tc>
        <w:tc>
          <w:tcPr>
            <w:tcW w:w="2000" w:type="dxa"/>
            <w:vAlign w:val="bottom"/>
            <w:shd w:val="clear" w:color="auto" w:fill="CCEEFF"/>
          </w:tcPr>
          <w:p>
            <w:pPr>
              <w:spacing w:after="0"/>
              <w:rPr>
                <w:sz w:val="12"/>
                <w:szCs w:val="12"/>
                <w:color w:val="auto"/>
              </w:rPr>
            </w:pP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51,922</w:t>
            </w: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360" w:type="dxa"/>
            <w:vAlign w:val="bottom"/>
            <w:shd w:val="clear" w:color="auto" w:fill="CCEEFF"/>
          </w:tcPr>
          <w:p>
            <w:pPr>
              <w:jc w:val="right"/>
              <w:ind w:right="251"/>
              <w:spacing w:after="0"/>
              <w:rPr>
                <w:sz w:val="20"/>
                <w:szCs w:val="20"/>
                <w:color w:val="auto"/>
              </w:rPr>
            </w:pPr>
            <w:r>
              <w:rPr>
                <w:rFonts w:ascii="Arial" w:cs="Arial" w:eastAsia="Arial" w:hAnsi="Arial"/>
                <w:sz w:val="10"/>
                <w:szCs w:val="10"/>
                <w:color w:val="auto"/>
                <w:w w:val="71"/>
              </w:rPr>
              <w:t>$</w:t>
            </w:r>
          </w:p>
        </w:tc>
        <w:tc>
          <w:tcPr>
            <w:tcW w:w="8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51,922</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6480" w:type="dxa"/>
            <w:vAlign w:val="bottom"/>
          </w:tcPr>
          <w:p>
            <w:pPr>
              <w:spacing w:after="0"/>
              <w:rPr>
                <w:sz w:val="20"/>
                <w:szCs w:val="20"/>
                <w:color w:val="auto"/>
              </w:rPr>
            </w:pPr>
            <w:r>
              <w:rPr>
                <w:rFonts w:ascii="Arial" w:cs="Arial" w:eastAsia="Arial" w:hAnsi="Arial"/>
                <w:sz w:val="13"/>
                <w:szCs w:val="13"/>
                <w:color w:val="auto"/>
              </w:rPr>
              <w:t>Software</w:t>
            </w:r>
          </w:p>
        </w:tc>
        <w:tc>
          <w:tcPr>
            <w:tcW w:w="200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8,185</w:t>
            </w: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8,185</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480" w:type="dxa"/>
            <w:vAlign w:val="bottom"/>
            <w:shd w:val="clear" w:color="auto" w:fill="CCEEFF"/>
          </w:tcPr>
          <w:p>
            <w:pPr>
              <w:spacing w:after="0"/>
              <w:rPr>
                <w:sz w:val="20"/>
                <w:szCs w:val="20"/>
                <w:color w:val="auto"/>
              </w:rPr>
            </w:pPr>
            <w:r>
              <w:rPr>
                <w:rFonts w:ascii="Arial" w:cs="Arial" w:eastAsia="Arial" w:hAnsi="Arial"/>
                <w:sz w:val="13"/>
                <w:szCs w:val="13"/>
                <w:color w:val="auto"/>
              </w:rPr>
              <w:t>Furniture, fixtures &amp; equipment</w:t>
            </w:r>
          </w:p>
        </w:tc>
        <w:tc>
          <w:tcPr>
            <w:tcW w:w="200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313,759</w:t>
            </w: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313,759</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6480" w:type="dxa"/>
            <w:vAlign w:val="bottom"/>
          </w:tcPr>
          <w:p>
            <w:pPr>
              <w:spacing w:after="0"/>
              <w:rPr>
                <w:sz w:val="20"/>
                <w:szCs w:val="20"/>
                <w:color w:val="auto"/>
              </w:rPr>
            </w:pPr>
            <w:r>
              <w:rPr>
                <w:rFonts w:ascii="Arial" w:cs="Arial" w:eastAsia="Arial" w:hAnsi="Arial"/>
                <w:sz w:val="13"/>
                <w:szCs w:val="13"/>
                <w:color w:val="auto"/>
              </w:rPr>
              <w:t>Leasehold improvements</w:t>
            </w:r>
          </w:p>
        </w:tc>
        <w:tc>
          <w:tcPr>
            <w:tcW w:w="200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44,510</w:t>
            </w:r>
          </w:p>
        </w:tc>
        <w:tc>
          <w:tcPr>
            <w:tcW w:w="10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960" w:type="dxa"/>
            <w:vAlign w:val="bottom"/>
            <w:gridSpan w:val="2"/>
          </w:tcPr>
          <w:p>
            <w:pPr>
              <w:jc w:val="right"/>
              <w:ind w:right="100"/>
              <w:spacing w:after="0"/>
              <w:rPr>
                <w:sz w:val="20"/>
                <w:szCs w:val="20"/>
                <w:color w:val="auto"/>
              </w:rPr>
            </w:pPr>
            <w:r>
              <w:rPr>
                <w:rFonts w:ascii="Arial" w:cs="Arial" w:eastAsia="Arial" w:hAnsi="Arial"/>
                <w:sz w:val="13"/>
                <w:szCs w:val="13"/>
                <w:color w:val="auto"/>
              </w:rPr>
              <w:t>44,510</w:t>
            </w:r>
          </w:p>
        </w:tc>
        <w:tc>
          <w:tcPr>
            <w:tcW w:w="0" w:type="dxa"/>
            <w:vAlign w:val="bottom"/>
          </w:tcPr>
          <w:p>
            <w:pPr>
              <w:spacing w:after="0"/>
              <w:rPr>
                <w:sz w:val="1"/>
                <w:szCs w:val="1"/>
                <w:color w:val="auto"/>
              </w:rPr>
            </w:pPr>
          </w:p>
        </w:tc>
      </w:tr>
      <w:tr>
        <w:trPr>
          <w:trHeight w:val="147"/>
        </w:trPr>
        <w:tc>
          <w:tcPr>
            <w:tcW w:w="6480" w:type="dxa"/>
            <w:vAlign w:val="bottom"/>
            <w:tcBorders>
              <w:top w:val="single" w:sz="8" w:color="CCEEFF"/>
            </w:tcBorders>
            <w:shd w:val="clear" w:color="auto" w:fill="CCEEFF"/>
          </w:tcPr>
          <w:p>
            <w:pPr>
              <w:spacing w:after="0"/>
              <w:rPr>
                <w:sz w:val="12"/>
                <w:szCs w:val="12"/>
                <w:color w:val="auto"/>
              </w:rPr>
            </w:pPr>
          </w:p>
        </w:tc>
        <w:tc>
          <w:tcPr>
            <w:tcW w:w="200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tcBorders>
            <w:shd w:val="clear" w:color="auto" w:fill="CCEEFF"/>
          </w:tcPr>
          <w:p>
            <w:pPr>
              <w:spacing w:after="0"/>
              <w:rPr>
                <w:sz w:val="12"/>
                <w:szCs w:val="12"/>
                <w:color w:val="auto"/>
              </w:rPr>
            </w:pPr>
          </w:p>
        </w:tc>
        <w:tc>
          <w:tcPr>
            <w:tcW w:w="9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418,376</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360" w:type="dxa"/>
            <w:vAlign w:val="bottom"/>
            <w:tcBorders>
              <w:top w:val="single" w:sz="8" w:color="auto"/>
            </w:tcBorders>
            <w:shd w:val="clear" w:color="auto" w:fill="CCEEFF"/>
          </w:tcPr>
          <w:p>
            <w:pPr>
              <w:spacing w:after="0"/>
              <w:rPr>
                <w:sz w:val="12"/>
                <w:szCs w:val="12"/>
                <w:color w:val="auto"/>
              </w:rPr>
            </w:pPr>
          </w:p>
        </w:tc>
        <w:tc>
          <w:tcPr>
            <w:tcW w:w="8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418,376</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6480" w:type="dxa"/>
            <w:vAlign w:val="bottom"/>
          </w:tcPr>
          <w:p>
            <w:pPr>
              <w:spacing w:after="0"/>
              <w:rPr>
                <w:sz w:val="20"/>
                <w:szCs w:val="20"/>
                <w:color w:val="auto"/>
              </w:rPr>
            </w:pPr>
            <w:r>
              <w:rPr>
                <w:rFonts w:ascii="Arial" w:cs="Arial" w:eastAsia="Arial" w:hAnsi="Arial"/>
                <w:sz w:val="13"/>
                <w:szCs w:val="13"/>
                <w:color w:val="auto"/>
              </w:rPr>
              <w:t>Accumulated depreciation</w:t>
            </w:r>
          </w:p>
        </w:tc>
        <w:tc>
          <w:tcPr>
            <w:tcW w:w="200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0"/>
              <w:spacing w:after="0"/>
              <w:rPr>
                <w:sz w:val="20"/>
                <w:szCs w:val="20"/>
                <w:color w:val="auto"/>
              </w:rPr>
            </w:pPr>
            <w:r>
              <w:rPr>
                <w:rFonts w:ascii="Arial" w:cs="Arial" w:eastAsia="Arial" w:hAnsi="Arial"/>
                <w:sz w:val="13"/>
                <w:szCs w:val="13"/>
                <w:color w:val="auto"/>
              </w:rPr>
              <w:t>(396,463)</w:t>
            </w:r>
          </w:p>
        </w:tc>
        <w:tc>
          <w:tcPr>
            <w:tcW w:w="10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960" w:type="dxa"/>
            <w:vAlign w:val="bottom"/>
            <w:gridSpan w:val="2"/>
          </w:tcPr>
          <w:p>
            <w:pPr>
              <w:jc w:val="right"/>
              <w:ind w:right="60"/>
              <w:spacing w:after="0"/>
              <w:rPr>
                <w:sz w:val="20"/>
                <w:szCs w:val="20"/>
                <w:color w:val="auto"/>
              </w:rPr>
            </w:pPr>
            <w:r>
              <w:rPr>
                <w:rFonts w:ascii="Arial" w:cs="Arial" w:eastAsia="Arial" w:hAnsi="Arial"/>
                <w:sz w:val="13"/>
                <w:szCs w:val="13"/>
                <w:color w:val="auto"/>
              </w:rPr>
              <w:t>(355,321)</w:t>
            </w:r>
          </w:p>
        </w:tc>
        <w:tc>
          <w:tcPr>
            <w:tcW w:w="0" w:type="dxa"/>
            <w:vAlign w:val="bottom"/>
          </w:tcPr>
          <w:p>
            <w:pPr>
              <w:spacing w:after="0"/>
              <w:rPr>
                <w:sz w:val="1"/>
                <w:szCs w:val="1"/>
                <w:color w:val="auto"/>
              </w:rPr>
            </w:pPr>
          </w:p>
        </w:tc>
      </w:tr>
      <w:tr>
        <w:trPr>
          <w:trHeight w:val="20"/>
        </w:trPr>
        <w:tc>
          <w:tcPr>
            <w:tcW w:w="6480" w:type="dxa"/>
            <w:vAlign w:val="bottom"/>
            <w:vMerge w:val="restart"/>
            <w:shd w:val="clear" w:color="auto" w:fill="CCEEFF"/>
          </w:tcPr>
          <w:p>
            <w:pPr>
              <w:spacing w:after="0"/>
              <w:rPr>
                <w:sz w:val="20"/>
                <w:szCs w:val="20"/>
                <w:color w:val="auto"/>
              </w:rPr>
            </w:pPr>
            <w:r>
              <w:rPr>
                <w:rFonts w:ascii="Arial" w:cs="Arial" w:eastAsia="Arial" w:hAnsi="Arial"/>
                <w:sz w:val="13"/>
                <w:szCs w:val="13"/>
                <w:color w:val="auto"/>
              </w:rPr>
              <w:t>Property, equipment and software, net</w:t>
            </w:r>
          </w:p>
        </w:tc>
        <w:tc>
          <w:tcPr>
            <w:tcW w:w="2000" w:type="dxa"/>
            <w:vAlign w:val="bottom"/>
            <w:shd w:val="clear" w:color="auto" w:fill="CCEEFF"/>
          </w:tcPr>
          <w:p>
            <w:pPr>
              <w:spacing w:after="0" w:line="20" w:lineRule="exact"/>
              <w:rPr>
                <w:sz w:val="1"/>
                <w:szCs w:val="1"/>
                <w:color w:val="auto"/>
              </w:rPr>
            </w:pPr>
          </w:p>
        </w:tc>
        <w:tc>
          <w:tcPr>
            <w:tcW w:w="28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140" w:type="dxa"/>
            <w:vAlign w:val="bottom"/>
            <w:shd w:val="clear" w:color="auto" w:fill="CCEEFF"/>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360" w:type="dxa"/>
            <w:vAlign w:val="bottom"/>
            <w:shd w:val="clear" w:color="auto" w:fill="000000"/>
          </w:tcPr>
          <w:p>
            <w:pPr>
              <w:spacing w:after="0" w:line="20" w:lineRule="exact"/>
              <w:rPr>
                <w:sz w:val="1"/>
                <w:szCs w:val="1"/>
                <w:color w:val="auto"/>
              </w:rPr>
            </w:pPr>
          </w:p>
        </w:tc>
        <w:tc>
          <w:tcPr>
            <w:tcW w:w="86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5"/>
        </w:trPr>
        <w:tc>
          <w:tcPr>
            <w:tcW w:w="6480" w:type="dxa"/>
            <w:vAlign w:val="bottom"/>
            <w:vMerge w:val="continue"/>
            <w:shd w:val="clear" w:color="auto" w:fill="CCEEFF"/>
          </w:tcPr>
          <w:p>
            <w:pPr>
              <w:spacing w:after="0"/>
              <w:rPr>
                <w:sz w:val="13"/>
                <w:szCs w:val="13"/>
                <w:color w:val="auto"/>
              </w:rPr>
            </w:pPr>
          </w:p>
        </w:tc>
        <w:tc>
          <w:tcPr>
            <w:tcW w:w="2280" w:type="dxa"/>
            <w:vAlign w:val="bottom"/>
            <w:gridSpan w:val="2"/>
            <w:shd w:val="clear" w:color="auto" w:fill="CCEEFF"/>
          </w:tcPr>
          <w:p>
            <w:pPr>
              <w:jc w:val="right"/>
              <w:ind w:right="171"/>
              <w:spacing w:after="0"/>
              <w:rPr>
                <w:sz w:val="20"/>
                <w:szCs w:val="20"/>
                <w:color w:val="auto"/>
              </w:rPr>
            </w:pPr>
            <w:r>
              <w:rPr>
                <w:rFonts w:ascii="Arial" w:cs="Arial" w:eastAsia="Arial" w:hAnsi="Arial"/>
                <w:sz w:val="13"/>
                <w:szCs w:val="13"/>
                <w:color w:val="auto"/>
              </w:rPr>
              <w:t>$</w:t>
            </w: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21,903</w:t>
            </w:r>
          </w:p>
        </w:tc>
        <w:tc>
          <w:tcPr>
            <w:tcW w:w="460" w:type="dxa"/>
            <w:vAlign w:val="bottom"/>
            <w:gridSpan w:val="2"/>
            <w:shd w:val="clear" w:color="auto" w:fill="CCEEFF"/>
          </w:tcPr>
          <w:p>
            <w:pPr>
              <w:jc w:val="right"/>
              <w:ind w:right="251"/>
              <w:spacing w:after="0"/>
              <w:rPr>
                <w:sz w:val="20"/>
                <w:szCs w:val="20"/>
                <w:color w:val="auto"/>
              </w:rPr>
            </w:pPr>
            <w:r>
              <w:rPr>
                <w:rFonts w:ascii="Arial" w:cs="Arial" w:eastAsia="Arial" w:hAnsi="Arial"/>
                <w:sz w:val="13"/>
                <w:szCs w:val="13"/>
                <w:color w:val="auto"/>
              </w:rPr>
              <w:t>$</w:t>
            </w:r>
          </w:p>
        </w:tc>
        <w:tc>
          <w:tcPr>
            <w:tcW w:w="9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63,055</w:t>
            </w:r>
          </w:p>
        </w:tc>
        <w:tc>
          <w:tcPr>
            <w:tcW w:w="0" w:type="dxa"/>
            <w:vAlign w:val="bottom"/>
          </w:tcPr>
          <w:p>
            <w:pPr>
              <w:spacing w:after="0"/>
              <w:rPr>
                <w:sz w:val="1"/>
                <w:szCs w:val="1"/>
                <w:color w:val="auto"/>
              </w:rPr>
            </w:pPr>
          </w:p>
        </w:tc>
      </w:tr>
      <w:tr>
        <w:trPr>
          <w:trHeight w:val="30"/>
        </w:trPr>
        <w:tc>
          <w:tcPr>
            <w:tcW w:w="6480" w:type="dxa"/>
            <w:vAlign w:val="bottom"/>
            <w:shd w:val="clear" w:color="auto" w:fill="CCEEFF"/>
          </w:tcPr>
          <w:p>
            <w:pPr>
              <w:spacing w:after="0"/>
              <w:rPr>
                <w:sz w:val="2"/>
                <w:szCs w:val="2"/>
                <w:color w:val="auto"/>
              </w:rPr>
            </w:pPr>
          </w:p>
        </w:tc>
        <w:tc>
          <w:tcPr>
            <w:tcW w:w="2000" w:type="dxa"/>
            <w:vAlign w:val="bottom"/>
            <w:shd w:val="clear" w:color="auto" w:fill="CCEEFF"/>
          </w:tcPr>
          <w:p>
            <w:pPr>
              <w:spacing w:after="0"/>
              <w:rPr>
                <w:sz w:val="2"/>
                <w:szCs w:val="2"/>
                <w:color w:val="auto"/>
              </w:rPr>
            </w:pPr>
          </w:p>
        </w:tc>
        <w:tc>
          <w:tcPr>
            <w:tcW w:w="280" w:type="dxa"/>
            <w:vAlign w:val="bottom"/>
            <w:shd w:val="clear" w:color="auto" w:fill="000000"/>
          </w:tcPr>
          <w:p>
            <w:pPr>
              <w:spacing w:after="0"/>
              <w:rPr>
                <w:sz w:val="2"/>
                <w:szCs w:val="2"/>
                <w:color w:val="auto"/>
              </w:rPr>
            </w:pPr>
          </w:p>
        </w:tc>
        <w:tc>
          <w:tcPr>
            <w:tcW w:w="960" w:type="dxa"/>
            <w:vAlign w:val="bottom"/>
            <w:shd w:val="clear" w:color="auto" w:fill="000000"/>
          </w:tcPr>
          <w:p>
            <w:pPr>
              <w:spacing w:after="0"/>
              <w:rPr>
                <w:sz w:val="2"/>
                <w:szCs w:val="2"/>
                <w:color w:val="auto"/>
              </w:rPr>
            </w:pPr>
          </w:p>
        </w:tc>
        <w:tc>
          <w:tcPr>
            <w:tcW w:w="14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360" w:type="dxa"/>
            <w:vAlign w:val="bottom"/>
            <w:shd w:val="clear" w:color="auto" w:fill="000000"/>
          </w:tcPr>
          <w:p>
            <w:pPr>
              <w:spacing w:after="0"/>
              <w:rPr>
                <w:sz w:val="2"/>
                <w:szCs w:val="2"/>
                <w:color w:val="auto"/>
              </w:rPr>
            </w:pPr>
          </w:p>
        </w:tc>
        <w:tc>
          <w:tcPr>
            <w:tcW w:w="86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8"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Depreciation and amortization expense on property, equipment and software included in research and development expenses amounted to $9,299 and $15,637, cost of services amounted to $25,848 and $36,903 and general and administrative expenses amounted to $7,300 and $9,586 as of December 31, 2020 and 2019, respectively. Depreciation and amortization expense relating to cost of services, research and development and sales and marketing was insignificant for all periods presented.</w:t>
      </w:r>
    </w:p>
    <w:p>
      <w:pPr>
        <w:spacing w:after="0" w:line="293"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71" w:name="page72"/>
    <w:bookmarkEnd w:id="71"/>
    <w:p>
      <w:pPr>
        <w:spacing w:after="0"/>
        <w:rPr>
          <w:sz w:val="20"/>
          <w:szCs w:val="20"/>
          <w:color w:val="auto"/>
        </w:rPr>
      </w:pPr>
      <w:r>
        <w:rPr>
          <w:rFonts w:ascii="Arial" w:cs="Arial" w:eastAsia="Arial" w:hAnsi="Arial"/>
          <w:sz w:val="13"/>
          <w:szCs w:val="13"/>
          <w:b w:val="1"/>
          <w:bCs w:val="1"/>
          <w:color w:val="auto"/>
        </w:rPr>
        <w:t>NOTE 1: The Company and Summary of Significant Accounting Policies (Continue)</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Impairment of Long-Lived Assets</w:t>
      </w:r>
    </w:p>
    <w:p>
      <w:pPr>
        <w:spacing w:after="0" w:line="163" w:lineRule="exact"/>
        <w:rPr>
          <w:sz w:val="20"/>
          <w:szCs w:val="20"/>
          <w:color w:val="auto"/>
        </w:rPr>
      </w:pPr>
    </w:p>
    <w:p>
      <w:pPr>
        <w:jc w:val="both"/>
        <w:spacing w:after="0" w:line="283" w:lineRule="auto"/>
        <w:rPr>
          <w:sz w:val="20"/>
          <w:szCs w:val="20"/>
          <w:color w:val="auto"/>
        </w:rPr>
      </w:pPr>
      <w:r>
        <w:rPr>
          <w:rFonts w:ascii="Arial" w:cs="Arial" w:eastAsia="Arial" w:hAnsi="Arial"/>
          <w:sz w:val="12"/>
          <w:szCs w:val="12"/>
          <w:color w:val="auto"/>
        </w:rPr>
        <w:t>The Company assesses the impairment of long-lived assets whenever events or changes in circumstances indicate that their carrying value may not be recoverable from the estimated future cash flows expected to result from their use or eventual disposition. If estimates of future undiscounted net cash flows are insufficient to recover the carrying value of the assets, the Company will record an impairment loss in the amount by which the carrying value exceeds the fair value. If the assets are determined to be recoverable, but the useful lives are shorter than originally estimated, the Company will depreciate or amortize the net book value of the assets over the newly determined remaining useful lives. None of the Company’s ASRs or property and equipment was determined to be impaired as of December 31, 2020 and 2019. The Company did write off some of its damaged ASR’s resulting in a loss of $59,575 and $74,222 during the years ended December 31, 2020 and 2019, respectively.</w:t>
      </w:r>
    </w:p>
    <w:p>
      <w:pPr>
        <w:spacing w:after="0" w:line="125"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Leases</w:t>
      </w:r>
    </w:p>
    <w:p>
      <w:pPr>
        <w:spacing w:after="0" w:line="163"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The Company determines if a contract is a lease or contains a lease at the inception of the contract and reassesses that conclusion if the contract is modified. All leases are assessed for classification as an operating lease or a finance lease. Operating lease right-of-use (“ROU”) assets are presented separately on the Company's Balance Sheet. The Company does not have any finance lease ROU assets or liabilities. ROU assets represent the Company's right to use an underlying asset for the lease term and lease liabilities represent its obligation to make lease payments arising from the lease. The Company does not obtain and control its right to use the identified asset until the lease commencement date.</w:t>
      </w:r>
    </w:p>
    <w:p>
      <w:pPr>
        <w:spacing w:after="0" w:line="139" w:lineRule="exact"/>
        <w:rPr>
          <w:sz w:val="20"/>
          <w:szCs w:val="20"/>
          <w:color w:val="auto"/>
        </w:rPr>
      </w:pPr>
    </w:p>
    <w:p>
      <w:pPr>
        <w:jc w:val="both"/>
        <w:spacing w:after="0" w:line="283" w:lineRule="auto"/>
        <w:rPr>
          <w:sz w:val="20"/>
          <w:szCs w:val="20"/>
          <w:color w:val="auto"/>
        </w:rPr>
      </w:pPr>
      <w:r>
        <w:rPr>
          <w:rFonts w:ascii="Arial" w:cs="Arial" w:eastAsia="Arial" w:hAnsi="Arial"/>
          <w:sz w:val="12"/>
          <w:szCs w:val="12"/>
          <w:color w:val="auto"/>
        </w:rPr>
        <w:t>The Company’s lease liabilities are recognized at the applicable lease commencement date based on the present value of the lease payments required to be paid over the lease term. Because the rate implicit in the lease is not readily determinable, the Company generally uses its incremental borrowing rate to discount the lease payments to present value. The estimated incremental borrowing rate is derived from information available at the lease commencement date. The Company factors in publicly available data for instruments with similar characteristics when calculating its incremental borrowing rates. The Company's ROU assets are also recognized at the applicable lease commencement date. The ROU asset equals the carrying amount of the related lease liability, adjusted for any lease payments made prior to lease commencement and lease incentives provided by the lessor. Variable lease payments are expensed as incurred and do not factor into the measurement of the applicable ROU asset or lease liability.</w:t>
      </w:r>
    </w:p>
    <w:p>
      <w:pPr>
        <w:spacing w:after="0" w:line="125"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The term of the Company's leases equals the non-cancellable period of the lease, including any rent-free periods provided by the lessor, and also include options to renew or extend the lease (including by not terminating the lease) that the Company is reasonably certain to exercise. The Company establishes the term of each lease at lease commencement and reassesses that term in subsequent periods when one of the triggering events outlined in Topic 842 occurs. Operating lease cost for lease payments is recognized on a straight-line basis over the lease term.</w:t>
      </w:r>
    </w:p>
    <w:p>
      <w:pPr>
        <w:spacing w:after="0" w:line="136"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The adjustments due to the adoption of Topic 842 primarily related to the recognition of an operating lease right-of-use asset and corresponding operating lease liability for the Company’s leased properties. The Company’s operating lease right-of-use asset and liability were recognized at the adoption date of ASC 842 based on the present value of lease payments over the remaining lease term at the adoption date. In determining the net present value of lease payments, the Company used its incremental borrowing rate of 12% based on the information available, including remaining lease term, at the adoption date of ASC 842. As of December 31, 2020, the weighted-average remaining lease term was 2.7 years for the Company’s leased properties.</w:t>
      </w:r>
    </w:p>
    <w:p>
      <w:pPr>
        <w:spacing w:after="0" w:line="296"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72" w:name="page73"/>
    <w:bookmarkEnd w:id="72"/>
    <w:p>
      <w:pPr>
        <w:spacing w:after="0"/>
        <w:rPr>
          <w:sz w:val="20"/>
          <w:szCs w:val="20"/>
          <w:color w:val="auto"/>
        </w:rPr>
      </w:pPr>
      <w:r>
        <w:rPr>
          <w:rFonts w:ascii="Arial" w:cs="Arial" w:eastAsia="Arial" w:hAnsi="Arial"/>
          <w:sz w:val="13"/>
          <w:szCs w:val="13"/>
          <w:b w:val="1"/>
          <w:bCs w:val="1"/>
          <w:color w:val="auto"/>
        </w:rPr>
        <w:t>NOTE 1: The Company and Summary of Significant Accounting Policies (Continue)</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color w:val="auto"/>
        </w:rPr>
        <w:t>There was no effect from the adoption of Topic 842 on the Company’s Statement of cash flows.</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Company's lease contracts often include lease and non-lease components. For facility leases, the Company has elected the practical expedient offered by the standard to not separate lease from non-lease components and accounts for them as a single lease component.</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 has elected, for all classes of underlying assets, not to recognize ROU assets and lease liabilities for leases with a term of twelve months or less. Lease cost for short-term leases is recognized on a straight-line basis over the lease term.</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Convertible Preferred Warrant Liabilities and Common Stock Warrants</w:t>
      </w:r>
    </w:p>
    <w:p>
      <w:pPr>
        <w:spacing w:after="0" w:line="163" w:lineRule="exact"/>
        <w:rPr>
          <w:sz w:val="20"/>
          <w:szCs w:val="20"/>
          <w:color w:val="auto"/>
        </w:rPr>
      </w:pPr>
    </w:p>
    <w:p>
      <w:pPr>
        <w:jc w:val="both"/>
        <w:spacing w:after="0" w:line="255" w:lineRule="auto"/>
        <w:rPr>
          <w:sz w:val="20"/>
          <w:szCs w:val="20"/>
          <w:color w:val="auto"/>
        </w:rPr>
      </w:pPr>
      <w:r>
        <w:rPr>
          <w:rFonts w:ascii="Arial" w:cs="Arial" w:eastAsia="Arial" w:hAnsi="Arial"/>
          <w:sz w:val="13"/>
          <w:szCs w:val="13"/>
          <w:color w:val="auto"/>
        </w:rPr>
        <w:t>Freestanding warrants to purchase shares of the Company’s preferred stock are classified as liabilities on the balance sheets at their estimated fair value because the underlying shares of preferred stock are contingently redeemable and, therefore, may obligate the Company to transfer assets at some point in the future. The preferred stock warrants are recorded at fair value upon issuance and are subject to remeasurement to their respective estimated fair values. At the end of each reporting period, changes in the estimated fair value of the preferred stock warrants are recorded in the statements of operations. The Company will continue to adjust the liability associated with the preferred stock warrants for changes in the estimated fair value until the earlier of the exercise or expiration of the preferred stock warrants, the completion of a sale of the Company or an IPO. Upon an IPO, the preferred stock warrants will convert into warrants to purchase common stock and any liabilities recorded for the preferred stock warrants will be reclassified to additional paid-in capital and will no longer be subject to remeasurement.</w:t>
      </w:r>
    </w:p>
    <w:p>
      <w:pPr>
        <w:spacing w:after="0" w:line="142" w:lineRule="exact"/>
        <w:rPr>
          <w:sz w:val="20"/>
          <w:szCs w:val="20"/>
          <w:color w:val="auto"/>
        </w:rPr>
      </w:pPr>
    </w:p>
    <w:p>
      <w:pPr>
        <w:jc w:val="both"/>
        <w:spacing w:after="0" w:line="317" w:lineRule="auto"/>
        <w:rPr>
          <w:sz w:val="20"/>
          <w:szCs w:val="20"/>
          <w:color w:val="auto"/>
        </w:rPr>
      </w:pPr>
      <w:r>
        <w:rPr>
          <w:rFonts w:ascii="Arial" w:cs="Arial" w:eastAsia="Arial" w:hAnsi="Arial"/>
          <w:sz w:val="12"/>
          <w:szCs w:val="12"/>
          <w:color w:val="auto"/>
        </w:rPr>
        <w:t>The Company issued common stock warrants in connection with the execution of a certain debt financing during the year ended December 31, 2015. Common stock warrants that are not considered derivative liabilities are accounted for at fair value at the date of issuance in additional paid-in capital. The fair value of these common stock warrants is determined using the Black-Scholes option-pricing model.</w:t>
      </w:r>
    </w:p>
    <w:p>
      <w:pPr>
        <w:spacing w:after="0" w:line="105"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Revenue Recognition</w:t>
      </w:r>
    </w:p>
    <w:p>
      <w:pPr>
        <w:spacing w:after="0" w:line="163"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The Company derives its revenues primarily from lease of proprietary ASRs along with access to the browser-based interface KSOC through contracts under the lease accounting that typically have a twelve (12) month term. In addition, the Company derives non-lease revenue items such as professional services related to ASRs’ deployments, special decals and training if any, recognized when control of these services is transferred to the Clients, in an amount that reflects the consideration the Company expects to be entitled to in exchange for those services.</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color w:val="auto"/>
        </w:rPr>
        <w:t>The Company determines revenue recognition through the following steps:</w:t>
      </w:r>
    </w:p>
    <w:p>
      <w:pPr>
        <w:spacing w:after="0" w:line="163" w:lineRule="exact"/>
        <w:rPr>
          <w:sz w:val="20"/>
          <w:szCs w:val="20"/>
          <w:color w:val="auto"/>
        </w:rPr>
      </w:pPr>
    </w:p>
    <w:p>
      <w:pPr>
        <w:ind w:left="460" w:hanging="227"/>
        <w:spacing w:after="0"/>
        <w:tabs>
          <w:tab w:leader="none" w:pos="460" w:val="left"/>
        </w:tabs>
        <w:numPr>
          <w:ilvl w:val="0"/>
          <w:numId w:val="37"/>
        </w:numPr>
        <w:rPr>
          <w:rFonts w:ascii="Arial" w:cs="Arial" w:eastAsia="Arial" w:hAnsi="Arial"/>
          <w:sz w:val="13"/>
          <w:szCs w:val="13"/>
          <w:color w:val="auto"/>
        </w:rPr>
      </w:pPr>
      <w:r>
        <w:rPr>
          <w:rFonts w:ascii="Arial" w:cs="Arial" w:eastAsia="Arial" w:hAnsi="Arial"/>
          <w:sz w:val="13"/>
          <w:szCs w:val="13"/>
          <w:color w:val="auto"/>
        </w:rPr>
        <w:t>identification of the contract, or contracts, with a Client;</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37"/>
        </w:numPr>
        <w:rPr>
          <w:rFonts w:ascii="Arial" w:cs="Arial" w:eastAsia="Arial" w:hAnsi="Arial"/>
          <w:sz w:val="13"/>
          <w:szCs w:val="13"/>
          <w:color w:val="auto"/>
        </w:rPr>
      </w:pPr>
      <w:r>
        <w:rPr>
          <w:rFonts w:ascii="Arial" w:cs="Arial" w:eastAsia="Arial" w:hAnsi="Arial"/>
          <w:sz w:val="13"/>
          <w:szCs w:val="13"/>
          <w:color w:val="auto"/>
        </w:rPr>
        <w:t>identification of the performance obligations in the contract;</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37"/>
        </w:numPr>
        <w:rPr>
          <w:rFonts w:ascii="Arial" w:cs="Arial" w:eastAsia="Arial" w:hAnsi="Arial"/>
          <w:sz w:val="13"/>
          <w:szCs w:val="13"/>
          <w:color w:val="auto"/>
        </w:rPr>
      </w:pPr>
      <w:r>
        <w:rPr>
          <w:rFonts w:ascii="Arial" w:cs="Arial" w:eastAsia="Arial" w:hAnsi="Arial"/>
          <w:sz w:val="13"/>
          <w:szCs w:val="13"/>
          <w:color w:val="auto"/>
        </w:rPr>
        <w:t>determination of the transaction price;</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37"/>
        </w:numPr>
        <w:rPr>
          <w:rFonts w:ascii="Arial" w:cs="Arial" w:eastAsia="Arial" w:hAnsi="Arial"/>
          <w:sz w:val="13"/>
          <w:szCs w:val="13"/>
          <w:color w:val="auto"/>
        </w:rPr>
      </w:pPr>
      <w:r>
        <w:rPr>
          <w:rFonts w:ascii="Arial" w:cs="Arial" w:eastAsia="Arial" w:hAnsi="Arial"/>
          <w:sz w:val="13"/>
          <w:szCs w:val="13"/>
          <w:color w:val="auto"/>
        </w:rPr>
        <w:t>allocation of the transaction price to the performance obligations in the contract; and</w:t>
      </w:r>
    </w:p>
    <w:p>
      <w:pPr>
        <w:spacing w:after="0" w:line="163" w:lineRule="exact"/>
        <w:rPr>
          <w:rFonts w:ascii="Arial" w:cs="Arial" w:eastAsia="Arial" w:hAnsi="Arial"/>
          <w:sz w:val="13"/>
          <w:szCs w:val="13"/>
          <w:color w:val="auto"/>
        </w:rPr>
      </w:pPr>
    </w:p>
    <w:p>
      <w:pPr>
        <w:ind w:right="6420" w:firstLine="233"/>
        <w:spacing w:after="0" w:line="502" w:lineRule="auto"/>
        <w:tabs>
          <w:tab w:leader="none" w:pos="469" w:val="left"/>
        </w:tabs>
        <w:numPr>
          <w:ilvl w:val="0"/>
          <w:numId w:val="37"/>
        </w:numPr>
        <w:rPr>
          <w:rFonts w:ascii="Arial" w:cs="Arial" w:eastAsia="Arial" w:hAnsi="Arial"/>
          <w:sz w:val="13"/>
          <w:szCs w:val="13"/>
          <w:color w:val="auto"/>
        </w:rPr>
      </w:pPr>
      <w:r>
        <w:rPr>
          <w:rFonts w:ascii="Arial" w:cs="Arial" w:eastAsia="Arial" w:hAnsi="Arial"/>
          <w:sz w:val="13"/>
          <w:szCs w:val="13"/>
          <w:color w:val="auto"/>
        </w:rPr>
        <w:t>recognition of revenue when, or as, the Company satisfies a performance obligation. The Company recognizes revenue as follows:</w:t>
      </w:r>
    </w:p>
    <w:p>
      <w:pPr>
        <w:spacing w:after="0"/>
        <w:rPr>
          <w:sz w:val="20"/>
          <w:szCs w:val="20"/>
          <w:color w:val="auto"/>
        </w:rPr>
      </w:pPr>
      <w:r>
        <w:rPr>
          <w:rFonts w:ascii="Arial" w:cs="Arial" w:eastAsia="Arial" w:hAnsi="Arial"/>
          <w:sz w:val="13"/>
          <w:szCs w:val="13"/>
          <w:i w:val="1"/>
          <w:iCs w:val="1"/>
          <w:color w:val="auto"/>
        </w:rPr>
        <w:t>ASR subscription revenue</w:t>
      </w:r>
    </w:p>
    <w:p>
      <w:pPr>
        <w:spacing w:after="0" w:line="163"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ASR subscription revenue is generated from lease of proprietary ASRs along with access to the browser-based interface KSOC through contracts that typically have 12-month terms. These revenue arrangements adhere to lease accounting guidance and are classified as leases for revenue recognition purposes. Currently, all revenue arrangements qualify as operating leases where consideration allocated to the lease deliverables is recognized ratably over the lease term.</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i w:val="1"/>
          <w:iCs w:val="1"/>
          <w:color w:val="auto"/>
        </w:rPr>
        <w:t>Other revenue</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Other non-ASR related revenue such as deployment services, decals and training revenue is recognized when services are delivered.</w:t>
      </w:r>
    </w:p>
    <w:p>
      <w:pPr>
        <w:spacing w:after="0" w:line="320"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73" w:name="page74"/>
    <w:bookmarkEnd w:id="73"/>
    <w:p>
      <w:pPr>
        <w:spacing w:after="0"/>
        <w:rPr>
          <w:sz w:val="20"/>
          <w:szCs w:val="20"/>
          <w:color w:val="auto"/>
        </w:rPr>
      </w:pPr>
      <w:r>
        <w:rPr>
          <w:rFonts w:ascii="Arial" w:cs="Arial" w:eastAsia="Arial" w:hAnsi="Arial"/>
          <w:sz w:val="13"/>
          <w:szCs w:val="13"/>
          <w:b w:val="1"/>
          <w:bCs w:val="1"/>
          <w:color w:val="auto"/>
        </w:rPr>
        <w:t>NOTE 1: The Company and Summary of Significant Accounting Policies (Continue)</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Cost of Services</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Cost of services includes depreciation of the ASRs over the useful lives of the ASRs, labor and associated benefits incurred in the production and maintenance of the ASRs, data and communications fees, routine maintenance costs, shipping costs, and other direct costs incurred during assembly and deployment.</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Deferred Revenues</w:t>
      </w:r>
    </w:p>
    <w:p>
      <w:pPr>
        <w:spacing w:after="0" w:line="163"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In connection with the Company’s MaaS subscription for the Company’s ASRs, the Company’s standard billing terms are annual in advance. In these situations, the Company records the invoices as deferred revenue and amortizes the subscription amount when the services are delivered, which generally is a 12-month period. In addition, the Company refers certain transactions to Dimension, whereby Dimension advances the full value of the MaaS subscription to the Company, less a processing fee. The advanced payment is recorded in deferred revenue and amortized over the term of the subscription once the ASR is delivered to the deployment site.</w:t>
      </w:r>
    </w:p>
    <w:p>
      <w:pPr>
        <w:spacing w:after="0" w:line="139"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 derives its revenue from the lease subscription of its proprietary ASRs along with access to its browser and mobile based software interface, KSOC. MaaS subscription agreements typically have a twelve (12) month term.</w:t>
      </w:r>
    </w:p>
    <w:p>
      <w:pPr>
        <w:spacing w:after="0" w:line="128" w:lineRule="exact"/>
        <w:rPr>
          <w:sz w:val="20"/>
          <w:szCs w:val="20"/>
          <w:color w:val="auto"/>
        </w:rPr>
      </w:pPr>
    </w:p>
    <w:p>
      <w:pPr>
        <w:spacing w:after="0"/>
        <w:rPr>
          <w:sz w:val="20"/>
          <w:szCs w:val="20"/>
          <w:color w:val="auto"/>
        </w:rPr>
      </w:pPr>
      <w:r>
        <w:rPr>
          <w:rFonts w:ascii="Arial" w:cs="Arial" w:eastAsia="Arial" w:hAnsi="Arial"/>
          <w:sz w:val="12"/>
          <w:szCs w:val="12"/>
          <w:color w:val="auto"/>
        </w:rPr>
        <w:t>With the adoption of ASC 606 in January 2019, the Company estimates its revenue in the periods in which the licensee uses the licensed technology. Payments are received in the subsequent period.</w:t>
      </w:r>
    </w:p>
    <w:p>
      <w:pPr>
        <w:spacing w:after="0" w:line="175"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7920" w:type="dxa"/>
            <w:vAlign w:val="bottom"/>
          </w:tcPr>
          <w:p>
            <w:pPr>
              <w:spacing w:after="0"/>
              <w:rPr>
                <w:sz w:val="20"/>
                <w:szCs w:val="20"/>
                <w:color w:val="auto"/>
              </w:rPr>
            </w:pPr>
            <w:r>
              <w:rPr>
                <w:rFonts w:ascii="Arial" w:cs="Arial" w:eastAsia="Arial" w:hAnsi="Arial"/>
                <w:sz w:val="13"/>
                <w:szCs w:val="13"/>
                <w:color w:val="auto"/>
              </w:rPr>
              <w:t>The following table summarizes revenue by timing of recognition for the years ended:</w:t>
            </w:r>
          </w:p>
        </w:tc>
        <w:tc>
          <w:tcPr>
            <w:tcW w:w="140" w:type="dxa"/>
            <w:vAlign w:val="bottom"/>
          </w:tcPr>
          <w:p>
            <w:pPr>
              <w:spacing w:after="0"/>
              <w:rPr>
                <w:sz w:val="14"/>
                <w:szCs w:val="14"/>
                <w:color w:val="auto"/>
              </w:rPr>
            </w:pPr>
          </w:p>
        </w:tc>
        <w:tc>
          <w:tcPr>
            <w:tcW w:w="134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32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79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660" w:type="dxa"/>
            <w:vAlign w:val="bottom"/>
            <w:gridSpan w:val="2"/>
          </w:tcPr>
          <w:p>
            <w:pPr>
              <w:ind w:left="80"/>
              <w:spacing w:after="0"/>
              <w:rPr>
                <w:sz w:val="20"/>
                <w:szCs w:val="20"/>
                <w:color w:val="auto"/>
              </w:rPr>
            </w:pPr>
            <w:r>
              <w:rPr>
                <w:rFonts w:ascii="Arial" w:cs="Arial" w:eastAsia="Arial" w:hAnsi="Arial"/>
                <w:sz w:val="13"/>
                <w:szCs w:val="13"/>
                <w:color w:val="auto"/>
              </w:rPr>
              <w:t>December 31, 2020</w:t>
            </w:r>
          </w:p>
        </w:tc>
        <w:tc>
          <w:tcPr>
            <w:tcW w:w="140" w:type="dxa"/>
            <w:vAlign w:val="bottom"/>
          </w:tcPr>
          <w:p>
            <w:pPr>
              <w:spacing w:after="0"/>
              <w:rPr>
                <w:sz w:val="24"/>
                <w:szCs w:val="24"/>
                <w:color w:val="auto"/>
              </w:rPr>
            </w:pPr>
          </w:p>
        </w:tc>
        <w:tc>
          <w:tcPr>
            <w:tcW w:w="1420" w:type="dxa"/>
            <w:vAlign w:val="bottom"/>
            <w:gridSpan w:val="2"/>
          </w:tcPr>
          <w:p>
            <w:pPr>
              <w:ind w:left="80"/>
              <w:spacing w:after="0"/>
              <w:rPr>
                <w:sz w:val="20"/>
                <w:szCs w:val="20"/>
                <w:color w:val="auto"/>
              </w:rPr>
            </w:pPr>
            <w:r>
              <w:rPr>
                <w:rFonts w:ascii="Arial" w:cs="Arial" w:eastAsia="Arial" w:hAnsi="Arial"/>
                <w:sz w:val="13"/>
                <w:szCs w:val="13"/>
                <w:color w:val="auto"/>
              </w:rPr>
              <w:t>December 31, 2019</w:t>
            </w:r>
          </w:p>
        </w:tc>
      </w:tr>
      <w:tr>
        <w:trPr>
          <w:trHeight w:val="147"/>
        </w:trPr>
        <w:tc>
          <w:tcPr>
            <w:tcW w:w="7920" w:type="dxa"/>
            <w:vAlign w:val="bottom"/>
            <w:tcBorders>
              <w:top w:val="single" w:sz="8" w:color="CCEEFF"/>
            </w:tcBorders>
            <w:shd w:val="clear" w:color="auto" w:fill="CCEEFF"/>
          </w:tcPr>
          <w:p>
            <w:pPr>
              <w:spacing w:after="0" w:line="146" w:lineRule="exact"/>
              <w:rPr>
                <w:sz w:val="20"/>
                <w:szCs w:val="20"/>
                <w:color w:val="auto"/>
              </w:rPr>
            </w:pPr>
            <w:r>
              <w:rPr>
                <w:rFonts w:ascii="Arial" w:cs="Arial" w:eastAsia="Arial" w:hAnsi="Arial"/>
                <w:sz w:val="13"/>
                <w:szCs w:val="13"/>
                <w:color w:val="auto"/>
              </w:rPr>
              <w:t>Point in time</w:t>
            </w:r>
          </w:p>
        </w:tc>
        <w:tc>
          <w:tcPr>
            <w:tcW w:w="140" w:type="dxa"/>
            <w:vAlign w:val="bottom"/>
            <w:tcBorders>
              <w:top w:val="single" w:sz="8" w:color="auto"/>
            </w:tcBorders>
            <w:shd w:val="clear" w:color="auto" w:fill="CCEEFF"/>
          </w:tcPr>
          <w:p>
            <w:pPr>
              <w:jc w:val="right"/>
              <w:ind w:right="31"/>
              <w:spacing w:after="0"/>
              <w:rPr>
                <w:sz w:val="20"/>
                <w:szCs w:val="20"/>
                <w:color w:val="auto"/>
              </w:rPr>
            </w:pPr>
            <w:r>
              <w:rPr>
                <w:rFonts w:ascii="Arial" w:cs="Arial" w:eastAsia="Arial" w:hAnsi="Arial"/>
                <w:sz w:val="10"/>
                <w:szCs w:val="10"/>
                <w:color w:val="auto"/>
                <w:w w:val="71"/>
              </w:rPr>
              <w:t>$</w:t>
            </w:r>
          </w:p>
        </w:tc>
        <w:tc>
          <w:tcPr>
            <w:tcW w:w="134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46,904</w:t>
            </w:r>
          </w:p>
        </w:tc>
        <w:tc>
          <w:tcPr>
            <w:tcW w:w="32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w w:val="82"/>
              </w:rPr>
              <w:t>$</w:t>
            </w:r>
          </w:p>
        </w:tc>
        <w:tc>
          <w:tcPr>
            <w:tcW w:w="132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34,834</w:t>
            </w:r>
          </w:p>
        </w:tc>
        <w:tc>
          <w:tcPr>
            <w:tcW w:w="100" w:type="dxa"/>
            <w:vAlign w:val="bottom"/>
            <w:tcBorders>
              <w:top w:val="single" w:sz="8" w:color="CCEEFF"/>
            </w:tcBorders>
            <w:shd w:val="clear" w:color="auto" w:fill="CCEEFF"/>
          </w:tcPr>
          <w:p>
            <w:pPr>
              <w:spacing w:after="0"/>
              <w:rPr>
                <w:sz w:val="12"/>
                <w:szCs w:val="12"/>
                <w:color w:val="auto"/>
              </w:rPr>
            </w:pPr>
          </w:p>
        </w:tc>
      </w:tr>
      <w:tr>
        <w:trPr>
          <w:trHeight w:val="166"/>
        </w:trPr>
        <w:tc>
          <w:tcPr>
            <w:tcW w:w="7920" w:type="dxa"/>
            <w:vAlign w:val="bottom"/>
            <w:tcBorders>
              <w:bottom w:val="single" w:sz="8" w:color="CCEEFF"/>
            </w:tcBorders>
          </w:tcPr>
          <w:p>
            <w:pPr>
              <w:spacing w:after="0"/>
              <w:rPr>
                <w:sz w:val="20"/>
                <w:szCs w:val="20"/>
                <w:color w:val="auto"/>
              </w:rPr>
            </w:pPr>
            <w:r>
              <w:rPr>
                <w:rFonts w:ascii="Arial" w:cs="Arial" w:eastAsia="Arial" w:hAnsi="Arial"/>
                <w:sz w:val="13"/>
                <w:szCs w:val="13"/>
                <w:color w:val="auto"/>
              </w:rPr>
              <w:t>Transferred over time</w:t>
            </w:r>
          </w:p>
        </w:tc>
        <w:tc>
          <w:tcPr>
            <w:tcW w:w="140" w:type="dxa"/>
            <w:vAlign w:val="bottom"/>
            <w:tcBorders>
              <w:bottom w:val="single" w:sz="8" w:color="auto"/>
            </w:tcBorders>
          </w:tcPr>
          <w:p>
            <w:pPr>
              <w:spacing w:after="0"/>
              <w:rPr>
                <w:sz w:val="14"/>
                <w:szCs w:val="14"/>
                <w:color w:val="auto"/>
              </w:rPr>
            </w:pPr>
          </w:p>
        </w:tc>
        <w:tc>
          <w:tcPr>
            <w:tcW w:w="134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3,287,674</w:t>
            </w:r>
          </w:p>
        </w:tc>
        <w:tc>
          <w:tcPr>
            <w:tcW w:w="320" w:type="dxa"/>
            <w:vAlign w:val="bottom"/>
            <w:tcBorders>
              <w:bottom w:val="single" w:sz="8" w:color="CCEEFF"/>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3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2,990,469</w:t>
            </w:r>
          </w:p>
        </w:tc>
        <w:tc>
          <w:tcPr>
            <w:tcW w:w="100" w:type="dxa"/>
            <w:vAlign w:val="bottom"/>
            <w:tcBorders>
              <w:bottom w:val="single" w:sz="8" w:color="CCEEFF"/>
            </w:tcBorders>
          </w:tcPr>
          <w:p>
            <w:pPr>
              <w:spacing w:after="0"/>
              <w:rPr>
                <w:sz w:val="14"/>
                <w:szCs w:val="14"/>
                <w:color w:val="auto"/>
              </w:rPr>
            </w:pPr>
          </w:p>
        </w:tc>
      </w:tr>
      <w:tr>
        <w:trPr>
          <w:trHeight w:val="166"/>
        </w:trPr>
        <w:tc>
          <w:tcPr>
            <w:tcW w:w="7920" w:type="dxa"/>
            <w:vAlign w:val="bottom"/>
            <w:tcBorders>
              <w:bottom w:val="single" w:sz="8" w:color="CCEEFF"/>
            </w:tcBorders>
            <w:shd w:val="clear" w:color="auto" w:fill="CCEEFF"/>
          </w:tcPr>
          <w:p>
            <w:pPr>
              <w:spacing w:after="0"/>
              <w:rPr>
                <w:sz w:val="14"/>
                <w:szCs w:val="14"/>
                <w:color w:val="auto"/>
              </w:rPr>
            </w:pPr>
          </w:p>
        </w:tc>
        <w:tc>
          <w:tcPr>
            <w:tcW w:w="140" w:type="dxa"/>
            <w:vAlign w:val="bottom"/>
            <w:tcBorders>
              <w:bottom w:val="single" w:sz="8" w:color="auto"/>
            </w:tcBorders>
            <w:shd w:val="clear" w:color="auto" w:fill="CCEEFF"/>
          </w:tcPr>
          <w:p>
            <w:pPr>
              <w:jc w:val="right"/>
              <w:ind w:right="31"/>
              <w:spacing w:after="0"/>
              <w:rPr>
                <w:sz w:val="20"/>
                <w:szCs w:val="20"/>
                <w:color w:val="auto"/>
              </w:rPr>
            </w:pPr>
            <w:r>
              <w:rPr>
                <w:rFonts w:ascii="Arial" w:cs="Arial" w:eastAsia="Arial" w:hAnsi="Arial"/>
                <w:sz w:val="10"/>
                <w:szCs w:val="10"/>
                <w:color w:val="auto"/>
                <w:w w:val="71"/>
              </w:rPr>
              <w:t>$</w:t>
            </w:r>
          </w:p>
        </w:tc>
        <w:tc>
          <w:tcPr>
            <w:tcW w:w="13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3,334,578</w:t>
            </w:r>
          </w:p>
        </w:tc>
        <w:tc>
          <w:tcPr>
            <w:tcW w:w="320" w:type="dxa"/>
            <w:vAlign w:val="bottom"/>
            <w:tcBorders>
              <w:bottom w:val="single" w:sz="8" w:color="CCEEFF"/>
            </w:tcBorders>
            <w:shd w:val="clear" w:color="auto" w:fill="CCEEFF"/>
          </w:tcPr>
          <w:p>
            <w:pPr>
              <w:spacing w:after="0"/>
              <w:rPr>
                <w:sz w:val="14"/>
                <w:szCs w:val="14"/>
                <w:color w:val="auto"/>
              </w:rPr>
            </w:pPr>
          </w:p>
        </w:tc>
        <w:tc>
          <w:tcPr>
            <w:tcW w:w="1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w w:val="82"/>
              </w:rPr>
              <w:t>$</w:t>
            </w:r>
          </w:p>
        </w:tc>
        <w:tc>
          <w:tcPr>
            <w:tcW w:w="13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3,025,303</w:t>
            </w:r>
          </w:p>
        </w:tc>
        <w:tc>
          <w:tcPr>
            <w:tcW w:w="100" w:type="dxa"/>
            <w:vAlign w:val="bottom"/>
            <w:tcBorders>
              <w:bottom w:val="single" w:sz="8" w:color="CCEEFF"/>
            </w:tcBorders>
            <w:shd w:val="clear" w:color="auto" w:fill="CCEEFF"/>
          </w:tcPr>
          <w:p>
            <w:pPr>
              <w:spacing w:after="0"/>
              <w:rPr>
                <w:sz w:val="14"/>
                <w:szCs w:val="14"/>
                <w:color w:val="auto"/>
              </w:rPr>
            </w:pPr>
          </w:p>
        </w:tc>
      </w:tr>
    </w:tbl>
    <w:p>
      <w:pPr>
        <w:spacing w:after="0" w:line="148" w:lineRule="exact"/>
        <w:rPr>
          <w:sz w:val="20"/>
          <w:szCs w:val="20"/>
          <w:color w:val="auto"/>
        </w:rPr>
      </w:pPr>
    </w:p>
    <w:p>
      <w:pPr>
        <w:jc w:val="both"/>
        <w:spacing w:after="0" w:line="317" w:lineRule="auto"/>
        <w:rPr>
          <w:sz w:val="20"/>
          <w:szCs w:val="20"/>
          <w:color w:val="auto"/>
        </w:rPr>
      </w:pPr>
      <w:r>
        <w:rPr>
          <w:rFonts w:ascii="Arial" w:cs="Arial" w:eastAsia="Arial" w:hAnsi="Arial"/>
          <w:sz w:val="12"/>
          <w:szCs w:val="12"/>
          <w:color w:val="auto"/>
        </w:rPr>
        <w:t>Deferred revenue includes billings in excess of revenue recognized. Revenue recognized at a point in time generally does not result in significant increases in deferred revenue. Revenue recognized over a period generally results in a majority of the increases in deferred revenue as the performance obligations are fulfilled after the billing event. Deferred revenue was as follows for the periods:</w:t>
      </w:r>
    </w:p>
    <w:p>
      <w:pPr>
        <w:spacing w:after="0" w:line="115" w:lineRule="exact"/>
        <w:rPr>
          <w:sz w:val="20"/>
          <w:szCs w:val="20"/>
          <w:color w:val="auto"/>
        </w:rPr>
      </w:pPr>
    </w:p>
    <w:tbl>
      <w:tblPr>
        <w:tblLayout w:type="fixed"/>
        <w:tblInd w:w="0" w:type="dxa"/>
        <w:tblCellMar>
          <w:top w:w="0" w:type="dxa"/>
          <w:left w:w="0" w:type="dxa"/>
          <w:bottom w:w="0" w:type="dxa"/>
          <w:right w:w="0" w:type="dxa"/>
        </w:tblCellMar>
      </w:tblPr>
      <w:tr>
        <w:trPr>
          <w:trHeight w:val="165"/>
        </w:trPr>
        <w:tc>
          <w:tcPr>
            <w:tcW w:w="79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660" w:type="dxa"/>
            <w:vAlign w:val="bottom"/>
            <w:gridSpan w:val="2"/>
          </w:tcPr>
          <w:p>
            <w:pPr>
              <w:ind w:left="80"/>
              <w:spacing w:after="0"/>
              <w:rPr>
                <w:sz w:val="20"/>
                <w:szCs w:val="20"/>
                <w:color w:val="auto"/>
              </w:rPr>
            </w:pPr>
            <w:r>
              <w:rPr>
                <w:rFonts w:ascii="Arial" w:cs="Arial" w:eastAsia="Arial" w:hAnsi="Arial"/>
                <w:sz w:val="13"/>
                <w:szCs w:val="13"/>
                <w:color w:val="auto"/>
              </w:rPr>
              <w:t>December 31, 2020</w:t>
            </w:r>
          </w:p>
        </w:tc>
        <w:tc>
          <w:tcPr>
            <w:tcW w:w="140" w:type="dxa"/>
            <w:vAlign w:val="bottom"/>
          </w:tcPr>
          <w:p>
            <w:pPr>
              <w:spacing w:after="0"/>
              <w:rPr>
                <w:sz w:val="14"/>
                <w:szCs w:val="14"/>
                <w:color w:val="auto"/>
              </w:rPr>
            </w:pPr>
          </w:p>
        </w:tc>
        <w:tc>
          <w:tcPr>
            <w:tcW w:w="1420" w:type="dxa"/>
            <w:vAlign w:val="bottom"/>
            <w:gridSpan w:val="2"/>
          </w:tcPr>
          <w:p>
            <w:pPr>
              <w:ind w:left="80"/>
              <w:spacing w:after="0"/>
              <w:rPr>
                <w:sz w:val="20"/>
                <w:szCs w:val="20"/>
                <w:color w:val="auto"/>
              </w:rPr>
            </w:pPr>
            <w:r>
              <w:rPr>
                <w:rFonts w:ascii="Arial" w:cs="Arial" w:eastAsia="Arial" w:hAnsi="Arial"/>
                <w:sz w:val="13"/>
                <w:szCs w:val="13"/>
                <w:color w:val="auto"/>
              </w:rPr>
              <w:t>December 31, 2019</w:t>
            </w:r>
          </w:p>
        </w:tc>
      </w:tr>
      <w:tr>
        <w:trPr>
          <w:trHeight w:val="147"/>
        </w:trPr>
        <w:tc>
          <w:tcPr>
            <w:tcW w:w="7920" w:type="dxa"/>
            <w:vAlign w:val="bottom"/>
            <w:tcBorders>
              <w:top w:val="single" w:sz="8" w:color="CCEEFF"/>
            </w:tcBorders>
            <w:shd w:val="clear" w:color="auto" w:fill="CCEEFF"/>
          </w:tcPr>
          <w:p>
            <w:pPr>
              <w:spacing w:after="0" w:line="146" w:lineRule="exact"/>
              <w:rPr>
                <w:sz w:val="20"/>
                <w:szCs w:val="20"/>
                <w:color w:val="auto"/>
              </w:rPr>
            </w:pPr>
            <w:r>
              <w:rPr>
                <w:rFonts w:ascii="Arial" w:cs="Arial" w:eastAsia="Arial" w:hAnsi="Arial"/>
                <w:sz w:val="13"/>
                <w:szCs w:val="13"/>
                <w:color w:val="auto"/>
              </w:rPr>
              <w:t>Deferred revenue - short term</w:t>
            </w:r>
          </w:p>
        </w:tc>
        <w:tc>
          <w:tcPr>
            <w:tcW w:w="140" w:type="dxa"/>
            <w:vAlign w:val="bottom"/>
            <w:tcBorders>
              <w:top w:val="single" w:sz="8" w:color="auto"/>
            </w:tcBorders>
            <w:shd w:val="clear" w:color="auto" w:fill="CCEEFF"/>
          </w:tcPr>
          <w:p>
            <w:pPr>
              <w:jc w:val="right"/>
              <w:ind w:right="31"/>
              <w:spacing w:after="0"/>
              <w:rPr>
                <w:sz w:val="20"/>
                <w:szCs w:val="20"/>
                <w:color w:val="auto"/>
              </w:rPr>
            </w:pPr>
            <w:r>
              <w:rPr>
                <w:rFonts w:ascii="Arial" w:cs="Arial" w:eastAsia="Arial" w:hAnsi="Arial"/>
                <w:sz w:val="10"/>
                <w:szCs w:val="10"/>
                <w:color w:val="auto"/>
                <w:w w:val="71"/>
              </w:rPr>
              <w:t>$</w:t>
            </w:r>
          </w:p>
        </w:tc>
        <w:tc>
          <w:tcPr>
            <w:tcW w:w="134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521,585</w:t>
            </w:r>
          </w:p>
        </w:tc>
        <w:tc>
          <w:tcPr>
            <w:tcW w:w="32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w w:val="82"/>
              </w:rPr>
              <w:t>$</w:t>
            </w:r>
          </w:p>
        </w:tc>
        <w:tc>
          <w:tcPr>
            <w:tcW w:w="132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556,653</w:t>
            </w:r>
          </w:p>
        </w:tc>
        <w:tc>
          <w:tcPr>
            <w:tcW w:w="100" w:type="dxa"/>
            <w:vAlign w:val="bottom"/>
            <w:tcBorders>
              <w:top w:val="single" w:sz="8" w:color="CCEEFF"/>
            </w:tcBorders>
            <w:shd w:val="clear" w:color="auto" w:fill="CCEEFF"/>
          </w:tcPr>
          <w:p>
            <w:pPr>
              <w:spacing w:after="0"/>
              <w:rPr>
                <w:sz w:val="12"/>
                <w:szCs w:val="12"/>
                <w:color w:val="auto"/>
              </w:rPr>
            </w:pPr>
          </w:p>
        </w:tc>
      </w:tr>
      <w:tr>
        <w:trPr>
          <w:trHeight w:val="164"/>
        </w:trPr>
        <w:tc>
          <w:tcPr>
            <w:tcW w:w="7920" w:type="dxa"/>
            <w:vAlign w:val="bottom"/>
          </w:tcPr>
          <w:p>
            <w:pPr>
              <w:spacing w:after="0"/>
              <w:rPr>
                <w:sz w:val="20"/>
                <w:szCs w:val="20"/>
                <w:color w:val="auto"/>
              </w:rPr>
            </w:pPr>
            <w:r>
              <w:rPr>
                <w:rFonts w:ascii="Arial" w:cs="Arial" w:eastAsia="Arial" w:hAnsi="Arial"/>
                <w:sz w:val="13"/>
                <w:szCs w:val="13"/>
                <w:color w:val="auto"/>
              </w:rPr>
              <w:t>Revenue recognized in the 12 months ended related to amounts included in deferred revenue at the beginning of the period</w:t>
            </w:r>
          </w:p>
        </w:tc>
        <w:tc>
          <w:tcPr>
            <w:tcW w:w="140" w:type="dxa"/>
            <w:vAlign w:val="bottom"/>
          </w:tcPr>
          <w:p>
            <w:pPr>
              <w:jc w:val="right"/>
              <w:ind w:right="31"/>
              <w:spacing w:after="0"/>
              <w:rPr>
                <w:sz w:val="20"/>
                <w:szCs w:val="20"/>
                <w:color w:val="auto"/>
              </w:rPr>
            </w:pPr>
            <w:r>
              <w:rPr>
                <w:rFonts w:ascii="Arial" w:cs="Arial" w:eastAsia="Arial" w:hAnsi="Arial"/>
                <w:sz w:val="10"/>
                <w:szCs w:val="10"/>
                <w:color w:val="auto"/>
                <w:w w:val="71"/>
              </w:rPr>
              <w:t>$</w:t>
            </w:r>
          </w:p>
        </w:tc>
        <w:tc>
          <w:tcPr>
            <w:tcW w:w="1660" w:type="dxa"/>
            <w:vAlign w:val="bottom"/>
            <w:gridSpan w:val="2"/>
          </w:tcPr>
          <w:p>
            <w:pPr>
              <w:jc w:val="right"/>
              <w:ind w:right="320"/>
              <w:spacing w:after="0"/>
              <w:rPr>
                <w:sz w:val="20"/>
                <w:szCs w:val="20"/>
                <w:color w:val="auto"/>
              </w:rPr>
            </w:pPr>
            <w:r>
              <w:rPr>
                <w:rFonts w:ascii="Arial" w:cs="Arial" w:eastAsia="Arial" w:hAnsi="Arial"/>
                <w:sz w:val="13"/>
                <w:szCs w:val="13"/>
                <w:color w:val="auto"/>
              </w:rPr>
              <w:t>463,812</w:t>
            </w:r>
          </w:p>
        </w:tc>
        <w:tc>
          <w:tcPr>
            <w:tcW w:w="140" w:type="dxa"/>
            <w:vAlign w:val="bottom"/>
          </w:tcPr>
          <w:p>
            <w:pPr>
              <w:jc w:val="right"/>
              <w:spacing w:after="0"/>
              <w:rPr>
                <w:sz w:val="20"/>
                <w:szCs w:val="20"/>
                <w:color w:val="auto"/>
              </w:rPr>
            </w:pPr>
            <w:r>
              <w:rPr>
                <w:rFonts w:ascii="Arial" w:cs="Arial" w:eastAsia="Arial" w:hAnsi="Arial"/>
                <w:sz w:val="13"/>
                <w:szCs w:val="13"/>
                <w:color w:val="auto"/>
                <w:w w:val="82"/>
              </w:rPr>
              <w:t>$</w:t>
            </w:r>
          </w:p>
        </w:tc>
        <w:tc>
          <w:tcPr>
            <w:tcW w:w="1320" w:type="dxa"/>
            <w:vAlign w:val="bottom"/>
          </w:tcPr>
          <w:p>
            <w:pPr>
              <w:jc w:val="right"/>
              <w:spacing w:after="0"/>
              <w:rPr>
                <w:sz w:val="20"/>
                <w:szCs w:val="20"/>
                <w:color w:val="auto"/>
              </w:rPr>
            </w:pPr>
            <w:r>
              <w:rPr>
                <w:rFonts w:ascii="Arial" w:cs="Arial" w:eastAsia="Arial" w:hAnsi="Arial"/>
                <w:sz w:val="13"/>
                <w:szCs w:val="13"/>
                <w:color w:val="auto"/>
              </w:rPr>
              <w:t>816,860</w:t>
            </w:r>
          </w:p>
        </w:tc>
        <w:tc>
          <w:tcPr>
            <w:tcW w:w="100" w:type="dxa"/>
            <w:vAlign w:val="bottom"/>
          </w:tcPr>
          <w:p>
            <w:pPr>
              <w:spacing w:after="0"/>
              <w:rPr>
                <w:sz w:val="14"/>
                <w:szCs w:val="14"/>
                <w:color w:val="auto"/>
              </w:rPr>
            </w:pPr>
          </w:p>
        </w:tc>
      </w:tr>
    </w:tbl>
    <w:p>
      <w:pPr>
        <w:spacing w:after="0" w:line="140"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Deferred revenue represents amounts invoiced to customers for contracts for which revenue has yet to be recognized based for subscription services to be delivered to our clients. Typically, the timing of invoicing is based on the terms of the contract.</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Other revenue</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Other non-ASR related revenue such as deployment services, decals, shipping, and training revenue is recognized when services are delivered.</w:t>
      </w:r>
    </w:p>
    <w:p>
      <w:pPr>
        <w:spacing w:after="0" w:line="320"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74" w:name="page75"/>
    <w:bookmarkEnd w:id="74"/>
    <w:p>
      <w:pPr>
        <w:spacing w:after="0"/>
        <w:rPr>
          <w:sz w:val="20"/>
          <w:szCs w:val="20"/>
          <w:color w:val="auto"/>
        </w:rPr>
      </w:pPr>
      <w:r>
        <w:rPr>
          <w:rFonts w:ascii="Arial" w:cs="Arial" w:eastAsia="Arial" w:hAnsi="Arial"/>
          <w:sz w:val="13"/>
          <w:szCs w:val="13"/>
          <w:b w:val="1"/>
          <w:bCs w:val="1"/>
          <w:color w:val="auto"/>
        </w:rPr>
        <w:t>NOTE 1: The Company and Summary of Significant Accounting Policies (Continue)</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Shipping and Handling Costs</w:t>
      </w:r>
    </w:p>
    <w:p>
      <w:pPr>
        <w:spacing w:after="0" w:line="163" w:lineRule="exact"/>
        <w:rPr>
          <w:sz w:val="20"/>
          <w:szCs w:val="20"/>
          <w:color w:val="auto"/>
        </w:rPr>
      </w:pPr>
    </w:p>
    <w:p>
      <w:pPr>
        <w:jc w:val="both"/>
        <w:spacing w:after="0" w:line="332" w:lineRule="auto"/>
        <w:rPr>
          <w:sz w:val="20"/>
          <w:szCs w:val="20"/>
          <w:color w:val="auto"/>
        </w:rPr>
      </w:pPr>
      <w:r>
        <w:rPr>
          <w:rFonts w:ascii="Arial" w:cs="Arial" w:eastAsia="Arial" w:hAnsi="Arial"/>
          <w:sz w:val="11"/>
          <w:szCs w:val="11"/>
          <w:color w:val="auto"/>
        </w:rPr>
        <w:t>The Company classifies certain shipping and handling costs as cost of services in the accompanying statements of operations. The amounts classified as cost of services represent shipping and handling costs associated with the deployment or returns of the ASRs directly to or from Clients. Management believes that the classification of these shipping and handling costs as cost of services better reflects the cost of producing the ASRs and selling its services. Shipping and handling costs associated with the transportation of demonstration units shipped to sales personnel and Clients are recorded as sales and marketing expenses.</w:t>
      </w:r>
    </w:p>
    <w:p>
      <w:pPr>
        <w:spacing w:after="0" w:line="101"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shipping and handling costs recorded within cost of services totaled approximately $11,949 and $26,432 for the years ended December 31, 2020 and 2019, respectively. Shipping and handling costs recorded within sales and marketing totaled approximately $0 and $9,875 for the years ended December 31, 2020 and 2019, respectively.</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Share-Based Compensation</w:t>
      </w:r>
    </w:p>
    <w:p>
      <w:pPr>
        <w:spacing w:after="0" w:line="163" w:lineRule="exact"/>
        <w:rPr>
          <w:sz w:val="20"/>
          <w:szCs w:val="20"/>
          <w:color w:val="auto"/>
        </w:rPr>
      </w:pPr>
    </w:p>
    <w:p>
      <w:pPr>
        <w:jc w:val="both"/>
        <w:spacing w:after="0" w:line="278" w:lineRule="auto"/>
        <w:rPr>
          <w:sz w:val="20"/>
          <w:szCs w:val="20"/>
          <w:color w:val="auto"/>
        </w:rPr>
      </w:pPr>
      <w:r>
        <w:rPr>
          <w:rFonts w:ascii="Arial" w:cs="Arial" w:eastAsia="Arial" w:hAnsi="Arial"/>
          <w:sz w:val="12"/>
          <w:szCs w:val="12"/>
          <w:color w:val="auto"/>
        </w:rPr>
        <w:t xml:space="preserve">The Company accounts for stock-based compensation in accordance with ASC 718, </w:t>
      </w:r>
      <w:r>
        <w:rPr>
          <w:rFonts w:ascii="Arial" w:cs="Arial" w:eastAsia="Arial" w:hAnsi="Arial"/>
          <w:sz w:val="12"/>
          <w:szCs w:val="12"/>
          <w:i w:val="1"/>
          <w:iCs w:val="1"/>
          <w:color w:val="auto"/>
        </w:rPr>
        <w:t>Compensation - Stock Compensation</w:t>
      </w:r>
      <w:r>
        <w:rPr>
          <w:rFonts w:ascii="Arial" w:cs="Arial" w:eastAsia="Arial" w:hAnsi="Arial"/>
          <w:sz w:val="12"/>
          <w:szCs w:val="12"/>
          <w:color w:val="auto"/>
        </w:rPr>
        <w:t>, which requires that the estimated fair value on the date of grant be determined using the Black-Scholes option pricing model with the fair value recognized over the requisite service period of the awards, which is generally the option vesting period. Stock-based awards made to nonemployees are measured and recognized based on the estimated fair value on the vesting date and are re-measured at each reporting period. The Company’s determination of the fair value of the stock-based awards on the date of grant, using the Black-Scholes option pricing model, is affected by the fair value of the Company’s common stock as well as other assumptions regarding a number of highly complex and subjective variables. These variables include but are not limited to the Company’s expected stock price volatility over the term of the awards, and actual and projected employee option exercise behaviors. Because there is insufficient historical information available to estimate the expected term of the stock-based awards, the Company adopted the simplified method of estimating the expected term of options granted by taking the average of the vesting term and the contractual term of the option. For awards with graded vesting, the Company recognizes stock-based compensation expense over the service period using the straight-line method, based on shares ultimately expected to vest. The Company recognizes forfeitures as they occur when calculating stock-based compensation for its equity awards.</w:t>
      </w:r>
    </w:p>
    <w:p>
      <w:pPr>
        <w:spacing w:after="0" w:line="129"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Deferred Offering Costs</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Prior to the completion of an offering, offering costs are capitalized. The deferred offering costs are charged against the net proceeds of the related stock issuances upon the completion of an offering or to expense if the offering is not completed or aborted.</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Research &amp; Development Costs</w:t>
      </w:r>
    </w:p>
    <w:p>
      <w:pPr>
        <w:spacing w:after="0" w:line="163" w:lineRule="exact"/>
        <w:rPr>
          <w:sz w:val="20"/>
          <w:szCs w:val="20"/>
          <w:color w:val="auto"/>
        </w:rPr>
      </w:pPr>
    </w:p>
    <w:p>
      <w:pPr>
        <w:spacing w:after="0"/>
        <w:rPr>
          <w:sz w:val="20"/>
          <w:szCs w:val="20"/>
          <w:color w:val="auto"/>
        </w:rPr>
      </w:pPr>
      <w:r>
        <w:rPr>
          <w:rFonts w:ascii="Arial" w:cs="Arial" w:eastAsia="Arial" w:hAnsi="Arial"/>
          <w:sz w:val="12"/>
          <w:szCs w:val="12"/>
          <w:color w:val="auto"/>
        </w:rPr>
        <w:t>Research and development costs primarily consist of employee-related expenses, including salaries and benefits, share-based compensation expense, facilities costs, depreciation and other allocated expenses.</w:t>
      </w:r>
    </w:p>
    <w:p>
      <w:pPr>
        <w:spacing w:after="0" w:line="26" w:lineRule="exact"/>
        <w:rPr>
          <w:sz w:val="20"/>
          <w:szCs w:val="20"/>
          <w:color w:val="auto"/>
        </w:rPr>
      </w:pPr>
    </w:p>
    <w:p>
      <w:pPr>
        <w:spacing w:after="0"/>
        <w:rPr>
          <w:sz w:val="20"/>
          <w:szCs w:val="20"/>
          <w:color w:val="auto"/>
        </w:rPr>
      </w:pPr>
      <w:r>
        <w:rPr>
          <w:rFonts w:ascii="Arial" w:cs="Arial" w:eastAsia="Arial" w:hAnsi="Arial"/>
          <w:sz w:val="13"/>
          <w:szCs w:val="13"/>
          <w:color w:val="auto"/>
        </w:rPr>
        <w:t>Research and development costs are expensed as incurred.</w:t>
      </w:r>
    </w:p>
    <w:p>
      <w:pPr>
        <w:spacing w:after="0" w:line="156"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Advertising Costs</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Advertising costs are recorded in sales and marketing expense in the Company’s statements of operations as incurred. Advertising expense was $4.9 million and $2.1 million for the years ended December 31, 2020 and 2019, respectively.</w:t>
      </w:r>
    </w:p>
    <w:p>
      <w:pPr>
        <w:spacing w:after="0" w:line="284"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75" w:name="page76"/>
    <w:bookmarkEnd w:id="75"/>
    <w:p>
      <w:pPr>
        <w:spacing w:after="0"/>
        <w:rPr>
          <w:sz w:val="20"/>
          <w:szCs w:val="20"/>
          <w:color w:val="auto"/>
        </w:rPr>
      </w:pPr>
      <w:r>
        <w:rPr>
          <w:rFonts w:ascii="Arial" w:cs="Arial" w:eastAsia="Arial" w:hAnsi="Arial"/>
          <w:sz w:val="13"/>
          <w:szCs w:val="13"/>
          <w:b w:val="1"/>
          <w:bCs w:val="1"/>
          <w:color w:val="auto"/>
        </w:rPr>
        <w:t>NOTE 1: The Company and Summary of Significant Accounting Policies (Continue)</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Income Taxes</w:t>
      </w:r>
    </w:p>
    <w:p>
      <w:pPr>
        <w:spacing w:after="0" w:line="163" w:lineRule="exact"/>
        <w:rPr>
          <w:sz w:val="20"/>
          <w:szCs w:val="20"/>
          <w:color w:val="auto"/>
        </w:rPr>
      </w:pPr>
    </w:p>
    <w:p>
      <w:pPr>
        <w:jc w:val="both"/>
        <w:ind w:right="20"/>
        <w:spacing w:after="0" w:line="278" w:lineRule="auto"/>
        <w:rPr>
          <w:sz w:val="20"/>
          <w:szCs w:val="20"/>
          <w:color w:val="auto"/>
        </w:rPr>
      </w:pPr>
      <w:r>
        <w:rPr>
          <w:rFonts w:ascii="Arial" w:cs="Arial" w:eastAsia="Arial" w:hAnsi="Arial"/>
          <w:sz w:val="12"/>
          <w:szCs w:val="12"/>
          <w:color w:val="auto"/>
        </w:rPr>
        <w:t xml:space="preserve">The Company uses the liability method of accounting for income taxes as set forth in ASC 740, </w:t>
      </w:r>
      <w:r>
        <w:rPr>
          <w:rFonts w:ascii="Arial" w:cs="Arial" w:eastAsia="Arial" w:hAnsi="Arial"/>
          <w:sz w:val="12"/>
          <w:szCs w:val="12"/>
          <w:i w:val="1"/>
          <w:iCs w:val="1"/>
          <w:color w:val="auto"/>
        </w:rPr>
        <w:t>Income Taxes</w:t>
      </w:r>
      <w:r>
        <w:rPr>
          <w:rFonts w:ascii="Arial" w:cs="Arial" w:eastAsia="Arial" w:hAnsi="Arial"/>
          <w:sz w:val="12"/>
          <w:szCs w:val="12"/>
          <w:color w:val="auto"/>
        </w:rPr>
        <w:t>. Under the liability method, deferred taxes are determined based on the temporary differences between the financial statement and tax basis of assets and liabilities using tax rates expected to be in effect during the years in which the basis differences reverse. The Company measures deferred tax assets and liabilities using tax rates applicable to taxable income in effect for the years in which those tax assets are expected to be realized or settled and provides a valuation allowance against deferred tax assets when it cannot conclude that it is more likely than not that some or all deferred tax assets will be realized. The assessment requires significant judgment and is performed in each of the applicable taxing jurisdictions. Additionally, the Company assesses its uncertain tax positions and records tax benefits for all years subject to examination based upon our evaluation of the facts, circumstances and information available at the reporting date. In accordance with ASC 740-10, for those tax positions where there is a greater than 50% likelihood that a tax benefit will be sustained, the Company’s policy is to record the largest amount of tax benefit that is more likely than not to be realized upon ultimate settlement with a taxing authority that has full knowledge of all relevant information. For those income tax positions where there is less than 50% likelihood that a tax benefit will be sustained, no tax benefit will be recognized in the financial statements.</w:t>
      </w:r>
    </w:p>
    <w:p>
      <w:pPr>
        <w:spacing w:after="0" w:line="129"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Basic and Diluted Net Loss per Share</w:t>
      </w:r>
    </w:p>
    <w:p>
      <w:pPr>
        <w:spacing w:after="0" w:line="163" w:lineRule="exact"/>
        <w:rPr>
          <w:sz w:val="20"/>
          <w:szCs w:val="20"/>
          <w:color w:val="auto"/>
        </w:rPr>
      </w:pPr>
    </w:p>
    <w:p>
      <w:pPr>
        <w:jc w:val="both"/>
        <w:ind w:right="20"/>
        <w:spacing w:after="0" w:line="254" w:lineRule="auto"/>
        <w:rPr>
          <w:sz w:val="20"/>
          <w:szCs w:val="20"/>
          <w:color w:val="auto"/>
        </w:rPr>
      </w:pPr>
      <w:r>
        <w:rPr>
          <w:rFonts w:ascii="Arial" w:cs="Arial" w:eastAsia="Arial" w:hAnsi="Arial"/>
          <w:sz w:val="13"/>
          <w:szCs w:val="13"/>
          <w:color w:val="auto"/>
        </w:rPr>
        <w:t>Net loss per share of common stock is computed using the two-class method required for participating securities based on their participation rights. All series of convertible preferred stock are participating securities as the holders are entitled to participate in common stock dividends with common stock on an as converted basis. Holders of Series m-4 Preferred Stock are entitled to receive cumulative dividends payable semi-annually in arrears at the rate per share of Series m-4 Preferred Stock equal to the Dividend Rate for the Series m-4 Preferred Stock, in each case subject to compliance with applicable law. Dividends to holders of Series m-4 Preferred Stock are paid in kind as a dividend of additional shares of Series m-4 Preferred Stock for each Dividend Period on the applicable Dividend Payment Date using a price per share equal to the original issue price, provided that the Company shall not issue any fractional shares of Series m-4 Preferred Stock. The holders of the Company’s convertible preferred stock, other than m-4 preferred stock, are also entitled to noncumulative dividends prior and in preference to common stock and do not have a contractual obligation to share in the losses of the Company. In accordance with the two-class method, earnings allocated to these participating securities, which include participation rights in undistributed earnings with common stock, are subtracted from net loss to determine net loss attributable to common stockholders upon their occurrence.</w:t>
      </w:r>
    </w:p>
    <w:p>
      <w:pPr>
        <w:spacing w:after="0" w:line="142"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Basic net loss per share is computed by dividing net loss attributable to common stockholders (net adjusted for preferred stock dividends declared or accumulated) by the weighted average number of common shares outstanding during the period. All participating securities are excluded from basic weighted-average shares outstanding. In computing diluted net loss attributable to common stockholders, undistributed earnings are re-allocated to reflect the potential impact of dilutive securities. Diluted net loss per share attributable to common stockholders is computed by dividing net loss attributable to common stockholders by diluted weighted-average shares outstanding, including potentially dilutive securities, unless anti-dilutive. Potentially dilutive securities that were excluded from the computation of diluted net loss per share consist of the following:</w:t>
      </w:r>
    </w:p>
    <w:p>
      <w:pPr>
        <w:spacing w:after="0" w:line="147" w:lineRule="exact"/>
        <w:rPr>
          <w:sz w:val="20"/>
          <w:szCs w:val="20"/>
          <w:color w:val="auto"/>
        </w:rPr>
      </w:pPr>
    </w:p>
    <w:p>
      <w:pPr>
        <w:ind w:left="9440"/>
        <w:spacing w:after="0"/>
        <w:rPr>
          <w:sz w:val="20"/>
          <w:szCs w:val="20"/>
          <w:color w:val="auto"/>
        </w:rPr>
      </w:pPr>
      <w:r>
        <w:rPr>
          <w:rFonts w:ascii="Arial" w:cs="Arial" w:eastAsia="Arial" w:hAnsi="Arial"/>
          <w:sz w:val="13"/>
          <w:szCs w:val="13"/>
          <w:b w:val="1"/>
          <w:bCs w:val="1"/>
          <w:color w:val="auto"/>
        </w:rPr>
        <w:t>December 31,</w:t>
      </w:r>
    </w:p>
    <w:p>
      <w:pPr>
        <w:spacing w:after="0" w:line="19" w:lineRule="exact"/>
        <w:rPr>
          <w:sz w:val="20"/>
          <w:szCs w:val="20"/>
          <w:color w:val="auto"/>
        </w:rPr>
      </w:pPr>
    </w:p>
    <w:tbl>
      <w:tblPr>
        <w:tblLayout w:type="fixed"/>
        <w:tblInd w:w="0" w:type="dxa"/>
        <w:tblCellMar>
          <w:top w:w="0" w:type="dxa"/>
          <w:left w:w="0" w:type="dxa"/>
          <w:bottom w:w="0" w:type="dxa"/>
          <w:right w:w="0" w:type="dxa"/>
        </w:tblCellMar>
      </w:tblPr>
      <w:tr>
        <w:trPr>
          <w:trHeight w:val="157"/>
        </w:trPr>
        <w:tc>
          <w:tcPr>
            <w:tcW w:w="8480" w:type="dxa"/>
            <w:vAlign w:val="bottom"/>
            <w:tcBorders>
              <w:bottom w:val="single" w:sz="8" w:color="CCEEFF"/>
            </w:tcBorders>
          </w:tcPr>
          <w:p>
            <w:pPr>
              <w:spacing w:after="0"/>
              <w:rPr>
                <w:sz w:val="13"/>
                <w:szCs w:val="13"/>
                <w:color w:val="auto"/>
              </w:rPr>
            </w:pPr>
          </w:p>
        </w:tc>
        <w:tc>
          <w:tcPr>
            <w:tcW w:w="124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240" w:type="dxa"/>
            <w:vAlign w:val="bottom"/>
            <w:tcBorders>
              <w:top w:val="single" w:sz="8" w:color="auto"/>
              <w:bottom w:val="single" w:sz="8" w:color="CCEEFF"/>
            </w:tcBorders>
          </w:tcPr>
          <w:p>
            <w:pPr>
              <w:spacing w:after="0"/>
              <w:rPr>
                <w:sz w:val="13"/>
                <w:szCs w:val="13"/>
                <w:color w:val="auto"/>
              </w:rPr>
            </w:pPr>
          </w:p>
        </w:tc>
        <w:tc>
          <w:tcPr>
            <w:tcW w:w="122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2019</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848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Series A Preferred Stock (convertible to Class B common stock)</w:t>
            </w:r>
          </w:p>
        </w:tc>
        <w:tc>
          <w:tcPr>
            <w:tcW w:w="124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8,936,015</w:t>
            </w:r>
          </w:p>
        </w:tc>
        <w:tc>
          <w:tcPr>
            <w:tcW w:w="240" w:type="dxa"/>
            <w:vAlign w:val="bottom"/>
            <w:shd w:val="clear" w:color="auto" w:fill="CCEEFF"/>
          </w:tcPr>
          <w:p>
            <w:pPr>
              <w:spacing w:after="0"/>
              <w:rPr>
                <w:sz w:val="12"/>
                <w:szCs w:val="12"/>
                <w:color w:val="auto"/>
              </w:rPr>
            </w:pPr>
          </w:p>
        </w:tc>
        <w:tc>
          <w:tcPr>
            <w:tcW w:w="122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8,936,015</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Series B Preferred Stock (convertible to Class B common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4,653,583</w:t>
            </w:r>
          </w:p>
        </w:tc>
        <w:tc>
          <w:tcPr>
            <w:tcW w:w="1220" w:type="dxa"/>
            <w:vAlign w:val="bottom"/>
          </w:tcPr>
          <w:p>
            <w:pPr>
              <w:jc w:val="right"/>
              <w:spacing w:after="0"/>
              <w:rPr>
                <w:sz w:val="20"/>
                <w:szCs w:val="20"/>
                <w:color w:val="auto"/>
              </w:rPr>
            </w:pPr>
            <w:r>
              <w:rPr>
                <w:rFonts w:ascii="Arial" w:cs="Arial" w:eastAsia="Arial" w:hAnsi="Arial"/>
                <w:sz w:val="13"/>
                <w:szCs w:val="13"/>
                <w:color w:val="auto"/>
              </w:rPr>
              <w:t>4,653,583</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Series m Preferred Stock (convertible to Class A common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5,339,215</w:t>
            </w:r>
          </w:p>
        </w:tc>
        <w:tc>
          <w:tcPr>
            <w:tcW w:w="12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5,339,215</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Series m-2 Preferred Stock (convertible to Class B common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1,660,756</w:t>
            </w:r>
          </w:p>
        </w:tc>
        <w:tc>
          <w:tcPr>
            <w:tcW w:w="1220" w:type="dxa"/>
            <w:vAlign w:val="bottom"/>
          </w:tcPr>
          <w:p>
            <w:pPr>
              <w:jc w:val="right"/>
              <w:spacing w:after="0"/>
              <w:rPr>
                <w:sz w:val="20"/>
                <w:szCs w:val="20"/>
                <w:color w:val="auto"/>
              </w:rPr>
            </w:pPr>
            <w:r>
              <w:rPr>
                <w:rFonts w:ascii="Arial" w:cs="Arial" w:eastAsia="Arial" w:hAnsi="Arial"/>
                <w:sz w:val="13"/>
                <w:szCs w:val="13"/>
                <w:color w:val="auto"/>
              </w:rPr>
              <w:t>1,660,756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Series m-3 Preferred Stock (convertible to Class A common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16,757</w:t>
            </w:r>
          </w:p>
        </w:tc>
        <w:tc>
          <w:tcPr>
            <w:tcW w:w="132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16,757</w:t>
            </w: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Series m-4 Preferred Stock (convertible to Class A common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1,432,786</w:t>
            </w:r>
          </w:p>
        </w:tc>
        <w:tc>
          <w:tcPr>
            <w:tcW w:w="1220" w:type="dxa"/>
            <w:vAlign w:val="bottom"/>
          </w:tcPr>
          <w:p>
            <w:pPr>
              <w:jc w:val="right"/>
              <w:spacing w:after="0"/>
              <w:rPr>
                <w:sz w:val="20"/>
                <w:szCs w:val="20"/>
                <w:color w:val="auto"/>
              </w:rPr>
            </w:pPr>
            <w:r>
              <w:rPr>
                <w:rFonts w:ascii="Arial" w:cs="Arial" w:eastAsia="Arial" w:hAnsi="Arial"/>
                <w:sz w:val="13"/>
                <w:szCs w:val="13"/>
                <w:color w:val="auto"/>
              </w:rPr>
              <w:t>1,432,786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Series S Preferred Stock (convertible to Class A common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3,731,248</w:t>
            </w:r>
          </w:p>
        </w:tc>
        <w:tc>
          <w:tcPr>
            <w:tcW w:w="12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781,870</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Warrants to purchase common stock (convertible to Class B common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121,913</w:t>
            </w:r>
          </w:p>
        </w:tc>
        <w:tc>
          <w:tcPr>
            <w:tcW w:w="1220" w:type="dxa"/>
            <w:vAlign w:val="bottom"/>
          </w:tcPr>
          <w:p>
            <w:pPr>
              <w:jc w:val="right"/>
              <w:spacing w:after="0"/>
              <w:rPr>
                <w:sz w:val="20"/>
                <w:szCs w:val="20"/>
                <w:color w:val="auto"/>
              </w:rPr>
            </w:pPr>
            <w:r>
              <w:rPr>
                <w:rFonts w:ascii="Arial" w:cs="Arial" w:eastAsia="Arial" w:hAnsi="Arial"/>
                <w:sz w:val="13"/>
                <w:szCs w:val="13"/>
                <w:color w:val="auto"/>
              </w:rPr>
              <w:t>121,913</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Warrants to purchase Series B Class B Preferred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53,918</w:t>
            </w:r>
          </w:p>
        </w:tc>
        <w:tc>
          <w:tcPr>
            <w:tcW w:w="132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53,918</w:t>
            </w: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Warrants to purchase of Series m-1 Class A Preferred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266,961</w:t>
            </w:r>
          </w:p>
        </w:tc>
        <w:tc>
          <w:tcPr>
            <w:tcW w:w="1220" w:type="dxa"/>
            <w:vAlign w:val="bottom"/>
          </w:tcPr>
          <w:p>
            <w:pPr>
              <w:jc w:val="right"/>
              <w:spacing w:after="0"/>
              <w:rPr>
                <w:sz w:val="20"/>
                <w:szCs w:val="20"/>
                <w:color w:val="auto"/>
              </w:rPr>
            </w:pPr>
            <w:r>
              <w:rPr>
                <w:rFonts w:ascii="Arial" w:cs="Arial" w:eastAsia="Arial" w:hAnsi="Arial"/>
                <w:sz w:val="13"/>
                <w:szCs w:val="13"/>
                <w:color w:val="auto"/>
              </w:rPr>
              <w:t>266,961</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Warrants to purchase of Series m-3 Class A Preferred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1,432,786</w:t>
            </w:r>
          </w:p>
        </w:tc>
        <w:tc>
          <w:tcPr>
            <w:tcW w:w="12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1,449,543</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Warrants to purchase of Series S Class A Preferred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2,525,714</w:t>
            </w:r>
          </w:p>
        </w:tc>
        <w:tc>
          <w:tcPr>
            <w:tcW w:w="1220" w:type="dxa"/>
            <w:vAlign w:val="bottom"/>
          </w:tcPr>
          <w:p>
            <w:pPr>
              <w:jc w:val="right"/>
              <w:spacing w:after="0"/>
              <w:rPr>
                <w:sz w:val="20"/>
                <w:szCs w:val="20"/>
                <w:color w:val="auto"/>
              </w:rPr>
            </w:pPr>
            <w:r>
              <w:rPr>
                <w:rFonts w:ascii="Arial" w:cs="Arial" w:eastAsia="Arial" w:hAnsi="Arial"/>
                <w:sz w:val="13"/>
                <w:szCs w:val="13"/>
                <w:color w:val="auto"/>
              </w:rPr>
              <w:t>2,037,000</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Convertible Notes</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1,282,143</w:t>
            </w:r>
          </w:p>
        </w:tc>
        <w:tc>
          <w:tcPr>
            <w:tcW w:w="12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596,667</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8480" w:type="dxa"/>
            <w:vAlign w:val="bottom"/>
          </w:tcPr>
          <w:p>
            <w:pPr>
              <w:spacing w:after="0"/>
              <w:rPr>
                <w:sz w:val="20"/>
                <w:szCs w:val="20"/>
                <w:color w:val="auto"/>
              </w:rPr>
            </w:pPr>
            <w:r>
              <w:rPr>
                <w:rFonts w:ascii="Arial" w:cs="Arial" w:eastAsia="Arial" w:hAnsi="Arial"/>
                <w:sz w:val="13"/>
                <w:szCs w:val="13"/>
                <w:color w:val="auto"/>
              </w:rPr>
              <w:t>Stock options</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9,019,814</w:t>
            </w:r>
          </w:p>
        </w:tc>
        <w:tc>
          <w:tcPr>
            <w:tcW w:w="1220" w:type="dxa"/>
            <w:vAlign w:val="bottom"/>
          </w:tcPr>
          <w:p>
            <w:pPr>
              <w:jc w:val="right"/>
              <w:spacing w:after="0"/>
              <w:rPr>
                <w:sz w:val="20"/>
                <w:szCs w:val="20"/>
                <w:color w:val="auto"/>
              </w:rPr>
            </w:pPr>
            <w:r>
              <w:rPr>
                <w:rFonts w:ascii="Arial" w:cs="Arial" w:eastAsia="Arial" w:hAnsi="Arial"/>
                <w:sz w:val="13"/>
                <w:szCs w:val="13"/>
                <w:color w:val="auto"/>
              </w:rPr>
              <w:t>9,029,814</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0"/>
        </w:trPr>
        <w:tc>
          <w:tcPr>
            <w:tcW w:w="8480" w:type="dxa"/>
            <w:vAlign w:val="bottom"/>
            <w:vMerge w:val="restart"/>
            <w:shd w:val="clear" w:color="auto" w:fill="CCEEFF"/>
          </w:tcPr>
          <w:p>
            <w:pPr>
              <w:ind w:left="240"/>
              <w:spacing w:after="0"/>
              <w:rPr>
                <w:sz w:val="20"/>
                <w:szCs w:val="20"/>
                <w:color w:val="auto"/>
              </w:rPr>
            </w:pPr>
            <w:r>
              <w:rPr>
                <w:rFonts w:ascii="Arial" w:cs="Arial" w:eastAsia="Arial" w:hAnsi="Arial"/>
                <w:sz w:val="13"/>
                <w:szCs w:val="13"/>
                <w:color w:val="auto"/>
              </w:rPr>
              <w:t>Total potentially dilutive shares</w:t>
            </w:r>
          </w:p>
        </w:tc>
        <w:tc>
          <w:tcPr>
            <w:tcW w:w="1240" w:type="dxa"/>
            <w:vAlign w:val="bottom"/>
            <w:shd w:val="clear" w:color="auto" w:fill="000000"/>
          </w:tcPr>
          <w:p>
            <w:pPr>
              <w:spacing w:after="0" w:line="20" w:lineRule="exact"/>
              <w:rPr>
                <w:sz w:val="1"/>
                <w:szCs w:val="1"/>
                <w:color w:val="auto"/>
              </w:rPr>
            </w:pPr>
          </w:p>
        </w:tc>
        <w:tc>
          <w:tcPr>
            <w:tcW w:w="240" w:type="dxa"/>
            <w:vAlign w:val="bottom"/>
            <w:shd w:val="clear" w:color="auto" w:fill="CCEEFF"/>
          </w:tcPr>
          <w:p>
            <w:pPr>
              <w:spacing w:after="0" w:line="20" w:lineRule="exact"/>
              <w:rPr>
                <w:sz w:val="1"/>
                <w:szCs w:val="1"/>
                <w:color w:val="auto"/>
              </w:rPr>
            </w:pPr>
          </w:p>
        </w:tc>
        <w:tc>
          <w:tcPr>
            <w:tcW w:w="122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6"/>
        </w:trPr>
        <w:tc>
          <w:tcPr>
            <w:tcW w:w="8480" w:type="dxa"/>
            <w:vAlign w:val="bottom"/>
            <w:vMerge w:val="continue"/>
            <w:shd w:val="clear" w:color="auto" w:fill="CCEEFF"/>
          </w:tcPr>
          <w:p>
            <w:pPr>
              <w:spacing w:after="0"/>
              <w:rPr>
                <w:sz w:val="13"/>
                <w:szCs w:val="13"/>
                <w:color w:val="auto"/>
              </w:rPr>
            </w:pP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40,473,609</w:t>
            </w:r>
          </w:p>
        </w:tc>
        <w:tc>
          <w:tcPr>
            <w:tcW w:w="132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36,376,798</w:t>
            </w:r>
          </w:p>
        </w:tc>
        <w:tc>
          <w:tcPr>
            <w:tcW w:w="0" w:type="dxa"/>
            <w:vAlign w:val="bottom"/>
          </w:tcPr>
          <w:p>
            <w:pPr>
              <w:spacing w:after="0"/>
              <w:rPr>
                <w:sz w:val="1"/>
                <w:szCs w:val="1"/>
                <w:color w:val="auto"/>
              </w:rPr>
            </w:pPr>
          </w:p>
        </w:tc>
      </w:tr>
      <w:tr>
        <w:trPr>
          <w:trHeight w:val="30"/>
        </w:trPr>
        <w:tc>
          <w:tcPr>
            <w:tcW w:w="8480" w:type="dxa"/>
            <w:vAlign w:val="bottom"/>
            <w:shd w:val="clear" w:color="auto" w:fill="CCEEFF"/>
          </w:tcPr>
          <w:p>
            <w:pPr>
              <w:spacing w:after="0"/>
              <w:rPr>
                <w:sz w:val="2"/>
                <w:szCs w:val="2"/>
                <w:color w:val="auto"/>
              </w:rPr>
            </w:pPr>
          </w:p>
        </w:tc>
        <w:tc>
          <w:tcPr>
            <w:tcW w:w="1240" w:type="dxa"/>
            <w:vAlign w:val="bottom"/>
            <w:shd w:val="clear" w:color="auto" w:fill="000000"/>
          </w:tcPr>
          <w:p>
            <w:pPr>
              <w:spacing w:after="0"/>
              <w:rPr>
                <w:sz w:val="2"/>
                <w:szCs w:val="2"/>
                <w:color w:val="auto"/>
              </w:rPr>
            </w:pPr>
          </w:p>
        </w:tc>
        <w:tc>
          <w:tcPr>
            <w:tcW w:w="240" w:type="dxa"/>
            <w:vAlign w:val="bottom"/>
            <w:shd w:val="clear" w:color="auto" w:fill="CCEEFF"/>
          </w:tcPr>
          <w:p>
            <w:pPr>
              <w:spacing w:after="0"/>
              <w:rPr>
                <w:sz w:val="2"/>
                <w:szCs w:val="2"/>
                <w:color w:val="auto"/>
              </w:rPr>
            </w:pPr>
          </w:p>
        </w:tc>
        <w:tc>
          <w:tcPr>
            <w:tcW w:w="122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8" w:lineRule="exact"/>
        <w:rPr>
          <w:sz w:val="20"/>
          <w:szCs w:val="20"/>
          <w:color w:val="auto"/>
        </w:rPr>
      </w:pPr>
    </w:p>
    <w:p>
      <w:pPr>
        <w:spacing w:after="0"/>
        <w:rPr>
          <w:sz w:val="20"/>
          <w:szCs w:val="20"/>
          <w:color w:val="auto"/>
        </w:rPr>
      </w:pPr>
      <w:r>
        <w:rPr>
          <w:rFonts w:ascii="Arial" w:cs="Arial" w:eastAsia="Arial" w:hAnsi="Arial"/>
          <w:sz w:val="13"/>
          <w:szCs w:val="13"/>
          <w:color w:val="auto"/>
        </w:rPr>
        <w:t>As all potentially dilutive securities are anti-dilutive as of December 31, 2020 and 2019, diluted net loss per share is the same as basic net loss per share for each year.</w:t>
      </w:r>
    </w:p>
    <w:p>
      <w:pPr>
        <w:spacing w:after="0" w:line="320"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F-14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300"/>
          </w:cols>
          <w:pgMar w:left="300" w:top="694" w:right="299" w:bottom="1440" w:gutter="0" w:footer="0" w:header="0"/>
        </w:sectPr>
      </w:pPr>
    </w:p>
    <w:bookmarkStart w:id="76" w:name="page77"/>
    <w:bookmarkEnd w:id="76"/>
    <w:p>
      <w:pPr>
        <w:spacing w:after="0"/>
        <w:rPr>
          <w:sz w:val="20"/>
          <w:szCs w:val="20"/>
          <w:color w:val="auto"/>
        </w:rPr>
      </w:pPr>
      <w:r>
        <w:rPr>
          <w:rFonts w:ascii="Arial" w:cs="Arial" w:eastAsia="Arial" w:hAnsi="Arial"/>
          <w:sz w:val="13"/>
          <w:szCs w:val="13"/>
          <w:b w:val="1"/>
          <w:bCs w:val="1"/>
          <w:color w:val="auto"/>
        </w:rPr>
        <w:t>NOTE 1: The Company and Summary of Significant Accounting Policies (Continue)</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Accounting Pronouncements Adopted in 2020</w:t>
      </w:r>
    </w:p>
    <w:p>
      <w:pPr>
        <w:spacing w:after="0" w:line="163"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 xml:space="preserve">In August 2018, the FASB issued ASU 2018-13, </w:t>
      </w:r>
      <w:r>
        <w:rPr>
          <w:rFonts w:ascii="Arial" w:cs="Arial" w:eastAsia="Arial" w:hAnsi="Arial"/>
          <w:sz w:val="13"/>
          <w:szCs w:val="13"/>
          <w:i w:val="1"/>
          <w:iCs w:val="1"/>
          <w:color w:val="auto"/>
        </w:rPr>
        <w:t>Fair Value Measurement (Topic 820): Disclosure Framework - Changes to the Disclosure Requirements for Fair Value Measurements,</w:t>
      </w:r>
      <w:r>
        <w:rPr>
          <w:rFonts w:ascii="Arial" w:cs="Arial" w:eastAsia="Arial" w:hAnsi="Arial"/>
          <w:sz w:val="13"/>
          <w:szCs w:val="13"/>
          <w:color w:val="auto"/>
        </w:rPr>
        <w:t xml:space="preserve"> which expands the disclosure requirements for Level 3 fair value measurements and expands disclosures for entities that calculate net assets value. This amendment is applicable to all public business entities for fiscal years, and interim periods within those fiscal years, beginning after December 15, 2019, with early adoption permitted. The Company adopted this update effective fiscal first quarter of 2020. The adoption of this amendment did not have a material impact on the Company’s financial statements or disclosures.</w:t>
      </w:r>
    </w:p>
    <w:p>
      <w:pPr>
        <w:spacing w:after="0" w:line="139" w:lineRule="exact"/>
        <w:rPr>
          <w:sz w:val="20"/>
          <w:szCs w:val="20"/>
          <w:color w:val="auto"/>
        </w:rPr>
      </w:pPr>
    </w:p>
    <w:p>
      <w:pPr>
        <w:jc w:val="both"/>
        <w:spacing w:after="0" w:line="287" w:lineRule="auto"/>
        <w:rPr>
          <w:sz w:val="20"/>
          <w:szCs w:val="20"/>
          <w:color w:val="auto"/>
        </w:rPr>
      </w:pPr>
      <w:r>
        <w:rPr>
          <w:rFonts w:ascii="Arial" w:cs="Arial" w:eastAsia="Arial" w:hAnsi="Arial"/>
          <w:sz w:val="12"/>
          <w:szCs w:val="12"/>
          <w:color w:val="auto"/>
        </w:rPr>
        <w:t xml:space="preserve">In August 2018, the FASB issued ASU 2018-15, </w:t>
      </w:r>
      <w:r>
        <w:rPr>
          <w:rFonts w:ascii="Arial" w:cs="Arial" w:eastAsia="Arial" w:hAnsi="Arial"/>
          <w:sz w:val="12"/>
          <w:szCs w:val="12"/>
          <w:i w:val="1"/>
          <w:iCs w:val="1"/>
          <w:color w:val="auto"/>
        </w:rPr>
        <w:t>Intangibles - Goodwill and Other - Internal-Use Software (Subtopic 350-40): Client's Accounting for Implementation Costs Incurred in a Cloud Computing</w:t>
      </w:r>
      <w:r>
        <w:rPr>
          <w:rFonts w:ascii="Arial" w:cs="Arial" w:eastAsia="Arial" w:hAnsi="Arial"/>
          <w:sz w:val="12"/>
          <w:szCs w:val="12"/>
          <w:color w:val="auto"/>
        </w:rPr>
        <w:t xml:space="preserve"> </w:t>
      </w:r>
      <w:r>
        <w:rPr>
          <w:rFonts w:ascii="Arial" w:cs="Arial" w:eastAsia="Arial" w:hAnsi="Arial"/>
          <w:sz w:val="12"/>
          <w:szCs w:val="12"/>
          <w:i w:val="1"/>
          <w:iCs w:val="1"/>
          <w:color w:val="auto"/>
        </w:rPr>
        <w:t>Arrangement That is a Service Contract</w:t>
      </w:r>
      <w:r>
        <w:rPr>
          <w:rFonts w:ascii="Arial" w:cs="Arial" w:eastAsia="Arial" w:hAnsi="Arial"/>
          <w:sz w:val="12"/>
          <w:szCs w:val="12"/>
          <w:color w:val="auto"/>
        </w:rPr>
        <w:t>, which aligns the requirements for capitalizing implementation costs incurred in a hosting arrangement that is a service contract with the requirements for capitalizing</w:t>
      </w:r>
      <w:r>
        <w:rPr>
          <w:rFonts w:ascii="Arial" w:cs="Arial" w:eastAsia="Arial" w:hAnsi="Arial"/>
          <w:sz w:val="12"/>
          <w:szCs w:val="12"/>
          <w:i w:val="1"/>
          <w:iCs w:val="1"/>
          <w:color w:val="auto"/>
        </w:rPr>
        <w:t xml:space="preserve"> </w:t>
      </w:r>
      <w:r>
        <w:rPr>
          <w:rFonts w:ascii="Arial" w:cs="Arial" w:eastAsia="Arial" w:hAnsi="Arial"/>
          <w:sz w:val="12"/>
          <w:szCs w:val="12"/>
          <w:color w:val="auto"/>
        </w:rPr>
        <w:t>implementation costs incurred to develop or obtain internal-use software. This amendment is applicable to all public business entities for fiscal years, and interim periods within those fiscal years, beginning after December 15, 2019, with early adoption permitted. The Company adopted this guidance in 2020 and the implementation of this amendment did not have a material impact on its financial statements or disclosures.</w:t>
      </w:r>
    </w:p>
    <w:p>
      <w:pPr>
        <w:spacing w:after="0" w:line="122"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Recent Accounting Pronouncements Not Yet Effective</w:t>
      </w:r>
    </w:p>
    <w:p>
      <w:pPr>
        <w:spacing w:after="0" w:line="163"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 xml:space="preserve">In June 2016, the FASB released </w:t>
      </w:r>
      <w:r>
        <w:rPr>
          <w:rFonts w:ascii="Arial" w:cs="Arial" w:eastAsia="Arial" w:hAnsi="Arial"/>
          <w:sz w:val="12"/>
          <w:szCs w:val="12"/>
          <w:i w:val="1"/>
          <w:iCs w:val="1"/>
          <w:color w:val="auto"/>
        </w:rPr>
        <w:t>ASU 2016-13, “Financial Instruments – Credit Losses.”</w:t>
      </w:r>
      <w:r>
        <w:rPr>
          <w:rFonts w:ascii="Arial" w:cs="Arial" w:eastAsia="Arial" w:hAnsi="Arial"/>
          <w:sz w:val="12"/>
          <w:szCs w:val="12"/>
          <w:color w:val="auto"/>
        </w:rPr>
        <w:t xml:space="preserve"> The amendment revises the impairment model to utilize an expected loss methodology in place of the currently used incurred loss methodology, which will result in more timely recognition of losses on financial instruments, including but not limited to available-for-sale debt securities and accounts receivable. ASU 2016-03 is effective for fiscal years for public business entities beginning after December 15, 2022. The Company is currently in the process of evaluating the impact of adoption on its financial statements.</w:t>
      </w:r>
    </w:p>
    <w:p>
      <w:pPr>
        <w:spacing w:after="0" w:line="119"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In December 2019, the FASB issued ASU No. 2019-12</w:t>
      </w:r>
      <w:r>
        <w:rPr>
          <w:rFonts w:ascii="Arial" w:cs="Arial" w:eastAsia="Arial" w:hAnsi="Arial"/>
          <w:sz w:val="13"/>
          <w:szCs w:val="13"/>
          <w:i w:val="1"/>
          <w:iCs w:val="1"/>
          <w:color w:val="auto"/>
        </w:rPr>
        <w:t>, Income Taxes (Topic 740): Simplifying the Accounting for Income Taxes</w:t>
      </w:r>
      <w:r>
        <w:rPr>
          <w:rFonts w:ascii="Arial" w:cs="Arial" w:eastAsia="Arial" w:hAnsi="Arial"/>
          <w:sz w:val="13"/>
          <w:szCs w:val="13"/>
          <w:color w:val="auto"/>
        </w:rPr>
        <w:t>, which simplifies the accounting for income taxes by removing certain exceptions to the general principles for income taxes. This amendment is applicable to all public business entities for fiscal years, and interim periods within those fiscal years, beginning after December 15, 2020, with early adoption permitted. The Company is currently evaluating the impact of adoption on its financial statements.</w:t>
      </w:r>
    </w:p>
    <w:p>
      <w:pPr>
        <w:spacing w:after="0" w:line="136"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In August 2020, the FASB issued ASU No. 2020-16</w:t>
      </w:r>
      <w:r>
        <w:rPr>
          <w:rFonts w:ascii="Arial" w:cs="Arial" w:eastAsia="Arial" w:hAnsi="Arial"/>
          <w:sz w:val="12"/>
          <w:szCs w:val="12"/>
          <w:i w:val="1"/>
          <w:iCs w:val="1"/>
          <w:color w:val="auto"/>
        </w:rPr>
        <w:t>, Debt-Debt with Conversion and Other Options (Subtopic 470-20) and Derivatives and Hedging-Contracts in Entity’s Own Equity (Subtopic 815-40).</w:t>
      </w:r>
      <w:r>
        <w:rPr>
          <w:rFonts w:ascii="Arial" w:cs="Arial" w:eastAsia="Arial" w:hAnsi="Arial"/>
          <w:sz w:val="12"/>
          <w:szCs w:val="12"/>
          <w:color w:val="auto"/>
        </w:rPr>
        <w:t xml:space="preserve"> The update is to simplify the accounting for convertible instruments by removing certain separation models in Subtopic 470-20. This amendment is applicable to all public business entities for fiscal years, and interim periods within those fiscal years, beginning after December 15, 2021, with early adoption permitted. The Company is currently evaluating the impact of adoption on its financial statements.</w:t>
      </w:r>
    </w:p>
    <w:p>
      <w:pPr>
        <w:spacing w:after="0" w:line="275"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77" w:name="page78"/>
    <w:bookmarkEnd w:id="77"/>
    <w:p>
      <w:pPr>
        <w:spacing w:after="0"/>
        <w:rPr>
          <w:sz w:val="20"/>
          <w:szCs w:val="20"/>
          <w:color w:val="auto"/>
        </w:rPr>
      </w:pPr>
      <w:r>
        <w:rPr>
          <w:rFonts w:ascii="Arial" w:cs="Arial" w:eastAsia="Arial" w:hAnsi="Arial"/>
          <w:sz w:val="13"/>
          <w:szCs w:val="13"/>
          <w:b w:val="1"/>
          <w:bCs w:val="1"/>
          <w:color w:val="auto"/>
        </w:rPr>
        <w:t>NOTE 2: Fair Value Measurement</w:t>
      </w:r>
    </w:p>
    <w:p>
      <w:pPr>
        <w:spacing w:after="0" w:line="167"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The Company determines the fair market values of its financial instruments based on the fair value hierarchy, which requires an entity to maximize the use of observable inputs and minimize the use of unobservable inputs when measuring fair value. The following are three levels of inputs that may be used to measure fair value:</w:t>
      </w:r>
    </w:p>
    <w:p>
      <w:pPr>
        <w:spacing w:after="0" w:line="128" w:lineRule="exact"/>
        <w:rPr>
          <w:sz w:val="20"/>
          <w:szCs w:val="20"/>
          <w:color w:val="auto"/>
        </w:rPr>
      </w:pPr>
    </w:p>
    <w:p>
      <w:pPr>
        <w:ind w:left="460" w:hanging="227"/>
        <w:spacing w:after="0" w:line="274" w:lineRule="auto"/>
        <w:tabs>
          <w:tab w:leader="none" w:pos="460" w:val="left"/>
        </w:tabs>
        <w:numPr>
          <w:ilvl w:val="0"/>
          <w:numId w:val="38"/>
        </w:numPr>
        <w:rPr>
          <w:rFonts w:ascii="Arial" w:cs="Arial" w:eastAsia="Arial" w:hAnsi="Arial"/>
          <w:sz w:val="13"/>
          <w:szCs w:val="13"/>
          <w:color w:val="auto"/>
        </w:rPr>
      </w:pPr>
      <w:r>
        <w:rPr>
          <w:rFonts w:ascii="Arial" w:cs="Arial" w:eastAsia="Arial" w:hAnsi="Arial"/>
          <w:sz w:val="13"/>
          <w:szCs w:val="13"/>
          <w:color w:val="auto"/>
        </w:rPr>
        <w:t>Level 1 – Quoted prices in active markets for identical assets or liabilities. The Company considers a market to be active when transactions for the asset occur with sufficient frequency and volume to provide pricing information on an ongoing basis.</w:t>
      </w:r>
    </w:p>
    <w:p>
      <w:pPr>
        <w:spacing w:after="0" w:line="127" w:lineRule="exact"/>
        <w:rPr>
          <w:rFonts w:ascii="Arial" w:cs="Arial" w:eastAsia="Arial" w:hAnsi="Arial"/>
          <w:sz w:val="13"/>
          <w:szCs w:val="13"/>
          <w:color w:val="auto"/>
        </w:rPr>
      </w:pPr>
    </w:p>
    <w:p>
      <w:pPr>
        <w:ind w:left="460" w:hanging="227"/>
        <w:spacing w:after="0" w:line="274" w:lineRule="auto"/>
        <w:tabs>
          <w:tab w:leader="none" w:pos="460" w:val="left"/>
        </w:tabs>
        <w:numPr>
          <w:ilvl w:val="0"/>
          <w:numId w:val="38"/>
        </w:numPr>
        <w:rPr>
          <w:rFonts w:ascii="Arial" w:cs="Arial" w:eastAsia="Arial" w:hAnsi="Arial"/>
          <w:sz w:val="13"/>
          <w:szCs w:val="13"/>
          <w:color w:val="auto"/>
        </w:rPr>
      </w:pPr>
      <w:r>
        <w:rPr>
          <w:rFonts w:ascii="Arial" w:cs="Arial" w:eastAsia="Arial" w:hAnsi="Arial"/>
          <w:sz w:val="13"/>
          <w:szCs w:val="13"/>
          <w:color w:val="auto"/>
        </w:rPr>
        <w:t>Level 2 – Inputs other than Level 1 that are observable, either directly or indirectly, such as quoted prices for similar assets or liabilities; quoted prices in markets that are not active; or other inputs that are observable or can be corroborated by observable market data for substantially the full term of the assets or liabilities.</w:t>
      </w:r>
    </w:p>
    <w:p>
      <w:pPr>
        <w:spacing w:after="0" w:line="127" w:lineRule="exact"/>
        <w:rPr>
          <w:rFonts w:ascii="Arial" w:cs="Arial" w:eastAsia="Arial" w:hAnsi="Arial"/>
          <w:sz w:val="13"/>
          <w:szCs w:val="13"/>
          <w:color w:val="auto"/>
        </w:rPr>
      </w:pPr>
    </w:p>
    <w:p>
      <w:pPr>
        <w:ind w:left="460" w:hanging="227"/>
        <w:spacing w:after="0" w:line="274" w:lineRule="auto"/>
        <w:tabs>
          <w:tab w:leader="none" w:pos="460" w:val="left"/>
        </w:tabs>
        <w:numPr>
          <w:ilvl w:val="0"/>
          <w:numId w:val="38"/>
        </w:numPr>
        <w:rPr>
          <w:rFonts w:ascii="Arial" w:cs="Arial" w:eastAsia="Arial" w:hAnsi="Arial"/>
          <w:sz w:val="13"/>
          <w:szCs w:val="13"/>
          <w:color w:val="auto"/>
        </w:rPr>
      </w:pPr>
      <w:r>
        <w:rPr>
          <w:rFonts w:ascii="Arial" w:cs="Arial" w:eastAsia="Arial" w:hAnsi="Arial"/>
          <w:sz w:val="13"/>
          <w:szCs w:val="13"/>
          <w:color w:val="auto"/>
        </w:rPr>
        <w:t>Level 3 – Unobservable inputs that are supported by little or no market activity and that are significant to the fair value of the assets or liabilities. The valuation of Level 3 investments requires the use of significant management judgments or estimation.</w:t>
      </w:r>
    </w:p>
    <w:p>
      <w:pPr>
        <w:spacing w:after="0" w:line="128"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 xml:space="preserve">In certain cases where there is limited activity or less transparency around inputs to valuation, securities are classified as Level 3. Level 3 liabilities that are measured at fair value on a recurring basis consist of the convertible preferred stock warrant liabilities. The inputs used in estimating the fair value of the warrant liabilities are described in Note 4 -- </w:t>
      </w:r>
      <w:r>
        <w:rPr>
          <w:rFonts w:ascii="Arial" w:cs="Arial" w:eastAsia="Arial" w:hAnsi="Arial"/>
          <w:sz w:val="13"/>
          <w:szCs w:val="13"/>
          <w:i w:val="1"/>
          <w:iCs w:val="1"/>
          <w:color w:val="auto"/>
        </w:rPr>
        <w:t>Capital Stock and Warrants</w:t>
      </w:r>
      <w:r>
        <w:rPr>
          <w:rFonts w:ascii="Arial" w:cs="Arial" w:eastAsia="Arial" w:hAnsi="Arial"/>
          <w:sz w:val="13"/>
          <w:szCs w:val="13"/>
          <w:color w:val="auto"/>
        </w:rPr>
        <w:t>.</w:t>
      </w:r>
    </w:p>
    <w:p>
      <w:pPr>
        <w:spacing w:after="0" w:line="128"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The following tables summarize, for each category of assets or liabilities carried at fair value, the respective fair value as of December 31, 2020 and 2019 and the classification by level of input within the fair value hierarchy:</w:t>
      </w:r>
    </w:p>
    <w:p>
      <w:pPr>
        <w:spacing w:after="0" w:line="134"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20" w:type="dxa"/>
            <w:vAlign w:val="bottom"/>
          </w:tcPr>
          <w:p>
            <w:pPr>
              <w:spacing w:after="0"/>
              <w:rPr>
                <w:sz w:val="14"/>
                <w:szCs w:val="14"/>
                <w:color w:val="auto"/>
              </w:rPr>
            </w:pPr>
          </w:p>
        </w:tc>
        <w:tc>
          <w:tcPr>
            <w:tcW w:w="1000" w:type="dxa"/>
            <w:vAlign w:val="bottom"/>
          </w:tcPr>
          <w:p>
            <w:pPr>
              <w:spacing w:after="0"/>
              <w:rPr>
                <w:sz w:val="14"/>
                <w:szCs w:val="14"/>
                <w:color w:val="auto"/>
              </w:rPr>
            </w:pPr>
          </w:p>
        </w:tc>
        <w:tc>
          <w:tcPr>
            <w:tcW w:w="452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200" w:type="dxa"/>
            <w:vAlign w:val="bottom"/>
            <w:gridSpan w:val="2"/>
          </w:tcPr>
          <w:p>
            <w:pPr>
              <w:ind w:left="200"/>
              <w:spacing w:after="0"/>
              <w:rPr>
                <w:sz w:val="20"/>
                <w:szCs w:val="20"/>
                <w:color w:val="auto"/>
              </w:rPr>
            </w:pPr>
            <w:r>
              <w:rPr>
                <w:rFonts w:ascii="Arial" w:cs="Arial" w:eastAsia="Arial" w:hAnsi="Arial"/>
                <w:sz w:val="13"/>
                <w:szCs w:val="13"/>
                <w:b w:val="1"/>
                <w:bCs w:val="1"/>
                <w:color w:val="auto"/>
              </w:rPr>
              <w:t>Total</w:t>
            </w:r>
          </w:p>
        </w:tc>
        <w:tc>
          <w:tcPr>
            <w:tcW w:w="260" w:type="dxa"/>
            <w:vAlign w:val="bottom"/>
          </w:tcPr>
          <w:p>
            <w:pPr>
              <w:spacing w:after="0"/>
              <w:rPr>
                <w:sz w:val="14"/>
                <w:szCs w:val="14"/>
                <w:color w:val="auto"/>
              </w:rPr>
            </w:pPr>
          </w:p>
        </w:tc>
        <w:tc>
          <w:tcPr>
            <w:tcW w:w="1220" w:type="dxa"/>
            <w:vAlign w:val="bottom"/>
            <w:gridSpan w:val="2"/>
          </w:tcPr>
          <w:p>
            <w:pPr>
              <w:ind w:left="180"/>
              <w:spacing w:after="0"/>
              <w:rPr>
                <w:sz w:val="20"/>
                <w:szCs w:val="20"/>
                <w:color w:val="auto"/>
              </w:rPr>
            </w:pPr>
            <w:r>
              <w:rPr>
                <w:rFonts w:ascii="Arial" w:cs="Arial" w:eastAsia="Arial" w:hAnsi="Arial"/>
                <w:sz w:val="13"/>
                <w:szCs w:val="13"/>
                <w:b w:val="1"/>
                <w:bCs w:val="1"/>
                <w:color w:val="auto"/>
              </w:rPr>
              <w:t>Level 1</w:t>
            </w:r>
          </w:p>
        </w:tc>
        <w:tc>
          <w:tcPr>
            <w:tcW w:w="1000" w:type="dxa"/>
            <w:vAlign w:val="bottom"/>
          </w:tcPr>
          <w:p>
            <w:pPr>
              <w:jc w:val="right"/>
              <w:ind w:right="128"/>
              <w:spacing w:after="0"/>
              <w:rPr>
                <w:sz w:val="20"/>
                <w:szCs w:val="20"/>
                <w:color w:val="auto"/>
              </w:rPr>
            </w:pPr>
            <w:r>
              <w:rPr>
                <w:rFonts w:ascii="Arial" w:cs="Arial" w:eastAsia="Arial" w:hAnsi="Arial"/>
                <w:sz w:val="13"/>
                <w:szCs w:val="13"/>
                <w:b w:val="1"/>
                <w:bCs w:val="1"/>
                <w:color w:val="auto"/>
              </w:rPr>
              <w:t>Level 2</w:t>
            </w:r>
          </w:p>
        </w:tc>
        <w:tc>
          <w:tcPr>
            <w:tcW w:w="2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080" w:type="dxa"/>
            <w:vAlign w:val="bottom"/>
            <w:gridSpan w:val="2"/>
          </w:tcPr>
          <w:p>
            <w:pPr>
              <w:jc w:val="right"/>
              <w:ind w:right="520"/>
              <w:spacing w:after="0"/>
              <w:rPr>
                <w:sz w:val="20"/>
                <w:szCs w:val="20"/>
                <w:color w:val="auto"/>
              </w:rPr>
            </w:pPr>
            <w:r>
              <w:rPr>
                <w:rFonts w:ascii="Arial" w:cs="Arial" w:eastAsia="Arial" w:hAnsi="Arial"/>
                <w:sz w:val="13"/>
                <w:szCs w:val="13"/>
                <w:b w:val="1"/>
                <w:bCs w:val="1"/>
                <w:color w:val="auto"/>
              </w:rPr>
              <w:t>Level 3</w:t>
            </w:r>
          </w:p>
        </w:tc>
      </w:tr>
      <w:tr>
        <w:trPr>
          <w:trHeight w:val="127"/>
        </w:trPr>
        <w:tc>
          <w:tcPr>
            <w:tcW w:w="20" w:type="dxa"/>
            <w:vAlign w:val="bottom"/>
          </w:tcPr>
          <w:p>
            <w:pPr>
              <w:spacing w:after="0"/>
              <w:rPr>
                <w:sz w:val="11"/>
                <w:szCs w:val="11"/>
                <w:color w:val="auto"/>
              </w:rPr>
            </w:pPr>
          </w:p>
        </w:tc>
        <w:tc>
          <w:tcPr>
            <w:tcW w:w="5520" w:type="dxa"/>
            <w:vAlign w:val="bottom"/>
            <w:tcBorders>
              <w:top w:val="single" w:sz="8" w:color="CCEEFF"/>
            </w:tcBorders>
            <w:gridSpan w:val="2"/>
            <w:shd w:val="clear" w:color="auto" w:fill="CCEEFF"/>
          </w:tcPr>
          <w:p>
            <w:pPr>
              <w:spacing w:after="0" w:line="118" w:lineRule="exact"/>
              <w:rPr>
                <w:sz w:val="20"/>
                <w:szCs w:val="20"/>
                <w:color w:val="auto"/>
              </w:rPr>
            </w:pPr>
            <w:r>
              <w:rPr>
                <w:rFonts w:ascii="Arial" w:cs="Arial" w:eastAsia="Arial" w:hAnsi="Arial"/>
                <w:sz w:val="13"/>
                <w:szCs w:val="13"/>
                <w:color w:val="auto"/>
              </w:rPr>
              <w:t>December 31, 2020</w:t>
            </w:r>
          </w:p>
        </w:tc>
        <w:tc>
          <w:tcPr>
            <w:tcW w:w="280" w:type="dxa"/>
            <w:vAlign w:val="bottom"/>
            <w:tcBorders>
              <w:top w:val="single" w:sz="8" w:color="auto"/>
            </w:tcBorders>
            <w:shd w:val="clear" w:color="auto" w:fill="CCEEFF"/>
          </w:tcPr>
          <w:p>
            <w:pPr>
              <w:spacing w:after="0"/>
              <w:rPr>
                <w:sz w:val="11"/>
                <w:szCs w:val="11"/>
                <w:color w:val="auto"/>
              </w:rPr>
            </w:pPr>
          </w:p>
        </w:tc>
        <w:tc>
          <w:tcPr>
            <w:tcW w:w="980" w:type="dxa"/>
            <w:vAlign w:val="bottom"/>
            <w:tcBorders>
              <w:top w:val="single" w:sz="8" w:color="auto"/>
            </w:tcBorders>
            <w:shd w:val="clear" w:color="auto" w:fill="CCEEFF"/>
          </w:tcPr>
          <w:p>
            <w:pPr>
              <w:spacing w:after="0"/>
              <w:rPr>
                <w:sz w:val="11"/>
                <w:szCs w:val="11"/>
                <w:color w:val="auto"/>
              </w:rPr>
            </w:pPr>
          </w:p>
        </w:tc>
        <w:tc>
          <w:tcPr>
            <w:tcW w:w="220" w:type="dxa"/>
            <w:vAlign w:val="bottom"/>
            <w:tcBorders>
              <w:top w:val="single" w:sz="8" w:color="CCEEFF"/>
            </w:tcBorders>
            <w:shd w:val="clear" w:color="auto" w:fill="CCEEFF"/>
          </w:tcPr>
          <w:p>
            <w:pPr>
              <w:spacing w:after="0"/>
              <w:rPr>
                <w:sz w:val="11"/>
                <w:szCs w:val="11"/>
                <w:color w:val="auto"/>
              </w:rPr>
            </w:pPr>
          </w:p>
        </w:tc>
        <w:tc>
          <w:tcPr>
            <w:tcW w:w="260" w:type="dxa"/>
            <w:vAlign w:val="bottom"/>
            <w:tcBorders>
              <w:top w:val="single" w:sz="8" w:color="auto"/>
            </w:tcBorders>
            <w:shd w:val="clear" w:color="auto" w:fill="CCEEFF"/>
          </w:tcPr>
          <w:p>
            <w:pPr>
              <w:spacing w:after="0"/>
              <w:rPr>
                <w:sz w:val="11"/>
                <w:szCs w:val="11"/>
                <w:color w:val="auto"/>
              </w:rPr>
            </w:pPr>
          </w:p>
        </w:tc>
        <w:tc>
          <w:tcPr>
            <w:tcW w:w="1000" w:type="dxa"/>
            <w:vAlign w:val="bottom"/>
            <w:tcBorders>
              <w:top w:val="single" w:sz="8" w:color="auto"/>
            </w:tcBorders>
            <w:shd w:val="clear" w:color="auto" w:fill="CCEEFF"/>
          </w:tcPr>
          <w:p>
            <w:pPr>
              <w:spacing w:after="0"/>
              <w:rPr>
                <w:sz w:val="11"/>
                <w:szCs w:val="11"/>
                <w:color w:val="auto"/>
              </w:rPr>
            </w:pPr>
          </w:p>
        </w:tc>
        <w:tc>
          <w:tcPr>
            <w:tcW w:w="220" w:type="dxa"/>
            <w:vAlign w:val="bottom"/>
            <w:tcBorders>
              <w:top w:val="single" w:sz="8" w:color="CCEEFF"/>
            </w:tcBorders>
            <w:shd w:val="clear" w:color="auto" w:fill="CCEEFF"/>
          </w:tcPr>
          <w:p>
            <w:pPr>
              <w:spacing w:after="0"/>
              <w:rPr>
                <w:sz w:val="11"/>
                <w:szCs w:val="11"/>
                <w:color w:val="auto"/>
              </w:rPr>
            </w:pPr>
          </w:p>
        </w:tc>
        <w:tc>
          <w:tcPr>
            <w:tcW w:w="1000" w:type="dxa"/>
            <w:vAlign w:val="bottom"/>
            <w:tcBorders>
              <w:top w:val="single" w:sz="8" w:color="auto"/>
            </w:tcBorders>
            <w:shd w:val="clear" w:color="auto" w:fill="CCEEFF"/>
          </w:tcPr>
          <w:p>
            <w:pPr>
              <w:spacing w:after="0"/>
              <w:rPr>
                <w:sz w:val="11"/>
                <w:szCs w:val="11"/>
                <w:color w:val="auto"/>
              </w:rPr>
            </w:pPr>
          </w:p>
        </w:tc>
        <w:tc>
          <w:tcPr>
            <w:tcW w:w="240" w:type="dxa"/>
            <w:vAlign w:val="bottom"/>
            <w:tcBorders>
              <w:top w:val="single" w:sz="8" w:color="auto"/>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c>
          <w:tcPr>
            <w:tcW w:w="120" w:type="dxa"/>
            <w:vAlign w:val="bottom"/>
            <w:tcBorders>
              <w:top w:val="single" w:sz="8" w:color="CCEEFF"/>
            </w:tcBorders>
            <w:shd w:val="clear" w:color="auto" w:fill="CCEEFF"/>
          </w:tcPr>
          <w:p>
            <w:pPr>
              <w:spacing w:after="0"/>
              <w:rPr>
                <w:sz w:val="11"/>
                <w:szCs w:val="11"/>
                <w:color w:val="auto"/>
              </w:rPr>
            </w:pPr>
          </w:p>
        </w:tc>
        <w:tc>
          <w:tcPr>
            <w:tcW w:w="240" w:type="dxa"/>
            <w:vAlign w:val="bottom"/>
            <w:tcBorders>
              <w:top w:val="single" w:sz="8" w:color="auto"/>
            </w:tcBorders>
            <w:shd w:val="clear" w:color="auto" w:fill="CCEEFF"/>
          </w:tcPr>
          <w:p>
            <w:pPr>
              <w:spacing w:after="0"/>
              <w:rPr>
                <w:sz w:val="11"/>
                <w:szCs w:val="11"/>
                <w:color w:val="auto"/>
              </w:rPr>
            </w:pPr>
          </w:p>
        </w:tc>
        <w:tc>
          <w:tcPr>
            <w:tcW w:w="980" w:type="dxa"/>
            <w:vAlign w:val="bottom"/>
            <w:tcBorders>
              <w:top w:val="single" w:sz="8" w:color="auto"/>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r>
      <w:tr>
        <w:trPr>
          <w:trHeight w:val="156"/>
        </w:trPr>
        <w:tc>
          <w:tcPr>
            <w:tcW w:w="20" w:type="dxa"/>
            <w:vAlign w:val="bottom"/>
          </w:tcPr>
          <w:p>
            <w:pPr>
              <w:spacing w:after="0"/>
              <w:rPr>
                <w:sz w:val="13"/>
                <w:szCs w:val="13"/>
                <w:color w:val="auto"/>
              </w:rPr>
            </w:pPr>
          </w:p>
        </w:tc>
        <w:tc>
          <w:tcPr>
            <w:tcW w:w="1000" w:type="dxa"/>
            <w:vAlign w:val="bottom"/>
            <w:tcBorders>
              <w:top w:val="single" w:sz="8" w:color="auto"/>
            </w:tcBorders>
          </w:tcPr>
          <w:p>
            <w:pPr>
              <w:spacing w:after="0"/>
              <w:rPr>
                <w:sz w:val="20"/>
                <w:szCs w:val="20"/>
                <w:color w:val="auto"/>
              </w:rPr>
            </w:pPr>
            <w:r>
              <w:rPr>
                <w:rFonts w:ascii="Arial" w:cs="Arial" w:eastAsia="Arial" w:hAnsi="Arial"/>
                <w:sz w:val="13"/>
                <w:szCs w:val="13"/>
                <w:b w:val="1"/>
                <w:bCs w:val="1"/>
                <w:color w:val="auto"/>
              </w:rPr>
              <w:t>Assets</w:t>
            </w:r>
          </w:p>
        </w:tc>
        <w:tc>
          <w:tcPr>
            <w:tcW w:w="4520" w:type="dxa"/>
            <w:vAlign w:val="bottom"/>
            <w:tcBorders>
              <w:top w:val="single" w:sz="8" w:color="CCEEFF"/>
            </w:tcBorders>
          </w:tcPr>
          <w:p>
            <w:pPr>
              <w:spacing w:after="0"/>
              <w:rPr>
                <w:sz w:val="13"/>
                <w:szCs w:val="13"/>
                <w:color w:val="auto"/>
              </w:rPr>
            </w:pPr>
          </w:p>
        </w:tc>
        <w:tc>
          <w:tcPr>
            <w:tcW w:w="280" w:type="dxa"/>
            <w:vAlign w:val="bottom"/>
            <w:tcBorders>
              <w:top w:val="single" w:sz="8" w:color="CCEEFF"/>
            </w:tcBorders>
          </w:tcPr>
          <w:p>
            <w:pPr>
              <w:spacing w:after="0"/>
              <w:rPr>
                <w:sz w:val="13"/>
                <w:szCs w:val="13"/>
                <w:color w:val="auto"/>
              </w:rPr>
            </w:pPr>
          </w:p>
        </w:tc>
        <w:tc>
          <w:tcPr>
            <w:tcW w:w="98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260" w:type="dxa"/>
            <w:vAlign w:val="bottom"/>
            <w:tcBorders>
              <w:top w:val="single" w:sz="8" w:color="CCEEFF"/>
            </w:tcBorders>
          </w:tcPr>
          <w:p>
            <w:pPr>
              <w:spacing w:after="0"/>
              <w:rPr>
                <w:sz w:val="13"/>
                <w:szCs w:val="13"/>
                <w:color w:val="auto"/>
              </w:rPr>
            </w:pPr>
          </w:p>
        </w:tc>
        <w:tc>
          <w:tcPr>
            <w:tcW w:w="100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1000" w:type="dxa"/>
            <w:vAlign w:val="bottom"/>
            <w:tcBorders>
              <w:top w:val="single" w:sz="8" w:color="CCEEFF"/>
            </w:tcBorders>
          </w:tcPr>
          <w:p>
            <w:pPr>
              <w:spacing w:after="0"/>
              <w:rPr>
                <w:sz w:val="13"/>
                <w:szCs w:val="13"/>
                <w:color w:val="auto"/>
              </w:rPr>
            </w:pPr>
          </w:p>
        </w:tc>
        <w:tc>
          <w:tcPr>
            <w:tcW w:w="240" w:type="dxa"/>
            <w:vAlign w:val="bottom"/>
            <w:tcBorders>
              <w:top w:val="single" w:sz="8" w:color="CCEEFF"/>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c>
          <w:tcPr>
            <w:tcW w:w="120" w:type="dxa"/>
            <w:vAlign w:val="bottom"/>
            <w:tcBorders>
              <w:top w:val="single" w:sz="8" w:color="CCEEFF"/>
            </w:tcBorders>
          </w:tcPr>
          <w:p>
            <w:pPr>
              <w:spacing w:after="0"/>
              <w:rPr>
                <w:sz w:val="13"/>
                <w:szCs w:val="13"/>
                <w:color w:val="auto"/>
              </w:rPr>
            </w:pPr>
          </w:p>
        </w:tc>
        <w:tc>
          <w:tcPr>
            <w:tcW w:w="240" w:type="dxa"/>
            <w:vAlign w:val="bottom"/>
            <w:tcBorders>
              <w:top w:val="single" w:sz="8" w:color="CCEEFF"/>
            </w:tcBorders>
          </w:tcPr>
          <w:p>
            <w:pPr>
              <w:spacing w:after="0"/>
              <w:rPr>
                <w:sz w:val="13"/>
                <w:szCs w:val="13"/>
                <w:color w:val="auto"/>
              </w:rPr>
            </w:pPr>
          </w:p>
        </w:tc>
        <w:tc>
          <w:tcPr>
            <w:tcW w:w="980" w:type="dxa"/>
            <w:vAlign w:val="bottom"/>
            <w:tcBorders>
              <w:top w:val="single" w:sz="8" w:color="CCEEFF"/>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Cash equivalents and restricted cash:</w:t>
            </w:r>
          </w:p>
        </w:tc>
        <w:tc>
          <w:tcPr>
            <w:tcW w:w="28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Money market funds</w:t>
            </w:r>
          </w:p>
        </w:tc>
        <w:tc>
          <w:tcPr>
            <w:tcW w:w="280" w:type="dxa"/>
            <w:vAlign w:val="bottom"/>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tcPr>
          <w:p>
            <w:pPr>
              <w:jc w:val="right"/>
              <w:ind w:right="220"/>
              <w:spacing w:after="0"/>
              <w:rPr>
                <w:sz w:val="20"/>
                <w:szCs w:val="20"/>
                <w:color w:val="auto"/>
              </w:rPr>
            </w:pPr>
            <w:r>
              <w:rPr>
                <w:rFonts w:ascii="Arial" w:cs="Arial" w:eastAsia="Arial" w:hAnsi="Arial"/>
                <w:sz w:val="13"/>
                <w:szCs w:val="13"/>
                <w:color w:val="auto"/>
              </w:rPr>
              <w:t>4,522,664</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4,522,664</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spacing w:after="0"/>
              <w:rPr>
                <w:sz w:val="20"/>
                <w:szCs w:val="20"/>
                <w:color w:val="auto"/>
              </w:rPr>
            </w:pPr>
            <w:r>
              <w:rPr>
                <w:rFonts w:ascii="Arial" w:cs="Arial" w:eastAsia="Arial" w:hAnsi="Arial"/>
                <w:sz w:val="13"/>
                <w:szCs w:val="13"/>
                <w:b w:val="1"/>
                <w:bCs w:val="1"/>
                <w:color w:val="auto"/>
              </w:rPr>
              <w:t>Liabilities</w:t>
            </w:r>
          </w:p>
        </w:tc>
        <w:tc>
          <w:tcPr>
            <w:tcW w:w="28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Warrant liability – Series B Preferred Stock</w:t>
            </w:r>
          </w:p>
        </w:tc>
        <w:tc>
          <w:tcPr>
            <w:tcW w:w="280" w:type="dxa"/>
            <w:vAlign w:val="bottom"/>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tcPr>
          <w:p>
            <w:pPr>
              <w:jc w:val="right"/>
              <w:ind w:right="220"/>
              <w:spacing w:after="0"/>
              <w:rPr>
                <w:sz w:val="20"/>
                <w:szCs w:val="20"/>
                <w:color w:val="auto"/>
              </w:rPr>
            </w:pPr>
            <w:r>
              <w:rPr>
                <w:rFonts w:ascii="Arial" w:cs="Arial" w:eastAsia="Arial" w:hAnsi="Arial"/>
                <w:sz w:val="13"/>
                <w:szCs w:val="13"/>
                <w:color w:val="auto"/>
              </w:rPr>
              <w:t>87,586</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1080" w:type="dxa"/>
            <w:vAlign w:val="bottom"/>
            <w:gridSpan w:val="2"/>
          </w:tcPr>
          <w:p>
            <w:pPr>
              <w:jc w:val="right"/>
              <w:ind w:right="100"/>
              <w:spacing w:after="0"/>
              <w:rPr>
                <w:sz w:val="20"/>
                <w:szCs w:val="20"/>
                <w:color w:val="auto"/>
              </w:rPr>
            </w:pPr>
            <w:r>
              <w:rPr>
                <w:rFonts w:ascii="Arial" w:cs="Arial" w:eastAsia="Arial" w:hAnsi="Arial"/>
                <w:sz w:val="13"/>
                <w:szCs w:val="13"/>
                <w:color w:val="auto"/>
              </w:rPr>
              <w:t>87,586</w:t>
            </w: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Warrant liability – Series m-1 Preferred Stock</w:t>
            </w: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315,159</w:t>
            </w:r>
          </w:p>
        </w:tc>
        <w:tc>
          <w:tcPr>
            <w:tcW w:w="260" w:type="dxa"/>
            <w:vAlign w:val="bottom"/>
            <w:shd w:val="clear" w:color="auto" w:fill="CCEEFF"/>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shd w:val="clear" w:color="auto" w:fill="CCEEFF"/>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315,159</w:t>
            </w: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Warrant liability – Series m-3 Preferred Stock</w:t>
            </w:r>
          </w:p>
        </w:tc>
        <w:tc>
          <w:tcPr>
            <w:tcW w:w="280" w:type="dxa"/>
            <w:vAlign w:val="bottom"/>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tcPr>
          <w:p>
            <w:pPr>
              <w:jc w:val="right"/>
              <w:ind w:right="220"/>
              <w:spacing w:after="0"/>
              <w:rPr>
                <w:sz w:val="20"/>
                <w:szCs w:val="20"/>
                <w:color w:val="auto"/>
              </w:rPr>
            </w:pPr>
            <w:r>
              <w:rPr>
                <w:rFonts w:ascii="Arial" w:cs="Arial" w:eastAsia="Arial" w:hAnsi="Arial"/>
                <w:sz w:val="13"/>
                <w:szCs w:val="13"/>
                <w:color w:val="auto"/>
              </w:rPr>
              <w:t>1,219,280</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tcPr>
          <w:p>
            <w:pPr>
              <w:jc w:val="right"/>
              <w:spacing w:after="0"/>
              <w:rPr>
                <w:sz w:val="20"/>
                <w:szCs w:val="20"/>
                <w:color w:val="auto"/>
              </w:rPr>
            </w:pPr>
            <w:r>
              <w:rPr>
                <w:rFonts w:ascii="Arial" w:cs="Arial" w:eastAsia="Arial" w:hAnsi="Arial"/>
                <w:sz w:val="13"/>
                <w:szCs w:val="13"/>
                <w:color w:val="auto"/>
              </w:rPr>
              <w:t>1,219,280</w:t>
            </w:r>
          </w:p>
        </w:tc>
        <w:tc>
          <w:tcPr>
            <w:tcW w:w="100" w:type="dxa"/>
            <w:vAlign w:val="bottom"/>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Warrant liability – Series s Preferred Stock</w:t>
            </w: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3,995,255</w:t>
            </w:r>
          </w:p>
        </w:tc>
        <w:tc>
          <w:tcPr>
            <w:tcW w:w="260" w:type="dxa"/>
            <w:vAlign w:val="bottom"/>
            <w:shd w:val="clear" w:color="auto" w:fill="CCEEFF"/>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shd w:val="clear" w:color="auto" w:fill="CCEEFF"/>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3,995,255</w:t>
            </w:r>
          </w:p>
        </w:tc>
        <w:tc>
          <w:tcPr>
            <w:tcW w:w="100" w:type="dxa"/>
            <w:vAlign w:val="bottom"/>
            <w:shd w:val="clear" w:color="auto" w:fill="CCEEFF"/>
          </w:tcPr>
          <w:p>
            <w:pPr>
              <w:spacing w:after="0"/>
              <w:rPr>
                <w:sz w:val="13"/>
                <w:szCs w:val="13"/>
                <w:color w:val="auto"/>
              </w:rPr>
            </w:pPr>
          </w:p>
        </w:tc>
      </w:tr>
    </w:tbl>
    <w:p>
      <w:pPr>
        <w:spacing w:after="0" w:line="153"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20" w:type="dxa"/>
            <w:vAlign w:val="bottom"/>
          </w:tcPr>
          <w:p>
            <w:pPr>
              <w:spacing w:after="0"/>
              <w:rPr>
                <w:sz w:val="14"/>
                <w:szCs w:val="14"/>
                <w:color w:val="auto"/>
              </w:rPr>
            </w:pPr>
          </w:p>
        </w:tc>
        <w:tc>
          <w:tcPr>
            <w:tcW w:w="1000" w:type="dxa"/>
            <w:vAlign w:val="bottom"/>
          </w:tcPr>
          <w:p>
            <w:pPr>
              <w:spacing w:after="0"/>
              <w:rPr>
                <w:sz w:val="14"/>
                <w:szCs w:val="14"/>
                <w:color w:val="auto"/>
              </w:rPr>
            </w:pPr>
          </w:p>
        </w:tc>
        <w:tc>
          <w:tcPr>
            <w:tcW w:w="452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200" w:type="dxa"/>
            <w:vAlign w:val="bottom"/>
            <w:gridSpan w:val="2"/>
          </w:tcPr>
          <w:p>
            <w:pPr>
              <w:ind w:left="200"/>
              <w:spacing w:after="0"/>
              <w:rPr>
                <w:sz w:val="20"/>
                <w:szCs w:val="20"/>
                <w:color w:val="auto"/>
              </w:rPr>
            </w:pPr>
            <w:r>
              <w:rPr>
                <w:rFonts w:ascii="Arial" w:cs="Arial" w:eastAsia="Arial" w:hAnsi="Arial"/>
                <w:sz w:val="13"/>
                <w:szCs w:val="13"/>
                <w:b w:val="1"/>
                <w:bCs w:val="1"/>
                <w:color w:val="auto"/>
              </w:rPr>
              <w:t>Total</w:t>
            </w:r>
          </w:p>
        </w:tc>
        <w:tc>
          <w:tcPr>
            <w:tcW w:w="260" w:type="dxa"/>
            <w:vAlign w:val="bottom"/>
          </w:tcPr>
          <w:p>
            <w:pPr>
              <w:spacing w:after="0"/>
              <w:rPr>
                <w:sz w:val="14"/>
                <w:szCs w:val="14"/>
                <w:color w:val="auto"/>
              </w:rPr>
            </w:pPr>
          </w:p>
        </w:tc>
        <w:tc>
          <w:tcPr>
            <w:tcW w:w="1220" w:type="dxa"/>
            <w:vAlign w:val="bottom"/>
            <w:gridSpan w:val="2"/>
          </w:tcPr>
          <w:p>
            <w:pPr>
              <w:ind w:left="180"/>
              <w:spacing w:after="0"/>
              <w:rPr>
                <w:sz w:val="20"/>
                <w:szCs w:val="20"/>
                <w:color w:val="auto"/>
              </w:rPr>
            </w:pPr>
            <w:r>
              <w:rPr>
                <w:rFonts w:ascii="Arial" w:cs="Arial" w:eastAsia="Arial" w:hAnsi="Arial"/>
                <w:sz w:val="13"/>
                <w:szCs w:val="13"/>
                <w:b w:val="1"/>
                <w:bCs w:val="1"/>
                <w:color w:val="auto"/>
              </w:rPr>
              <w:t>Level 1</w:t>
            </w:r>
          </w:p>
        </w:tc>
        <w:tc>
          <w:tcPr>
            <w:tcW w:w="1000" w:type="dxa"/>
            <w:vAlign w:val="bottom"/>
          </w:tcPr>
          <w:p>
            <w:pPr>
              <w:jc w:val="right"/>
              <w:ind w:right="128"/>
              <w:spacing w:after="0"/>
              <w:rPr>
                <w:sz w:val="20"/>
                <w:szCs w:val="20"/>
                <w:color w:val="auto"/>
              </w:rPr>
            </w:pPr>
            <w:r>
              <w:rPr>
                <w:rFonts w:ascii="Arial" w:cs="Arial" w:eastAsia="Arial" w:hAnsi="Arial"/>
                <w:sz w:val="13"/>
                <w:szCs w:val="13"/>
                <w:b w:val="1"/>
                <w:bCs w:val="1"/>
                <w:color w:val="auto"/>
              </w:rPr>
              <w:t>Level 2</w:t>
            </w:r>
          </w:p>
        </w:tc>
        <w:tc>
          <w:tcPr>
            <w:tcW w:w="2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080" w:type="dxa"/>
            <w:vAlign w:val="bottom"/>
            <w:gridSpan w:val="2"/>
          </w:tcPr>
          <w:p>
            <w:pPr>
              <w:jc w:val="right"/>
              <w:ind w:right="520"/>
              <w:spacing w:after="0"/>
              <w:rPr>
                <w:sz w:val="20"/>
                <w:szCs w:val="20"/>
                <w:color w:val="auto"/>
              </w:rPr>
            </w:pPr>
            <w:r>
              <w:rPr>
                <w:rFonts w:ascii="Arial" w:cs="Arial" w:eastAsia="Arial" w:hAnsi="Arial"/>
                <w:sz w:val="13"/>
                <w:szCs w:val="13"/>
                <w:b w:val="1"/>
                <w:bCs w:val="1"/>
                <w:color w:val="auto"/>
              </w:rPr>
              <w:t>Level 3</w:t>
            </w:r>
          </w:p>
        </w:tc>
      </w:tr>
      <w:tr>
        <w:trPr>
          <w:trHeight w:val="127"/>
        </w:trPr>
        <w:tc>
          <w:tcPr>
            <w:tcW w:w="20" w:type="dxa"/>
            <w:vAlign w:val="bottom"/>
          </w:tcPr>
          <w:p>
            <w:pPr>
              <w:spacing w:after="0"/>
              <w:rPr>
                <w:sz w:val="11"/>
                <w:szCs w:val="11"/>
                <w:color w:val="auto"/>
              </w:rPr>
            </w:pPr>
          </w:p>
        </w:tc>
        <w:tc>
          <w:tcPr>
            <w:tcW w:w="5520" w:type="dxa"/>
            <w:vAlign w:val="bottom"/>
            <w:tcBorders>
              <w:top w:val="single" w:sz="8" w:color="CCEEFF"/>
            </w:tcBorders>
            <w:gridSpan w:val="2"/>
            <w:shd w:val="clear" w:color="auto" w:fill="CCEEFF"/>
          </w:tcPr>
          <w:p>
            <w:pPr>
              <w:spacing w:after="0" w:line="118" w:lineRule="exact"/>
              <w:rPr>
                <w:sz w:val="20"/>
                <w:szCs w:val="20"/>
                <w:color w:val="auto"/>
              </w:rPr>
            </w:pPr>
            <w:r>
              <w:rPr>
                <w:rFonts w:ascii="Arial" w:cs="Arial" w:eastAsia="Arial" w:hAnsi="Arial"/>
                <w:sz w:val="13"/>
                <w:szCs w:val="13"/>
                <w:color w:val="auto"/>
              </w:rPr>
              <w:t>December 31, 2019</w:t>
            </w:r>
          </w:p>
        </w:tc>
        <w:tc>
          <w:tcPr>
            <w:tcW w:w="280" w:type="dxa"/>
            <w:vAlign w:val="bottom"/>
            <w:tcBorders>
              <w:top w:val="single" w:sz="8" w:color="auto"/>
            </w:tcBorders>
            <w:shd w:val="clear" w:color="auto" w:fill="CCEEFF"/>
          </w:tcPr>
          <w:p>
            <w:pPr>
              <w:spacing w:after="0"/>
              <w:rPr>
                <w:sz w:val="11"/>
                <w:szCs w:val="11"/>
                <w:color w:val="auto"/>
              </w:rPr>
            </w:pPr>
          </w:p>
        </w:tc>
        <w:tc>
          <w:tcPr>
            <w:tcW w:w="980" w:type="dxa"/>
            <w:vAlign w:val="bottom"/>
            <w:tcBorders>
              <w:top w:val="single" w:sz="8" w:color="auto"/>
            </w:tcBorders>
            <w:shd w:val="clear" w:color="auto" w:fill="CCEEFF"/>
          </w:tcPr>
          <w:p>
            <w:pPr>
              <w:spacing w:after="0"/>
              <w:rPr>
                <w:sz w:val="11"/>
                <w:szCs w:val="11"/>
                <w:color w:val="auto"/>
              </w:rPr>
            </w:pPr>
          </w:p>
        </w:tc>
        <w:tc>
          <w:tcPr>
            <w:tcW w:w="220" w:type="dxa"/>
            <w:vAlign w:val="bottom"/>
            <w:tcBorders>
              <w:top w:val="single" w:sz="8" w:color="CCEEFF"/>
            </w:tcBorders>
            <w:shd w:val="clear" w:color="auto" w:fill="CCEEFF"/>
          </w:tcPr>
          <w:p>
            <w:pPr>
              <w:spacing w:after="0"/>
              <w:rPr>
                <w:sz w:val="11"/>
                <w:szCs w:val="11"/>
                <w:color w:val="auto"/>
              </w:rPr>
            </w:pPr>
          </w:p>
        </w:tc>
        <w:tc>
          <w:tcPr>
            <w:tcW w:w="260" w:type="dxa"/>
            <w:vAlign w:val="bottom"/>
            <w:tcBorders>
              <w:top w:val="single" w:sz="8" w:color="auto"/>
            </w:tcBorders>
            <w:shd w:val="clear" w:color="auto" w:fill="CCEEFF"/>
          </w:tcPr>
          <w:p>
            <w:pPr>
              <w:spacing w:after="0"/>
              <w:rPr>
                <w:sz w:val="11"/>
                <w:szCs w:val="11"/>
                <w:color w:val="auto"/>
              </w:rPr>
            </w:pPr>
          </w:p>
        </w:tc>
        <w:tc>
          <w:tcPr>
            <w:tcW w:w="1000" w:type="dxa"/>
            <w:vAlign w:val="bottom"/>
            <w:tcBorders>
              <w:top w:val="single" w:sz="8" w:color="auto"/>
            </w:tcBorders>
            <w:shd w:val="clear" w:color="auto" w:fill="CCEEFF"/>
          </w:tcPr>
          <w:p>
            <w:pPr>
              <w:spacing w:after="0"/>
              <w:rPr>
                <w:sz w:val="11"/>
                <w:szCs w:val="11"/>
                <w:color w:val="auto"/>
              </w:rPr>
            </w:pPr>
          </w:p>
        </w:tc>
        <w:tc>
          <w:tcPr>
            <w:tcW w:w="220" w:type="dxa"/>
            <w:vAlign w:val="bottom"/>
            <w:tcBorders>
              <w:top w:val="single" w:sz="8" w:color="CCEEFF"/>
            </w:tcBorders>
            <w:shd w:val="clear" w:color="auto" w:fill="CCEEFF"/>
          </w:tcPr>
          <w:p>
            <w:pPr>
              <w:spacing w:after="0"/>
              <w:rPr>
                <w:sz w:val="11"/>
                <w:szCs w:val="11"/>
                <w:color w:val="auto"/>
              </w:rPr>
            </w:pPr>
          </w:p>
        </w:tc>
        <w:tc>
          <w:tcPr>
            <w:tcW w:w="1000" w:type="dxa"/>
            <w:vAlign w:val="bottom"/>
            <w:tcBorders>
              <w:top w:val="single" w:sz="8" w:color="auto"/>
            </w:tcBorders>
            <w:shd w:val="clear" w:color="auto" w:fill="CCEEFF"/>
          </w:tcPr>
          <w:p>
            <w:pPr>
              <w:spacing w:after="0"/>
              <w:rPr>
                <w:sz w:val="11"/>
                <w:szCs w:val="11"/>
                <w:color w:val="auto"/>
              </w:rPr>
            </w:pPr>
          </w:p>
        </w:tc>
        <w:tc>
          <w:tcPr>
            <w:tcW w:w="240" w:type="dxa"/>
            <w:vAlign w:val="bottom"/>
            <w:tcBorders>
              <w:top w:val="single" w:sz="8" w:color="auto"/>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c>
          <w:tcPr>
            <w:tcW w:w="120" w:type="dxa"/>
            <w:vAlign w:val="bottom"/>
            <w:tcBorders>
              <w:top w:val="single" w:sz="8" w:color="CCEEFF"/>
            </w:tcBorders>
            <w:shd w:val="clear" w:color="auto" w:fill="CCEEFF"/>
          </w:tcPr>
          <w:p>
            <w:pPr>
              <w:spacing w:after="0"/>
              <w:rPr>
                <w:sz w:val="11"/>
                <w:szCs w:val="11"/>
                <w:color w:val="auto"/>
              </w:rPr>
            </w:pPr>
          </w:p>
        </w:tc>
        <w:tc>
          <w:tcPr>
            <w:tcW w:w="240" w:type="dxa"/>
            <w:vAlign w:val="bottom"/>
            <w:tcBorders>
              <w:top w:val="single" w:sz="8" w:color="auto"/>
            </w:tcBorders>
            <w:shd w:val="clear" w:color="auto" w:fill="CCEEFF"/>
          </w:tcPr>
          <w:p>
            <w:pPr>
              <w:spacing w:after="0"/>
              <w:rPr>
                <w:sz w:val="11"/>
                <w:szCs w:val="11"/>
                <w:color w:val="auto"/>
              </w:rPr>
            </w:pPr>
          </w:p>
        </w:tc>
        <w:tc>
          <w:tcPr>
            <w:tcW w:w="980" w:type="dxa"/>
            <w:vAlign w:val="bottom"/>
            <w:tcBorders>
              <w:top w:val="single" w:sz="8" w:color="auto"/>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r>
      <w:tr>
        <w:trPr>
          <w:trHeight w:val="156"/>
        </w:trPr>
        <w:tc>
          <w:tcPr>
            <w:tcW w:w="20" w:type="dxa"/>
            <w:vAlign w:val="bottom"/>
          </w:tcPr>
          <w:p>
            <w:pPr>
              <w:spacing w:after="0"/>
              <w:rPr>
                <w:sz w:val="13"/>
                <w:szCs w:val="13"/>
                <w:color w:val="auto"/>
              </w:rPr>
            </w:pPr>
          </w:p>
        </w:tc>
        <w:tc>
          <w:tcPr>
            <w:tcW w:w="1000" w:type="dxa"/>
            <w:vAlign w:val="bottom"/>
            <w:tcBorders>
              <w:top w:val="single" w:sz="8" w:color="auto"/>
            </w:tcBorders>
          </w:tcPr>
          <w:p>
            <w:pPr>
              <w:spacing w:after="0"/>
              <w:rPr>
                <w:sz w:val="20"/>
                <w:szCs w:val="20"/>
                <w:color w:val="auto"/>
              </w:rPr>
            </w:pPr>
            <w:r>
              <w:rPr>
                <w:rFonts w:ascii="Arial" w:cs="Arial" w:eastAsia="Arial" w:hAnsi="Arial"/>
                <w:sz w:val="13"/>
                <w:szCs w:val="13"/>
                <w:b w:val="1"/>
                <w:bCs w:val="1"/>
                <w:color w:val="auto"/>
              </w:rPr>
              <w:t>Assets</w:t>
            </w:r>
          </w:p>
        </w:tc>
        <w:tc>
          <w:tcPr>
            <w:tcW w:w="4520" w:type="dxa"/>
            <w:vAlign w:val="bottom"/>
            <w:tcBorders>
              <w:top w:val="single" w:sz="8" w:color="CCEEFF"/>
            </w:tcBorders>
          </w:tcPr>
          <w:p>
            <w:pPr>
              <w:spacing w:after="0"/>
              <w:rPr>
                <w:sz w:val="13"/>
                <w:szCs w:val="13"/>
                <w:color w:val="auto"/>
              </w:rPr>
            </w:pPr>
          </w:p>
        </w:tc>
        <w:tc>
          <w:tcPr>
            <w:tcW w:w="280" w:type="dxa"/>
            <w:vAlign w:val="bottom"/>
            <w:tcBorders>
              <w:top w:val="single" w:sz="8" w:color="CCEEFF"/>
            </w:tcBorders>
          </w:tcPr>
          <w:p>
            <w:pPr>
              <w:spacing w:after="0"/>
              <w:rPr>
                <w:sz w:val="13"/>
                <w:szCs w:val="13"/>
                <w:color w:val="auto"/>
              </w:rPr>
            </w:pPr>
          </w:p>
        </w:tc>
        <w:tc>
          <w:tcPr>
            <w:tcW w:w="98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260" w:type="dxa"/>
            <w:vAlign w:val="bottom"/>
            <w:tcBorders>
              <w:top w:val="single" w:sz="8" w:color="CCEEFF"/>
            </w:tcBorders>
          </w:tcPr>
          <w:p>
            <w:pPr>
              <w:spacing w:after="0"/>
              <w:rPr>
                <w:sz w:val="13"/>
                <w:szCs w:val="13"/>
                <w:color w:val="auto"/>
              </w:rPr>
            </w:pPr>
          </w:p>
        </w:tc>
        <w:tc>
          <w:tcPr>
            <w:tcW w:w="100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1000" w:type="dxa"/>
            <w:vAlign w:val="bottom"/>
            <w:tcBorders>
              <w:top w:val="single" w:sz="8" w:color="CCEEFF"/>
            </w:tcBorders>
          </w:tcPr>
          <w:p>
            <w:pPr>
              <w:spacing w:after="0"/>
              <w:rPr>
                <w:sz w:val="13"/>
                <w:szCs w:val="13"/>
                <w:color w:val="auto"/>
              </w:rPr>
            </w:pPr>
          </w:p>
        </w:tc>
        <w:tc>
          <w:tcPr>
            <w:tcW w:w="240" w:type="dxa"/>
            <w:vAlign w:val="bottom"/>
            <w:tcBorders>
              <w:top w:val="single" w:sz="8" w:color="CCEEFF"/>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c>
          <w:tcPr>
            <w:tcW w:w="120" w:type="dxa"/>
            <w:vAlign w:val="bottom"/>
            <w:tcBorders>
              <w:top w:val="single" w:sz="8" w:color="CCEEFF"/>
            </w:tcBorders>
          </w:tcPr>
          <w:p>
            <w:pPr>
              <w:spacing w:after="0"/>
              <w:rPr>
                <w:sz w:val="13"/>
                <w:szCs w:val="13"/>
                <w:color w:val="auto"/>
              </w:rPr>
            </w:pPr>
          </w:p>
        </w:tc>
        <w:tc>
          <w:tcPr>
            <w:tcW w:w="240" w:type="dxa"/>
            <w:vAlign w:val="bottom"/>
            <w:tcBorders>
              <w:top w:val="single" w:sz="8" w:color="CCEEFF"/>
            </w:tcBorders>
          </w:tcPr>
          <w:p>
            <w:pPr>
              <w:spacing w:after="0"/>
              <w:rPr>
                <w:sz w:val="13"/>
                <w:szCs w:val="13"/>
                <w:color w:val="auto"/>
              </w:rPr>
            </w:pPr>
          </w:p>
        </w:tc>
        <w:tc>
          <w:tcPr>
            <w:tcW w:w="980" w:type="dxa"/>
            <w:vAlign w:val="bottom"/>
            <w:tcBorders>
              <w:top w:val="single" w:sz="8" w:color="CCEEFF"/>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40"/>
              <w:spacing w:after="0"/>
              <w:rPr>
                <w:sz w:val="20"/>
                <w:szCs w:val="20"/>
                <w:color w:val="auto"/>
              </w:rPr>
            </w:pPr>
            <w:r>
              <w:rPr>
                <w:rFonts w:ascii="Arial" w:cs="Arial" w:eastAsia="Arial" w:hAnsi="Arial"/>
                <w:sz w:val="13"/>
                <w:szCs w:val="13"/>
                <w:color w:val="auto"/>
              </w:rPr>
              <w:t>Cash equivalents and restricted cash:</w:t>
            </w:r>
          </w:p>
        </w:tc>
        <w:tc>
          <w:tcPr>
            <w:tcW w:w="28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Money market funds</w:t>
            </w:r>
          </w:p>
        </w:tc>
        <w:tc>
          <w:tcPr>
            <w:tcW w:w="280" w:type="dxa"/>
            <w:vAlign w:val="bottom"/>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tcPr>
          <w:p>
            <w:pPr>
              <w:jc w:val="right"/>
              <w:ind w:right="220"/>
              <w:spacing w:after="0"/>
              <w:rPr>
                <w:sz w:val="20"/>
                <w:szCs w:val="20"/>
                <w:color w:val="auto"/>
              </w:rPr>
            </w:pPr>
            <w:r>
              <w:rPr>
                <w:rFonts w:ascii="Arial" w:cs="Arial" w:eastAsia="Arial" w:hAnsi="Arial"/>
                <w:sz w:val="13"/>
                <w:szCs w:val="13"/>
                <w:color w:val="auto"/>
              </w:rPr>
              <w:t>101,631</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101,631</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spacing w:after="0"/>
              <w:rPr>
                <w:sz w:val="20"/>
                <w:szCs w:val="20"/>
                <w:color w:val="auto"/>
              </w:rPr>
            </w:pPr>
            <w:r>
              <w:rPr>
                <w:rFonts w:ascii="Arial" w:cs="Arial" w:eastAsia="Arial" w:hAnsi="Arial"/>
                <w:sz w:val="13"/>
                <w:szCs w:val="13"/>
                <w:b w:val="1"/>
                <w:bCs w:val="1"/>
                <w:color w:val="auto"/>
              </w:rPr>
              <w:t>Liabilities</w:t>
            </w:r>
          </w:p>
        </w:tc>
        <w:tc>
          <w:tcPr>
            <w:tcW w:w="28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Warrant liability – Series B Preferred Stock</w:t>
            </w:r>
          </w:p>
        </w:tc>
        <w:tc>
          <w:tcPr>
            <w:tcW w:w="280" w:type="dxa"/>
            <w:vAlign w:val="bottom"/>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tcPr>
          <w:p>
            <w:pPr>
              <w:jc w:val="right"/>
              <w:ind w:right="220"/>
              <w:spacing w:after="0"/>
              <w:rPr>
                <w:sz w:val="20"/>
                <w:szCs w:val="20"/>
                <w:color w:val="auto"/>
              </w:rPr>
            </w:pPr>
            <w:r>
              <w:rPr>
                <w:rFonts w:ascii="Arial" w:cs="Arial" w:eastAsia="Arial" w:hAnsi="Arial"/>
                <w:sz w:val="13"/>
                <w:szCs w:val="13"/>
                <w:color w:val="auto"/>
              </w:rPr>
              <w:t>18,133</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1080" w:type="dxa"/>
            <w:vAlign w:val="bottom"/>
            <w:gridSpan w:val="2"/>
          </w:tcPr>
          <w:p>
            <w:pPr>
              <w:jc w:val="right"/>
              <w:ind w:right="100"/>
              <w:spacing w:after="0"/>
              <w:rPr>
                <w:sz w:val="20"/>
                <w:szCs w:val="20"/>
                <w:color w:val="auto"/>
              </w:rPr>
            </w:pPr>
            <w:r>
              <w:rPr>
                <w:rFonts w:ascii="Arial" w:cs="Arial" w:eastAsia="Arial" w:hAnsi="Arial"/>
                <w:sz w:val="13"/>
                <w:szCs w:val="13"/>
                <w:color w:val="auto"/>
              </w:rPr>
              <w:t>18,133</w:t>
            </w: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Warrant liability – Series m-1 Preferred Stock</w:t>
            </w: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43,212</w:t>
            </w:r>
          </w:p>
        </w:tc>
        <w:tc>
          <w:tcPr>
            <w:tcW w:w="260" w:type="dxa"/>
            <w:vAlign w:val="bottom"/>
            <w:shd w:val="clear" w:color="auto" w:fill="CCEEFF"/>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shd w:val="clear" w:color="auto" w:fill="CCEEFF"/>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w:t>
            </w:r>
          </w:p>
        </w:tc>
        <w:tc>
          <w:tcPr>
            <w:tcW w:w="108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43,212</w:t>
            </w: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Warrant liability – Series m-3 Preferred Stock</w:t>
            </w:r>
          </w:p>
        </w:tc>
        <w:tc>
          <w:tcPr>
            <w:tcW w:w="280" w:type="dxa"/>
            <w:vAlign w:val="bottom"/>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tcPr>
          <w:p>
            <w:pPr>
              <w:jc w:val="right"/>
              <w:ind w:right="220"/>
              <w:spacing w:after="0"/>
              <w:rPr>
                <w:sz w:val="20"/>
                <w:szCs w:val="20"/>
                <w:color w:val="auto"/>
              </w:rPr>
            </w:pPr>
            <w:r>
              <w:rPr>
                <w:rFonts w:ascii="Arial" w:cs="Arial" w:eastAsia="Arial" w:hAnsi="Arial"/>
                <w:sz w:val="13"/>
                <w:szCs w:val="13"/>
                <w:color w:val="auto"/>
              </w:rPr>
              <w:t>196,236</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tcPr>
          <w:p>
            <w:pPr>
              <w:jc w:val="right"/>
              <w:spacing w:after="0"/>
              <w:rPr>
                <w:sz w:val="20"/>
                <w:szCs w:val="20"/>
                <w:color w:val="auto"/>
              </w:rPr>
            </w:pPr>
            <w:r>
              <w:rPr>
                <w:rFonts w:ascii="Arial" w:cs="Arial" w:eastAsia="Arial" w:hAnsi="Arial"/>
                <w:sz w:val="13"/>
                <w:szCs w:val="13"/>
                <w:color w:val="auto"/>
              </w:rPr>
              <w:t>196,236</w:t>
            </w:r>
          </w:p>
        </w:tc>
        <w:tc>
          <w:tcPr>
            <w:tcW w:w="100" w:type="dxa"/>
            <w:vAlign w:val="bottom"/>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Warrant liability – Series s Preferred Stock</w:t>
            </w: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1,988,897</w:t>
            </w:r>
          </w:p>
        </w:tc>
        <w:tc>
          <w:tcPr>
            <w:tcW w:w="260" w:type="dxa"/>
            <w:vAlign w:val="bottom"/>
            <w:shd w:val="clear" w:color="auto" w:fill="CCEEFF"/>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shd w:val="clear" w:color="auto" w:fill="CCEEFF"/>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1,988,897</w:t>
            </w:r>
          </w:p>
        </w:tc>
        <w:tc>
          <w:tcPr>
            <w:tcW w:w="100" w:type="dxa"/>
            <w:vAlign w:val="bottom"/>
            <w:shd w:val="clear" w:color="auto" w:fill="CCEEFF"/>
          </w:tcPr>
          <w:p>
            <w:pPr>
              <w:spacing w:after="0"/>
              <w:rPr>
                <w:sz w:val="13"/>
                <w:szCs w:val="13"/>
                <w:color w:val="auto"/>
              </w:rPr>
            </w:pPr>
          </w:p>
        </w:tc>
      </w:tr>
    </w:tbl>
    <w:p>
      <w:pPr>
        <w:spacing w:after="0" w:line="14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During the years ended December 31, 2020 and 2019, there were no transfers between Level 1, Level 2, or Level 3 assets or liabilities reported at fair value on a recurring basis and the valuation techniques used did not change compared to the Company’s established practice.</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following table sets forth a summary of the changes in the fair value of Company’s Level 3 financial liabilities during the years ended December 31, 2020 and 2019, respectively, which were measured at fair value on a recurring basis:</w:t>
      </w:r>
    </w:p>
    <w:p>
      <w:pPr>
        <w:spacing w:after="0" w:line="134" w:lineRule="exact"/>
        <w:rPr>
          <w:sz w:val="20"/>
          <w:szCs w:val="20"/>
          <w:color w:val="auto"/>
        </w:rPr>
      </w:pPr>
    </w:p>
    <w:tbl>
      <w:tblPr>
        <w:tblLayout w:type="fixed"/>
        <w:tblInd w:w="0" w:type="dxa"/>
        <w:tblCellMar>
          <w:top w:w="0" w:type="dxa"/>
          <w:left w:w="0" w:type="dxa"/>
          <w:bottom w:w="0" w:type="dxa"/>
          <w:right w:w="0" w:type="dxa"/>
        </w:tblCellMar>
      </w:tblPr>
      <w:tr>
        <w:trPr>
          <w:trHeight w:val="168"/>
        </w:trPr>
        <w:tc>
          <w:tcPr>
            <w:tcW w:w="4620" w:type="dxa"/>
            <w:vAlign w:val="bottom"/>
          </w:tcPr>
          <w:p>
            <w:pPr>
              <w:spacing w:after="0"/>
              <w:rPr>
                <w:sz w:val="14"/>
                <w:szCs w:val="14"/>
                <w:color w:val="auto"/>
              </w:rPr>
            </w:pPr>
          </w:p>
        </w:tc>
        <w:tc>
          <w:tcPr>
            <w:tcW w:w="476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660" w:type="dxa"/>
            <w:vAlign w:val="bottom"/>
            <w:gridSpan w:val="2"/>
          </w:tcPr>
          <w:p>
            <w:pPr>
              <w:jc w:val="right"/>
              <w:ind w:right="500"/>
              <w:spacing w:after="0"/>
              <w:rPr>
                <w:sz w:val="20"/>
                <w:szCs w:val="20"/>
                <w:color w:val="auto"/>
              </w:rPr>
            </w:pPr>
            <w:r>
              <w:rPr>
                <w:rFonts w:ascii="Arial" w:cs="Arial" w:eastAsia="Arial" w:hAnsi="Arial"/>
                <w:sz w:val="13"/>
                <w:szCs w:val="13"/>
                <w:b w:val="1"/>
                <w:bCs w:val="1"/>
                <w:color w:val="auto"/>
              </w:rPr>
              <w:t>Warrant Liability</w:t>
            </w:r>
          </w:p>
        </w:tc>
      </w:tr>
      <w:tr>
        <w:trPr>
          <w:trHeight w:val="147"/>
        </w:trPr>
        <w:tc>
          <w:tcPr>
            <w:tcW w:w="4620" w:type="dxa"/>
            <w:vAlign w:val="bottom"/>
            <w:tcBorders>
              <w:top w:val="single" w:sz="8" w:color="CCEEFF"/>
            </w:tcBorders>
            <w:shd w:val="clear" w:color="auto" w:fill="CCEEFF"/>
          </w:tcPr>
          <w:p>
            <w:pPr>
              <w:spacing w:after="0" w:line="148" w:lineRule="exact"/>
              <w:rPr>
                <w:sz w:val="20"/>
                <w:szCs w:val="20"/>
                <w:color w:val="auto"/>
              </w:rPr>
            </w:pPr>
            <w:r>
              <w:rPr>
                <w:rFonts w:ascii="Arial" w:cs="Arial" w:eastAsia="Arial" w:hAnsi="Arial"/>
                <w:sz w:val="13"/>
                <w:szCs w:val="13"/>
                <w:b w:val="1"/>
                <w:bCs w:val="1"/>
                <w:color w:val="auto"/>
              </w:rPr>
              <w:t>Balance as of December 31, 2018</w:t>
            </w:r>
          </w:p>
        </w:tc>
        <w:tc>
          <w:tcPr>
            <w:tcW w:w="4760" w:type="dxa"/>
            <w:vAlign w:val="bottom"/>
            <w:tcBorders>
              <w:top w:val="single" w:sz="8" w:color="CCEEFF"/>
            </w:tcBorders>
            <w:shd w:val="clear" w:color="auto" w:fill="CCEEFF"/>
          </w:tcPr>
          <w:p>
            <w:pPr>
              <w:spacing w:after="0"/>
              <w:rPr>
                <w:sz w:val="12"/>
                <w:szCs w:val="12"/>
                <w:color w:val="auto"/>
              </w:rPr>
            </w:pPr>
          </w:p>
        </w:tc>
        <w:tc>
          <w:tcPr>
            <w:tcW w:w="240" w:type="dxa"/>
            <w:vAlign w:val="bottom"/>
            <w:tcBorders>
              <w:top w:val="single" w:sz="8" w:color="auto"/>
            </w:tcBorders>
            <w:shd w:val="clear" w:color="auto" w:fill="CCEEFF"/>
          </w:tcPr>
          <w:p>
            <w:pPr>
              <w:jc w:val="right"/>
              <w:ind w:right="131"/>
              <w:spacing w:after="0"/>
              <w:rPr>
                <w:sz w:val="20"/>
                <w:szCs w:val="20"/>
                <w:color w:val="auto"/>
              </w:rPr>
            </w:pPr>
            <w:r>
              <w:rPr>
                <w:rFonts w:ascii="Arial" w:cs="Arial" w:eastAsia="Arial" w:hAnsi="Arial"/>
                <w:sz w:val="10"/>
                <w:szCs w:val="10"/>
                <w:color w:val="auto"/>
                <w:w w:val="71"/>
              </w:rPr>
              <w:t>$</w:t>
            </w:r>
          </w:p>
        </w:tc>
        <w:tc>
          <w:tcPr>
            <w:tcW w:w="1560" w:type="dxa"/>
            <w:vAlign w:val="bottom"/>
            <w:tcBorders>
              <w:top w:val="single" w:sz="8" w:color="auto"/>
            </w:tcBorders>
            <w:shd w:val="clear" w:color="auto" w:fill="CCEEFF"/>
          </w:tcPr>
          <w:p>
            <w:pPr>
              <w:jc w:val="right"/>
              <w:spacing w:after="0" w:line="148" w:lineRule="exact"/>
              <w:rPr>
                <w:sz w:val="20"/>
                <w:szCs w:val="20"/>
                <w:color w:val="auto"/>
              </w:rPr>
            </w:pPr>
            <w:r>
              <w:rPr>
                <w:rFonts w:ascii="Arial" w:cs="Arial" w:eastAsia="Arial" w:hAnsi="Arial"/>
                <w:sz w:val="13"/>
                <w:szCs w:val="13"/>
                <w:color w:val="auto"/>
              </w:rPr>
              <w:t>284,848</w:t>
            </w:r>
          </w:p>
        </w:tc>
        <w:tc>
          <w:tcPr>
            <w:tcW w:w="100" w:type="dxa"/>
            <w:vAlign w:val="bottom"/>
            <w:tcBorders>
              <w:top w:val="single" w:sz="8" w:color="CCEEFF"/>
            </w:tcBorders>
            <w:shd w:val="clear" w:color="auto" w:fill="CCEEFF"/>
          </w:tcPr>
          <w:p>
            <w:pPr>
              <w:spacing w:after="0"/>
              <w:rPr>
                <w:sz w:val="12"/>
                <w:szCs w:val="12"/>
                <w:color w:val="auto"/>
              </w:rPr>
            </w:pPr>
          </w:p>
        </w:tc>
      </w:tr>
      <w:tr>
        <w:trPr>
          <w:trHeight w:val="156"/>
        </w:trPr>
        <w:tc>
          <w:tcPr>
            <w:tcW w:w="4620" w:type="dxa"/>
            <w:vAlign w:val="bottom"/>
          </w:tcPr>
          <w:p>
            <w:pPr>
              <w:ind w:left="100"/>
              <w:spacing w:after="0"/>
              <w:rPr>
                <w:sz w:val="20"/>
                <w:szCs w:val="20"/>
                <w:color w:val="auto"/>
              </w:rPr>
            </w:pPr>
            <w:r>
              <w:rPr>
                <w:rFonts w:ascii="Arial" w:cs="Arial" w:eastAsia="Arial" w:hAnsi="Arial"/>
                <w:sz w:val="13"/>
                <w:szCs w:val="13"/>
                <w:color w:val="auto"/>
              </w:rPr>
              <w:t>Initial fair value of Series s Preferred Stock warrants</w:t>
            </w:r>
          </w:p>
        </w:tc>
        <w:tc>
          <w:tcPr>
            <w:tcW w:w="47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560" w:type="dxa"/>
            <w:vAlign w:val="bottom"/>
          </w:tcPr>
          <w:p>
            <w:pPr>
              <w:jc w:val="right"/>
              <w:spacing w:after="0"/>
              <w:rPr>
                <w:sz w:val="20"/>
                <w:szCs w:val="20"/>
                <w:color w:val="auto"/>
              </w:rPr>
            </w:pPr>
            <w:r>
              <w:rPr>
                <w:rFonts w:ascii="Arial" w:cs="Arial" w:eastAsia="Arial" w:hAnsi="Arial"/>
                <w:sz w:val="13"/>
                <w:szCs w:val="13"/>
                <w:color w:val="auto"/>
              </w:rPr>
              <w:t>2,246,382</w:t>
            </w:r>
          </w:p>
        </w:tc>
        <w:tc>
          <w:tcPr>
            <w:tcW w:w="100" w:type="dxa"/>
            <w:vAlign w:val="bottom"/>
          </w:tcPr>
          <w:p>
            <w:pPr>
              <w:spacing w:after="0"/>
              <w:rPr>
                <w:sz w:val="13"/>
                <w:szCs w:val="13"/>
                <w:color w:val="auto"/>
              </w:rPr>
            </w:pPr>
          </w:p>
        </w:tc>
      </w:tr>
      <w:tr>
        <w:trPr>
          <w:trHeight w:val="166"/>
        </w:trPr>
        <w:tc>
          <w:tcPr>
            <w:tcW w:w="4620" w:type="dxa"/>
            <w:vAlign w:val="bottom"/>
            <w:shd w:val="clear" w:color="auto" w:fill="CCEEFF"/>
          </w:tcPr>
          <w:p>
            <w:pPr>
              <w:ind w:left="100"/>
              <w:spacing w:after="0"/>
              <w:rPr>
                <w:sz w:val="20"/>
                <w:szCs w:val="20"/>
                <w:color w:val="auto"/>
              </w:rPr>
            </w:pPr>
            <w:r>
              <w:rPr>
                <w:rFonts w:ascii="Arial" w:cs="Arial" w:eastAsia="Arial" w:hAnsi="Arial"/>
                <w:sz w:val="13"/>
                <w:szCs w:val="13"/>
                <w:b w:val="1"/>
                <w:bCs w:val="1"/>
                <w:color w:val="auto"/>
              </w:rPr>
              <w:t>Revaluation of Series B, m-1, m-3 and s Preferred Stock warrants</w:t>
            </w:r>
          </w:p>
        </w:tc>
        <w:tc>
          <w:tcPr>
            <w:tcW w:w="4760" w:type="dxa"/>
            <w:vAlign w:val="bottom"/>
            <w:shd w:val="clear" w:color="auto" w:fill="CCEEFF"/>
          </w:tcPr>
          <w:p>
            <w:pPr>
              <w:spacing w:after="0"/>
              <w:rPr>
                <w:sz w:val="14"/>
                <w:szCs w:val="14"/>
                <w:color w:val="auto"/>
              </w:rPr>
            </w:pPr>
          </w:p>
        </w:tc>
        <w:tc>
          <w:tcPr>
            <w:tcW w:w="240" w:type="dxa"/>
            <w:vAlign w:val="bottom"/>
            <w:shd w:val="clear" w:color="auto" w:fill="CCEEFF"/>
          </w:tcPr>
          <w:p>
            <w:pPr>
              <w:spacing w:after="0"/>
              <w:rPr>
                <w:sz w:val="14"/>
                <w:szCs w:val="14"/>
                <w:color w:val="auto"/>
              </w:rPr>
            </w:pPr>
          </w:p>
        </w:tc>
        <w:tc>
          <w:tcPr>
            <w:tcW w:w="16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(284,752 )</w:t>
            </w:r>
          </w:p>
        </w:tc>
      </w:tr>
      <w:tr>
        <w:trPr>
          <w:trHeight w:val="146"/>
        </w:trPr>
        <w:tc>
          <w:tcPr>
            <w:tcW w:w="4620" w:type="dxa"/>
            <w:vAlign w:val="bottom"/>
          </w:tcPr>
          <w:p>
            <w:pPr>
              <w:spacing w:after="0" w:line="146" w:lineRule="exact"/>
              <w:rPr>
                <w:sz w:val="20"/>
                <w:szCs w:val="20"/>
                <w:color w:val="auto"/>
              </w:rPr>
            </w:pPr>
            <w:r>
              <w:rPr>
                <w:rFonts w:ascii="Arial" w:cs="Arial" w:eastAsia="Arial" w:hAnsi="Arial"/>
                <w:sz w:val="13"/>
                <w:szCs w:val="13"/>
                <w:b w:val="1"/>
                <w:bCs w:val="1"/>
                <w:color w:val="auto"/>
              </w:rPr>
              <w:t>Balance as of December 31, 2019</w:t>
            </w:r>
          </w:p>
        </w:tc>
        <w:tc>
          <w:tcPr>
            <w:tcW w:w="4760" w:type="dxa"/>
            <w:vAlign w:val="bottom"/>
          </w:tcPr>
          <w:p>
            <w:pPr>
              <w:spacing w:after="0"/>
              <w:rPr>
                <w:sz w:val="12"/>
                <w:szCs w:val="12"/>
                <w:color w:val="auto"/>
              </w:rPr>
            </w:pPr>
          </w:p>
        </w:tc>
        <w:tc>
          <w:tcPr>
            <w:tcW w:w="240" w:type="dxa"/>
            <w:vAlign w:val="bottom"/>
            <w:tcBorders>
              <w:top w:val="single" w:sz="8" w:color="auto"/>
            </w:tcBorders>
          </w:tcPr>
          <w:p>
            <w:pPr>
              <w:spacing w:after="0"/>
              <w:rPr>
                <w:sz w:val="12"/>
                <w:szCs w:val="12"/>
                <w:color w:val="auto"/>
              </w:rPr>
            </w:pPr>
          </w:p>
        </w:tc>
        <w:tc>
          <w:tcPr>
            <w:tcW w:w="1560" w:type="dxa"/>
            <w:vAlign w:val="bottom"/>
            <w:tcBorders>
              <w:top w:val="single" w:sz="8" w:color="auto"/>
            </w:tcBorders>
          </w:tcPr>
          <w:p>
            <w:pPr>
              <w:jc w:val="right"/>
              <w:spacing w:after="0" w:line="146" w:lineRule="exact"/>
              <w:rPr>
                <w:sz w:val="20"/>
                <w:szCs w:val="20"/>
                <w:color w:val="auto"/>
              </w:rPr>
            </w:pPr>
            <w:r>
              <w:rPr>
                <w:rFonts w:ascii="Arial" w:cs="Arial" w:eastAsia="Arial" w:hAnsi="Arial"/>
                <w:sz w:val="13"/>
                <w:szCs w:val="13"/>
                <w:color w:val="auto"/>
              </w:rPr>
              <w:t>2,246,478</w:t>
            </w:r>
          </w:p>
        </w:tc>
        <w:tc>
          <w:tcPr>
            <w:tcW w:w="100" w:type="dxa"/>
            <w:vAlign w:val="bottom"/>
          </w:tcPr>
          <w:p>
            <w:pPr>
              <w:spacing w:after="0"/>
              <w:rPr>
                <w:sz w:val="12"/>
                <w:szCs w:val="12"/>
                <w:color w:val="auto"/>
              </w:rPr>
            </w:pPr>
          </w:p>
        </w:tc>
      </w:tr>
      <w:tr>
        <w:trPr>
          <w:trHeight w:val="156"/>
        </w:trPr>
        <w:tc>
          <w:tcPr>
            <w:tcW w:w="4620" w:type="dxa"/>
            <w:vAlign w:val="bottom"/>
            <w:shd w:val="clear" w:color="auto" w:fill="CCEEFF"/>
          </w:tcPr>
          <w:p>
            <w:pPr>
              <w:ind w:left="120"/>
              <w:spacing w:after="0"/>
              <w:rPr>
                <w:sz w:val="20"/>
                <w:szCs w:val="20"/>
                <w:color w:val="auto"/>
              </w:rPr>
            </w:pPr>
            <w:r>
              <w:rPr>
                <w:rFonts w:ascii="Arial" w:cs="Arial" w:eastAsia="Arial" w:hAnsi="Arial"/>
                <w:sz w:val="13"/>
                <w:szCs w:val="13"/>
                <w:color w:val="auto"/>
              </w:rPr>
              <w:t>Initial fair value of Series s Preferred Stock warrants</w:t>
            </w:r>
          </w:p>
        </w:tc>
        <w:tc>
          <w:tcPr>
            <w:tcW w:w="476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5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946,096</w:t>
            </w:r>
          </w:p>
        </w:tc>
        <w:tc>
          <w:tcPr>
            <w:tcW w:w="100" w:type="dxa"/>
            <w:vAlign w:val="bottom"/>
            <w:shd w:val="clear" w:color="auto" w:fill="CCEEFF"/>
          </w:tcPr>
          <w:p>
            <w:pPr>
              <w:spacing w:after="0"/>
              <w:rPr>
                <w:sz w:val="13"/>
                <w:szCs w:val="13"/>
                <w:color w:val="auto"/>
              </w:rPr>
            </w:pPr>
          </w:p>
        </w:tc>
      </w:tr>
      <w:tr>
        <w:trPr>
          <w:trHeight w:val="165"/>
        </w:trPr>
        <w:tc>
          <w:tcPr>
            <w:tcW w:w="4620" w:type="dxa"/>
            <w:vAlign w:val="bottom"/>
            <w:tcBorders>
              <w:bottom w:val="single" w:sz="8" w:color="CCEEFF"/>
            </w:tcBorders>
          </w:tcPr>
          <w:p>
            <w:pPr>
              <w:ind w:left="120"/>
              <w:spacing w:after="0"/>
              <w:rPr>
                <w:sz w:val="20"/>
                <w:szCs w:val="20"/>
                <w:color w:val="auto"/>
              </w:rPr>
            </w:pPr>
            <w:r>
              <w:rPr>
                <w:rFonts w:ascii="Arial" w:cs="Arial" w:eastAsia="Arial" w:hAnsi="Arial"/>
                <w:sz w:val="13"/>
                <w:szCs w:val="13"/>
                <w:color w:val="auto"/>
              </w:rPr>
              <w:t>Revaluation of Series B, m-1, m-3 and s Preferred Stock warrants</w:t>
            </w:r>
          </w:p>
        </w:tc>
        <w:tc>
          <w:tcPr>
            <w:tcW w:w="4760" w:type="dxa"/>
            <w:vAlign w:val="bottom"/>
            <w:tcBorders>
              <w:bottom w:val="single" w:sz="8" w:color="CCEEFF"/>
            </w:tcBorders>
          </w:tcPr>
          <w:p>
            <w:pPr>
              <w:spacing w:after="0"/>
              <w:rPr>
                <w:sz w:val="14"/>
                <w:szCs w:val="14"/>
                <w:color w:val="auto"/>
              </w:rPr>
            </w:pPr>
          </w:p>
        </w:tc>
        <w:tc>
          <w:tcPr>
            <w:tcW w:w="240" w:type="dxa"/>
            <w:vAlign w:val="bottom"/>
            <w:tcBorders>
              <w:bottom w:val="single" w:sz="8" w:color="auto"/>
            </w:tcBorders>
          </w:tcPr>
          <w:p>
            <w:pPr>
              <w:spacing w:after="0"/>
              <w:rPr>
                <w:sz w:val="14"/>
                <w:szCs w:val="14"/>
                <w:color w:val="auto"/>
              </w:rPr>
            </w:pPr>
          </w:p>
        </w:tc>
        <w:tc>
          <w:tcPr>
            <w:tcW w:w="156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2,424,706</w:t>
            </w:r>
          </w:p>
        </w:tc>
        <w:tc>
          <w:tcPr>
            <w:tcW w:w="100" w:type="dxa"/>
            <w:vAlign w:val="bottom"/>
            <w:tcBorders>
              <w:bottom w:val="single" w:sz="8" w:color="CCEEFF"/>
            </w:tcBorders>
          </w:tcPr>
          <w:p>
            <w:pPr>
              <w:spacing w:after="0"/>
              <w:rPr>
                <w:sz w:val="14"/>
                <w:szCs w:val="14"/>
                <w:color w:val="auto"/>
              </w:rPr>
            </w:pPr>
          </w:p>
        </w:tc>
      </w:tr>
      <w:tr>
        <w:trPr>
          <w:trHeight w:val="177"/>
        </w:trPr>
        <w:tc>
          <w:tcPr>
            <w:tcW w:w="4620" w:type="dxa"/>
            <w:vAlign w:val="bottom"/>
            <w:tcBorders>
              <w:bottom w:val="single" w:sz="8" w:color="CCEEFF"/>
            </w:tcBorders>
            <w:shd w:val="clear" w:color="auto" w:fill="CCEEFF"/>
          </w:tcPr>
          <w:p>
            <w:pPr>
              <w:spacing w:after="0"/>
              <w:rPr>
                <w:sz w:val="20"/>
                <w:szCs w:val="20"/>
                <w:color w:val="auto"/>
              </w:rPr>
            </w:pPr>
            <w:r>
              <w:rPr>
                <w:rFonts w:ascii="Arial" w:cs="Arial" w:eastAsia="Arial" w:hAnsi="Arial"/>
                <w:sz w:val="13"/>
                <w:szCs w:val="13"/>
                <w:b w:val="1"/>
                <w:bCs w:val="1"/>
                <w:color w:val="auto"/>
              </w:rPr>
              <w:t>Balance as of December 31, 2020</w:t>
            </w:r>
          </w:p>
        </w:tc>
        <w:tc>
          <w:tcPr>
            <w:tcW w:w="4760" w:type="dxa"/>
            <w:vAlign w:val="bottom"/>
            <w:tcBorders>
              <w:bottom w:val="single" w:sz="8" w:color="CCEEFF"/>
            </w:tcBorders>
            <w:shd w:val="clear" w:color="auto" w:fill="CCEEFF"/>
          </w:tcPr>
          <w:p>
            <w:pPr>
              <w:spacing w:after="0"/>
              <w:rPr>
                <w:sz w:val="15"/>
                <w:szCs w:val="15"/>
                <w:color w:val="auto"/>
              </w:rPr>
            </w:pPr>
          </w:p>
        </w:tc>
        <w:tc>
          <w:tcPr>
            <w:tcW w:w="240" w:type="dxa"/>
            <w:vAlign w:val="bottom"/>
            <w:tcBorders>
              <w:bottom w:val="single" w:sz="8" w:color="CCEEFF"/>
            </w:tcBorders>
            <w:shd w:val="clear" w:color="auto" w:fill="CCEEFF"/>
          </w:tcPr>
          <w:p>
            <w:pPr>
              <w:jc w:val="right"/>
              <w:ind w:right="131"/>
              <w:spacing w:after="0"/>
              <w:rPr>
                <w:sz w:val="20"/>
                <w:szCs w:val="20"/>
                <w:color w:val="auto"/>
              </w:rPr>
            </w:pPr>
            <w:r>
              <w:rPr>
                <w:rFonts w:ascii="Arial" w:cs="Arial" w:eastAsia="Arial" w:hAnsi="Arial"/>
                <w:sz w:val="10"/>
                <w:szCs w:val="10"/>
                <w:color w:val="auto"/>
                <w:w w:val="71"/>
              </w:rPr>
              <w:t>$</w:t>
            </w:r>
          </w:p>
        </w:tc>
        <w:tc>
          <w:tcPr>
            <w:tcW w:w="15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5,617,280</w:t>
            </w:r>
          </w:p>
        </w:tc>
        <w:tc>
          <w:tcPr>
            <w:tcW w:w="100" w:type="dxa"/>
            <w:vAlign w:val="bottom"/>
            <w:tcBorders>
              <w:bottom w:val="single" w:sz="8" w:color="CCEEFF"/>
            </w:tcBorders>
            <w:shd w:val="clear" w:color="auto" w:fill="CCEEFF"/>
          </w:tcPr>
          <w:p>
            <w:pPr>
              <w:spacing w:after="0"/>
              <w:rPr>
                <w:sz w:val="15"/>
                <w:szCs w:val="15"/>
                <w:color w:val="auto"/>
              </w:rPr>
            </w:pPr>
          </w:p>
        </w:tc>
      </w:tr>
      <w:tr>
        <w:trPr>
          <w:trHeight w:val="458"/>
        </w:trPr>
        <w:tc>
          <w:tcPr>
            <w:tcW w:w="4620" w:type="dxa"/>
            <w:vAlign w:val="bottom"/>
            <w:tcBorders>
              <w:bottom w:val="single" w:sz="8" w:color="auto"/>
            </w:tcBorders>
          </w:tcPr>
          <w:p>
            <w:pPr>
              <w:spacing w:after="0"/>
              <w:rPr>
                <w:sz w:val="24"/>
                <w:szCs w:val="24"/>
                <w:color w:val="auto"/>
              </w:rPr>
            </w:pPr>
          </w:p>
        </w:tc>
        <w:tc>
          <w:tcPr>
            <w:tcW w:w="4760" w:type="dxa"/>
            <w:vAlign w:val="bottom"/>
            <w:tcBorders>
              <w:bottom w:val="single" w:sz="8" w:color="auto"/>
            </w:tcBorders>
          </w:tcPr>
          <w:p>
            <w:pPr>
              <w:ind w:left="900"/>
              <w:spacing w:after="0"/>
              <w:rPr>
                <w:sz w:val="20"/>
                <w:szCs w:val="20"/>
                <w:color w:val="auto"/>
              </w:rPr>
            </w:pPr>
            <w:r>
              <w:rPr>
                <w:rFonts w:ascii="Arial" w:cs="Arial" w:eastAsia="Arial" w:hAnsi="Arial"/>
                <w:sz w:val="13"/>
                <w:szCs w:val="13"/>
                <w:color w:val="auto"/>
              </w:rPr>
              <w:t>F-16</w:t>
            </w:r>
          </w:p>
        </w:tc>
        <w:tc>
          <w:tcPr>
            <w:tcW w:w="240" w:type="dxa"/>
            <w:vAlign w:val="bottom"/>
            <w:tcBorders>
              <w:top w:val="single" w:sz="8" w:color="auto"/>
              <w:bottom w:val="single" w:sz="8" w:color="auto"/>
            </w:tcBorders>
          </w:tcPr>
          <w:p>
            <w:pPr>
              <w:spacing w:after="0"/>
              <w:rPr>
                <w:sz w:val="24"/>
                <w:szCs w:val="24"/>
                <w:color w:val="auto"/>
              </w:rPr>
            </w:pPr>
          </w:p>
        </w:tc>
        <w:tc>
          <w:tcPr>
            <w:tcW w:w="1560" w:type="dxa"/>
            <w:vAlign w:val="bottom"/>
            <w:tcBorders>
              <w:top w:val="single" w:sz="8" w:color="auto"/>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r>
    </w:tbl>
    <w:p>
      <w:pPr>
        <w:sectPr>
          <w:pgSz w:w="11900" w:h="16838" w:orient="portrait"/>
          <w:cols w:equalWidth="0" w:num="1">
            <w:col w:w="11280"/>
          </w:cols>
          <w:pgMar w:left="300" w:top="694" w:right="319" w:bottom="1440" w:gutter="0" w:footer="0" w:header="0"/>
        </w:sectPr>
      </w:pPr>
    </w:p>
    <w:bookmarkStart w:id="78" w:name="page79"/>
    <w:bookmarkEnd w:id="78"/>
    <w:p>
      <w:pPr>
        <w:spacing w:after="0"/>
        <w:rPr>
          <w:sz w:val="20"/>
          <w:szCs w:val="20"/>
          <w:color w:val="auto"/>
        </w:rPr>
      </w:pPr>
      <w:r>
        <w:rPr>
          <w:rFonts w:ascii="Arial" w:cs="Arial" w:eastAsia="Arial" w:hAnsi="Arial"/>
          <w:sz w:val="13"/>
          <w:szCs w:val="13"/>
          <w:b w:val="1"/>
          <w:bCs w:val="1"/>
          <w:color w:val="auto"/>
        </w:rPr>
        <w:t>NOTE 3: Debt Obligations</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u w:val="single" w:color="auto"/>
          <w:color w:val="auto"/>
        </w:rPr>
        <w:t>Term Loan Agreement</w:t>
      </w:r>
    </w:p>
    <w:p>
      <w:pPr>
        <w:spacing w:after="0" w:line="163"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In May 2018, the Company entered into a term loan agreement which allowed for individual term loans to be drawn in amounts totaling up to $3,500,000 until January 10, 2019 (the “Loan Agreement”). Each individual term loan called for 18 equal monthly payments of principal plus accrued interest which would fully amortize the term loan. Outstanding borrowings under the term loan agreement bear interest at 1.75% above the prime rate per annum. Only one individual term loan in the amount of $425,000 was drawn by the Company in May 2018. The loan was fully repaid in February 2019.</w:t>
      </w:r>
    </w:p>
    <w:p>
      <w:pPr>
        <w:spacing w:after="0" w:line="119" w:lineRule="exact"/>
        <w:rPr>
          <w:sz w:val="20"/>
          <w:szCs w:val="20"/>
          <w:color w:val="auto"/>
        </w:rPr>
      </w:pPr>
    </w:p>
    <w:p>
      <w:pPr>
        <w:spacing w:after="0"/>
        <w:rPr>
          <w:sz w:val="20"/>
          <w:szCs w:val="20"/>
          <w:color w:val="auto"/>
        </w:rPr>
      </w:pPr>
      <w:r>
        <w:rPr>
          <w:rFonts w:ascii="Arial" w:cs="Arial" w:eastAsia="Arial" w:hAnsi="Arial"/>
          <w:sz w:val="13"/>
          <w:szCs w:val="13"/>
          <w:color w:val="auto"/>
        </w:rPr>
        <w:t>A warrant for 77,413 shares of Common B Stock was also issued to the lender in conjunction with the Loan Agreement and remains outstanding as of December 31, 2020.</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u w:val="single" w:color="auto"/>
          <w:color w:val="auto"/>
        </w:rPr>
        <w:t>Financing Arrangement</w:t>
      </w:r>
    </w:p>
    <w:p>
      <w:pPr>
        <w:spacing w:after="0" w:line="163" w:lineRule="exact"/>
        <w:rPr>
          <w:sz w:val="20"/>
          <w:szCs w:val="20"/>
          <w:color w:val="auto"/>
        </w:rPr>
      </w:pPr>
    </w:p>
    <w:p>
      <w:pPr>
        <w:jc w:val="both"/>
        <w:spacing w:after="0" w:line="278" w:lineRule="auto"/>
        <w:rPr>
          <w:sz w:val="20"/>
          <w:szCs w:val="20"/>
          <w:color w:val="auto"/>
        </w:rPr>
      </w:pPr>
      <w:r>
        <w:rPr>
          <w:rFonts w:ascii="Arial" w:cs="Arial" w:eastAsia="Arial" w:hAnsi="Arial"/>
          <w:sz w:val="12"/>
          <w:szCs w:val="12"/>
          <w:color w:val="auto"/>
        </w:rPr>
        <w:t>On February 28, 2019 the Company entered into a financing arrangement with Farnam Street Financial (“Farnam”) for $3,000,000 (“Financing Arrangement”). Under the Financing Arrangement, the Company collateralized fifty (50) ASRs and has an initial repayment period of two years for a monthly payment of $121,129 per month plus tax and an option to purchase these ASRs back for $1,350,000 plus tax or, at the end of the two year period (March 2021) the Company can elect to extend the repayment period for an additional year at a monthly payment of $66,621 per month plus tax with a final payment of $600,000 plus tax at the end of the additional year. The Financing Arrangement was subsequently amended to defer certain monthly payments due in 2020 – see Note 10 – Subsequent Events. The effective interest rate under the two and three-year repayment periods is 35% and 31%, respectively. The Company accounts for this Financing Arrangement with Farnam by accreting the financing amount using the effective interest rate and assuming repurchase option taking place in March 2021. Interest expense on the Farnam Financing Arrangement during the year ended December 31, 2020 and December 31, 2019 were $595,203 and $688,378, respectively. The Financing Arrangement with Farnam was terminated and settled in November 2020, with no subsequent payments due to Farnam. The final payment to Farnam consisted of the aggregate amount of remaining payments due through March 2021 and a reduced equipment purchase amount of $1,000,000 plus tax.</w:t>
      </w:r>
    </w:p>
    <w:p>
      <w:pPr>
        <w:spacing w:after="0" w:line="129" w:lineRule="exact"/>
        <w:rPr>
          <w:sz w:val="20"/>
          <w:szCs w:val="20"/>
          <w:color w:val="auto"/>
        </w:rPr>
      </w:pPr>
    </w:p>
    <w:p>
      <w:pPr>
        <w:spacing w:after="0"/>
        <w:rPr>
          <w:sz w:val="20"/>
          <w:szCs w:val="20"/>
          <w:color w:val="auto"/>
        </w:rPr>
      </w:pPr>
      <w:r>
        <w:rPr>
          <w:rFonts w:ascii="Arial" w:cs="Arial" w:eastAsia="Arial" w:hAnsi="Arial"/>
          <w:sz w:val="13"/>
          <w:szCs w:val="13"/>
          <w:u w:val="single" w:color="auto"/>
          <w:color w:val="auto"/>
        </w:rPr>
        <w:t>Convertible Note Financing</w:t>
      </w:r>
    </w:p>
    <w:p>
      <w:pPr>
        <w:spacing w:after="0" w:line="163" w:lineRule="exact"/>
        <w:rPr>
          <w:sz w:val="20"/>
          <w:szCs w:val="20"/>
          <w:color w:val="auto"/>
        </w:rPr>
      </w:pPr>
    </w:p>
    <w:p>
      <w:pPr>
        <w:jc w:val="both"/>
        <w:spacing w:after="0" w:line="275" w:lineRule="auto"/>
        <w:rPr>
          <w:sz w:val="20"/>
          <w:szCs w:val="20"/>
          <w:color w:val="auto"/>
        </w:rPr>
      </w:pPr>
      <w:r>
        <w:rPr>
          <w:rFonts w:ascii="Arial" w:cs="Arial" w:eastAsia="Arial" w:hAnsi="Arial"/>
          <w:sz w:val="12"/>
          <w:szCs w:val="12"/>
          <w:color w:val="auto"/>
        </w:rPr>
        <w:t xml:space="preserve">On April 30, 2019 the Company signed a Note and Warrant Purchase Agreement under the form of which the Company can issue up to $15,000,000 of convertible promissory notes and warrants to purchase up to 3,000,000 shares of Series S Preferred Stock (20% warrant coverage) (the “Convertible Note Financing”). Pursuant to the terms of the Convertible Note Financing, the Company became obligated, to the same group of Convertible Note Financing investors, to exchange their outstanding shares of Series m-3 Preferred Stock for the newly authorized shares of Series m-4 Preferred stock upon the closing of at least $1,000,000 in aggregate principal amount of convertible promissory notes under the Convertible Note Financing. Warrants to purchase shares of Series S Preferred Stock of the Company were also issued to investors who invested in the Convertible Note Financing. The warrants to purchase shares of Series S Preferred Stock have an exercise price of $4.50 per share and expire on the earlier of December 31, 2021 or 18 months after the closing of the Company’s first firm commitment underwritten initial public offering of the Company’s common stock pursuant to a registration statement filed under the Securities Act. The convertible promissory notes have a maturity date of January 1, 2022, provide for payment of accrued interest at a rate of 12% per annum upon the maturity date, are generally the most senior company security (subject to limited subordination carve-outs) and provide for significant discounts upon a qualified financing or an initial public offering, and for a premium upon a change of control. As of December 31, 2020, the Company had issued convertible notes in the aggregate principal amount of $5,128,570. Interest expense on the Convertible Note Financing during the year ended December 31, 2020 was $512,656. Warrants for the purchase of 294,264 shares of Series S Preferred Stock were also issued and accrued for, to the holder of the convertible notes and were recorded as a reduction to the convertible notes balance as a debt issuance cost and is being amortized to interest expense over the term of the loan (see Note 4 – </w:t>
      </w:r>
      <w:r>
        <w:rPr>
          <w:rFonts w:ascii="Arial" w:cs="Arial" w:eastAsia="Arial" w:hAnsi="Arial"/>
          <w:sz w:val="12"/>
          <w:szCs w:val="12"/>
          <w:i w:val="1"/>
          <w:iCs w:val="1"/>
          <w:color w:val="auto"/>
        </w:rPr>
        <w:t>Capital Stock and Warrants</w:t>
      </w:r>
      <w:r>
        <w:rPr>
          <w:rFonts w:ascii="Arial" w:cs="Arial" w:eastAsia="Arial" w:hAnsi="Arial"/>
          <w:sz w:val="12"/>
          <w:szCs w:val="12"/>
          <w:color w:val="auto"/>
        </w:rPr>
        <w:t>) using the effective interest method</w:t>
      </w:r>
      <w:r>
        <w:rPr>
          <w:rFonts w:ascii="Arial" w:cs="Arial" w:eastAsia="Arial" w:hAnsi="Arial"/>
          <w:sz w:val="12"/>
          <w:szCs w:val="12"/>
          <w:i w:val="1"/>
          <w:iCs w:val="1"/>
          <w:color w:val="auto"/>
        </w:rPr>
        <w:t>.</w:t>
      </w:r>
      <w:r>
        <w:rPr>
          <w:rFonts w:ascii="Arial" w:cs="Arial" w:eastAsia="Arial" w:hAnsi="Arial"/>
          <w:sz w:val="12"/>
          <w:szCs w:val="12"/>
          <w:color w:val="auto"/>
        </w:rPr>
        <w:t xml:space="preserve"> As of December 31, 2020, total Convertible Notes receipts of $5,128,570 were offset by $1,921,641 of Convertible Note financing issuance costs related to Series S Preferred Stock warrants. The Convertible Note automatically converts under various scenarios including a qualified financing or initial public offering. As of January 1, 2020, the Convertible Note is convertible at the investors’ option at prices as follows: (i) on or before June 30, 2020, $4.50 per share; (ii) after June 30, 2020, but on or before December 31, 2020, $4.00 per share; (iii) after December 31, 2020, but on or before June 30, 2021, $3.50 per share; and (iv) after June 30, 2021, $2.50 per share.</w:t>
      </w:r>
    </w:p>
    <w:p>
      <w:pPr>
        <w:spacing w:after="0" w:line="133" w:lineRule="exact"/>
        <w:rPr>
          <w:sz w:val="20"/>
          <w:szCs w:val="20"/>
          <w:color w:val="auto"/>
        </w:rPr>
      </w:pPr>
    </w:p>
    <w:p>
      <w:pPr>
        <w:jc w:val="both"/>
        <w:spacing w:after="0" w:line="317" w:lineRule="auto"/>
        <w:rPr>
          <w:sz w:val="20"/>
          <w:szCs w:val="20"/>
          <w:color w:val="auto"/>
        </w:rPr>
      </w:pPr>
      <w:r>
        <w:rPr>
          <w:rFonts w:ascii="Arial" w:cs="Arial" w:eastAsia="Arial" w:hAnsi="Arial"/>
          <w:sz w:val="12"/>
          <w:szCs w:val="12"/>
          <w:color w:val="auto"/>
        </w:rPr>
        <w:t>On December 9, 2019, the Company entered into a Financing Arrangement with Reliant Funding (“December 2019 Financing Arrangement”) to receive $250,000 to be repaid in sixty-three (63) equal payments of a $4,599 per business day over approximately three months. The annual effective interest rate of this December 2019 Financing Arrangement was 37%. The loan was paid off on March 11, 2020.</w:t>
      </w:r>
    </w:p>
    <w:p>
      <w:pPr>
        <w:spacing w:after="0" w:line="105" w:lineRule="exact"/>
        <w:rPr>
          <w:sz w:val="20"/>
          <w:szCs w:val="20"/>
          <w:color w:val="auto"/>
        </w:rPr>
      </w:pPr>
    </w:p>
    <w:p>
      <w:pPr>
        <w:jc w:val="both"/>
        <w:spacing w:after="0" w:line="368" w:lineRule="auto"/>
        <w:rPr>
          <w:sz w:val="20"/>
          <w:szCs w:val="20"/>
          <w:color w:val="auto"/>
        </w:rPr>
      </w:pPr>
      <w:r>
        <w:rPr>
          <w:rFonts w:ascii="Arial" w:cs="Arial" w:eastAsia="Arial" w:hAnsi="Arial"/>
          <w:sz w:val="11"/>
          <w:szCs w:val="11"/>
          <w:color w:val="auto"/>
        </w:rPr>
        <w:t>On March 19, 2020, the Company entered into a Financing Agreement with Wall Street Funding (“March 2020 Financing Arrangement”). Under the March 2020 Financing Arrangement, The Company received $300,000 which was repaid over one hundred (100) equal payments of $4,080 payable each business day. The effective interest rate under this repayment period is 419%. The loan was paid off on August 07, 2020.</w:t>
      </w:r>
    </w:p>
    <w:p>
      <w:pPr>
        <w:spacing w:after="0" w:line="238"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79" w:name="page80"/>
    <w:bookmarkEnd w:id="79"/>
    <w:p>
      <w:pPr>
        <w:spacing w:after="0"/>
        <w:rPr>
          <w:sz w:val="20"/>
          <w:szCs w:val="20"/>
          <w:color w:val="auto"/>
        </w:rPr>
      </w:pPr>
      <w:r>
        <w:rPr>
          <w:rFonts w:ascii="Arial" w:cs="Arial" w:eastAsia="Arial" w:hAnsi="Arial"/>
          <w:sz w:val="13"/>
          <w:szCs w:val="13"/>
          <w:b w:val="1"/>
          <w:bCs w:val="1"/>
          <w:color w:val="auto"/>
        </w:rPr>
        <w:t>NOTE 3: Debt Obligations (Continue)</w:t>
      </w:r>
    </w:p>
    <w:p>
      <w:pPr>
        <w:spacing w:after="0" w:line="167" w:lineRule="exact"/>
        <w:rPr>
          <w:sz w:val="20"/>
          <w:szCs w:val="20"/>
          <w:color w:val="auto"/>
        </w:rPr>
      </w:pPr>
    </w:p>
    <w:p>
      <w:pPr>
        <w:jc w:val="both"/>
        <w:spacing w:after="0" w:line="278" w:lineRule="auto"/>
        <w:rPr>
          <w:sz w:val="20"/>
          <w:szCs w:val="20"/>
          <w:color w:val="auto"/>
        </w:rPr>
      </w:pPr>
      <w:r>
        <w:rPr>
          <w:rFonts w:ascii="Arial" w:cs="Arial" w:eastAsia="Arial" w:hAnsi="Arial"/>
          <w:sz w:val="12"/>
          <w:szCs w:val="12"/>
          <w:color w:val="auto"/>
        </w:rPr>
        <w:t>The Paycheck Protection Program (“PPP”) was established under the Coronavirus Aid, Relief, and Economic Security Act (the “CARES Act”) and is administered by the U.S. Small Business Administration (“SBA”). On April 24, 2020, the Company, entered into a promissory note evidencing an unsecured loan in the aggregate amount of approximately $822,851 made to Knightscope under the PPP (the “PPP Loan”). The PPP Loan to Knightscope is being made through Fresno First Bank. The interest rate on the PPP Loan is 1.00% and the term is two years. In accordance with the updated Small Business guidance, the PPP Loan was modified so that, beginning ten months from the date of the PPP Loan, the Company is required to make monthly payments of principal and interest. The promissory note evidencing the PPP Loan contains customary events of default relating to, among other things, payment defaults or breaching the terms of the PPP Loan documents. The occurrence of an event of default may result in the repayment of all amounts outstanding, collection of all amounts owing from Knightscope, or filing suit and obtaining judgment against Knightscope. Under the terms of the CARES Act, PPP Loan recipients can apply for and be granted forgiveness for all or a portion of the loan granted under the PPP. Such forgiveness will be determined, subject to limitations, based on the use of loan proceeds for payment of payroll costs and any payments of mortgage interest, rent, and utilities. No assurance is provided that the Company will obtain forgiveness of the PPP Loan in whole or in part.</w:t>
      </w:r>
    </w:p>
    <w:p>
      <w:pPr>
        <w:spacing w:after="0" w:line="129"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In October 2020, the Company was notified that the terms of its PPP Loan with Fresno First Bank were modified. The amount of time that the Company had to spend the proceeds of the PPP Loan (the “covered period”) was extended from 8 weeks to 24 weeks. The date to begin repaying unforgiven portions of the PPP Loan was also extended from six months after the funding date to up to 10 months after the end of the covered period (approximately 16 months from the funding date) depending on when the Company applies for forgiveness. The SBA will also cover interest on the forgiveness portion of the loan during this period. There was no change to the maturity date of the loan. All PPP Loans must be repaid or forgiven within two years after the funding date. The Company submitted its PPP Loan forgiveness application to the SBA in January 2021. However, no assurance can be given that the PPP Loan will be forgiven.</w:t>
      </w:r>
    </w:p>
    <w:p>
      <w:pPr>
        <w:spacing w:after="0" w:line="141"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6340" w:type="dxa"/>
            <w:vAlign w:val="bottom"/>
          </w:tcPr>
          <w:p>
            <w:pPr>
              <w:spacing w:after="0"/>
              <w:rPr>
                <w:sz w:val="20"/>
                <w:szCs w:val="20"/>
                <w:color w:val="auto"/>
              </w:rPr>
            </w:pPr>
            <w:r>
              <w:rPr>
                <w:rFonts w:ascii="Arial" w:cs="Arial" w:eastAsia="Arial" w:hAnsi="Arial"/>
                <w:sz w:val="13"/>
                <w:szCs w:val="13"/>
                <w:color w:val="auto"/>
              </w:rPr>
              <w:t>The amortized carrying amount of our debt obligations consists of the following:</w:t>
            </w:r>
          </w:p>
        </w:tc>
        <w:tc>
          <w:tcPr>
            <w:tcW w:w="21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23"/>
        </w:trPr>
        <w:tc>
          <w:tcPr>
            <w:tcW w:w="634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gridSpan w:val="4"/>
          </w:tcPr>
          <w:p>
            <w:pPr>
              <w:jc w:val="right"/>
              <w:ind w:right="71"/>
              <w:spacing w:after="0"/>
              <w:rPr>
                <w:sz w:val="20"/>
                <w:szCs w:val="20"/>
                <w:color w:val="auto"/>
              </w:rPr>
            </w:pPr>
            <w:r>
              <w:rPr>
                <w:rFonts w:ascii="Arial" w:cs="Arial" w:eastAsia="Arial" w:hAnsi="Arial"/>
                <w:sz w:val="13"/>
                <w:szCs w:val="13"/>
                <w:b w:val="1"/>
                <w:bCs w:val="1"/>
                <w:color w:val="auto"/>
              </w:rPr>
              <w:t>December 31,</w:t>
            </w:r>
          </w:p>
        </w:tc>
        <w:tc>
          <w:tcPr>
            <w:tcW w:w="860" w:type="dxa"/>
            <w:vAlign w:val="bottom"/>
            <w:tcBorders>
              <w:bottom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7"/>
        </w:trPr>
        <w:tc>
          <w:tcPr>
            <w:tcW w:w="6340" w:type="dxa"/>
            <w:vAlign w:val="bottom"/>
            <w:tcBorders>
              <w:bottom w:val="single" w:sz="8" w:color="CCEEFF"/>
            </w:tcBorders>
          </w:tcPr>
          <w:p>
            <w:pPr>
              <w:spacing w:after="0"/>
              <w:rPr>
                <w:sz w:val="13"/>
                <w:szCs w:val="13"/>
                <w:color w:val="auto"/>
              </w:rPr>
            </w:pPr>
          </w:p>
        </w:tc>
        <w:tc>
          <w:tcPr>
            <w:tcW w:w="2140" w:type="dxa"/>
            <w:vAlign w:val="bottom"/>
            <w:tcBorders>
              <w:bottom w:val="single" w:sz="8" w:color="CCEEFF"/>
            </w:tcBorders>
          </w:tcPr>
          <w:p>
            <w:pPr>
              <w:spacing w:after="0"/>
              <w:rPr>
                <w:sz w:val="13"/>
                <w:szCs w:val="13"/>
                <w:color w:val="auto"/>
              </w:rPr>
            </w:pPr>
          </w:p>
        </w:tc>
        <w:tc>
          <w:tcPr>
            <w:tcW w:w="280" w:type="dxa"/>
            <w:vAlign w:val="bottom"/>
            <w:tcBorders>
              <w:bottom w:val="single" w:sz="8" w:color="auto"/>
            </w:tcBorders>
          </w:tcPr>
          <w:p>
            <w:pPr>
              <w:spacing w:after="0"/>
              <w:rPr>
                <w:sz w:val="13"/>
                <w:szCs w:val="13"/>
                <w:color w:val="auto"/>
              </w:rPr>
            </w:pPr>
          </w:p>
        </w:tc>
        <w:tc>
          <w:tcPr>
            <w:tcW w:w="96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20" w:type="dxa"/>
            <w:vAlign w:val="bottom"/>
            <w:tcBorders>
              <w:bottom w:val="single" w:sz="8" w:color="CCEEFF"/>
            </w:tcBorders>
          </w:tcPr>
          <w:p>
            <w:pPr>
              <w:spacing w:after="0"/>
              <w:rPr>
                <w:sz w:val="13"/>
                <w:szCs w:val="13"/>
                <w:color w:val="auto"/>
              </w:rPr>
            </w:pPr>
          </w:p>
        </w:tc>
        <w:tc>
          <w:tcPr>
            <w:tcW w:w="120" w:type="dxa"/>
            <w:vAlign w:val="bottom"/>
            <w:tcBorders>
              <w:bottom w:val="single" w:sz="8" w:color="CCEEFF"/>
            </w:tcBorders>
          </w:tcPr>
          <w:p>
            <w:pPr>
              <w:spacing w:after="0"/>
              <w:rPr>
                <w:sz w:val="13"/>
                <w:szCs w:val="13"/>
                <w:color w:val="auto"/>
              </w:rPr>
            </w:pPr>
          </w:p>
        </w:tc>
        <w:tc>
          <w:tcPr>
            <w:tcW w:w="360" w:type="dxa"/>
            <w:vAlign w:val="bottom"/>
            <w:tcBorders>
              <w:bottom w:val="single" w:sz="8" w:color="auto"/>
            </w:tcBorders>
          </w:tcPr>
          <w:p>
            <w:pPr>
              <w:spacing w:after="0"/>
              <w:rPr>
                <w:sz w:val="13"/>
                <w:szCs w:val="13"/>
                <w:color w:val="auto"/>
              </w:rPr>
            </w:pPr>
          </w:p>
        </w:tc>
        <w:tc>
          <w:tcPr>
            <w:tcW w:w="86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2019</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634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Farnam arrangement</w:t>
            </w:r>
          </w:p>
        </w:tc>
        <w:tc>
          <w:tcPr>
            <w:tcW w:w="2140" w:type="dxa"/>
            <w:vAlign w:val="bottom"/>
            <w:shd w:val="clear" w:color="auto" w:fill="CCEEFF"/>
          </w:tcPr>
          <w:p>
            <w:pPr>
              <w:spacing w:after="0"/>
              <w:rPr>
                <w:sz w:val="12"/>
                <w:szCs w:val="12"/>
                <w:color w:val="auto"/>
              </w:rPr>
            </w:pP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w:t>
            </w:r>
          </w:p>
        </w:tc>
        <w:tc>
          <w:tcPr>
            <w:tcW w:w="12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360" w:type="dxa"/>
            <w:vAlign w:val="bottom"/>
            <w:shd w:val="clear" w:color="auto" w:fill="CCEEFF"/>
          </w:tcPr>
          <w:p>
            <w:pPr>
              <w:jc w:val="right"/>
              <w:ind w:right="251"/>
              <w:spacing w:after="0"/>
              <w:rPr>
                <w:sz w:val="20"/>
                <w:szCs w:val="20"/>
                <w:color w:val="auto"/>
              </w:rPr>
            </w:pPr>
            <w:r>
              <w:rPr>
                <w:rFonts w:ascii="Arial" w:cs="Arial" w:eastAsia="Arial" w:hAnsi="Arial"/>
                <w:sz w:val="10"/>
                <w:szCs w:val="10"/>
                <w:color w:val="auto"/>
                <w:w w:val="71"/>
              </w:rPr>
              <w:t>$</w:t>
            </w:r>
          </w:p>
        </w:tc>
        <w:tc>
          <w:tcPr>
            <w:tcW w:w="8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2,351,981</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6340" w:type="dxa"/>
            <w:vAlign w:val="bottom"/>
          </w:tcPr>
          <w:p>
            <w:pPr>
              <w:spacing w:after="0"/>
              <w:rPr>
                <w:sz w:val="20"/>
                <w:szCs w:val="20"/>
                <w:color w:val="auto"/>
              </w:rPr>
            </w:pPr>
            <w:r>
              <w:rPr>
                <w:rFonts w:ascii="Arial" w:cs="Arial" w:eastAsia="Arial" w:hAnsi="Arial"/>
                <w:sz w:val="13"/>
                <w:szCs w:val="13"/>
                <w:color w:val="auto"/>
              </w:rPr>
              <w:t>Convertible notes, net of fees and discount</w:t>
            </w:r>
          </w:p>
        </w:tc>
        <w:tc>
          <w:tcPr>
            <w:tcW w:w="214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080" w:type="dxa"/>
            <w:vAlign w:val="bottom"/>
            <w:gridSpan w:val="2"/>
          </w:tcPr>
          <w:p>
            <w:pPr>
              <w:jc w:val="right"/>
              <w:ind w:right="120"/>
              <w:spacing w:after="0"/>
              <w:rPr>
                <w:sz w:val="20"/>
                <w:szCs w:val="20"/>
                <w:color w:val="auto"/>
              </w:rPr>
            </w:pPr>
            <w:r>
              <w:rPr>
                <w:rFonts w:ascii="Arial" w:cs="Arial" w:eastAsia="Arial" w:hAnsi="Arial"/>
                <w:sz w:val="13"/>
                <w:szCs w:val="13"/>
                <w:color w:val="auto"/>
              </w:rPr>
              <w:t>3,756,018</w:t>
            </w:r>
          </w:p>
        </w:tc>
        <w:tc>
          <w:tcPr>
            <w:tcW w:w="12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1,746,946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6340" w:type="dxa"/>
            <w:vAlign w:val="bottom"/>
            <w:shd w:val="clear" w:color="auto" w:fill="CCEEFF"/>
          </w:tcPr>
          <w:p>
            <w:pPr>
              <w:spacing w:after="0"/>
              <w:rPr>
                <w:sz w:val="20"/>
                <w:szCs w:val="20"/>
                <w:color w:val="auto"/>
              </w:rPr>
            </w:pPr>
            <w:r>
              <w:rPr>
                <w:rFonts w:ascii="Arial" w:cs="Arial" w:eastAsia="Arial" w:hAnsi="Arial"/>
                <w:sz w:val="13"/>
                <w:szCs w:val="13"/>
                <w:color w:val="auto"/>
              </w:rPr>
              <w:t>PPP Loan</w:t>
            </w:r>
          </w:p>
        </w:tc>
        <w:tc>
          <w:tcPr>
            <w:tcW w:w="21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080" w:type="dxa"/>
            <w:vAlign w:val="bottom"/>
            <w:gridSpan w:val="2"/>
            <w:shd w:val="clear" w:color="auto" w:fill="CCEEFF"/>
          </w:tcPr>
          <w:p>
            <w:pPr>
              <w:jc w:val="right"/>
              <w:ind w:right="120"/>
              <w:spacing w:after="0"/>
              <w:rPr>
                <w:sz w:val="20"/>
                <w:szCs w:val="20"/>
                <w:color w:val="auto"/>
              </w:rPr>
            </w:pPr>
            <w:r>
              <w:rPr>
                <w:rFonts w:ascii="Arial" w:cs="Arial" w:eastAsia="Arial" w:hAnsi="Arial"/>
                <w:sz w:val="13"/>
                <w:szCs w:val="13"/>
                <w:color w:val="auto"/>
              </w:rPr>
              <w:t>822,851</w:t>
            </w:r>
          </w:p>
        </w:tc>
        <w:tc>
          <w:tcPr>
            <w:tcW w:w="12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198,413</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6340" w:type="dxa"/>
            <w:vAlign w:val="bottom"/>
          </w:tcPr>
          <w:p>
            <w:pPr>
              <w:spacing w:after="0"/>
              <w:rPr>
                <w:sz w:val="20"/>
                <w:szCs w:val="20"/>
                <w:color w:val="auto"/>
              </w:rPr>
            </w:pPr>
            <w:r>
              <w:rPr>
                <w:rFonts w:ascii="Arial" w:cs="Arial" w:eastAsia="Arial" w:hAnsi="Arial"/>
                <w:sz w:val="13"/>
                <w:szCs w:val="13"/>
                <w:color w:val="auto"/>
              </w:rPr>
              <w:t>Capital lease obligation</w:t>
            </w:r>
          </w:p>
        </w:tc>
        <w:tc>
          <w:tcPr>
            <w:tcW w:w="21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08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12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6340" w:type="dxa"/>
            <w:vAlign w:val="bottom"/>
            <w:tcBorders>
              <w:top w:val="single" w:sz="8" w:color="CCEEFF"/>
            </w:tcBorders>
            <w:shd w:val="clear" w:color="auto" w:fill="CCEEFF"/>
          </w:tcPr>
          <w:p>
            <w:pPr>
              <w:ind w:left="120"/>
              <w:spacing w:after="0" w:line="146" w:lineRule="exact"/>
              <w:rPr>
                <w:sz w:val="20"/>
                <w:szCs w:val="20"/>
                <w:color w:val="auto"/>
              </w:rPr>
            </w:pPr>
            <w:r>
              <w:rPr>
                <w:rFonts w:ascii="Arial" w:cs="Arial" w:eastAsia="Arial" w:hAnsi="Arial"/>
                <w:sz w:val="13"/>
                <w:szCs w:val="13"/>
                <w:color w:val="auto"/>
              </w:rPr>
              <w:t>Total debt</w:t>
            </w:r>
          </w:p>
        </w:tc>
        <w:tc>
          <w:tcPr>
            <w:tcW w:w="214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tcBorders>
            <w:shd w:val="clear" w:color="auto" w:fill="CCEEFF"/>
          </w:tcPr>
          <w:p>
            <w:pPr>
              <w:spacing w:after="0"/>
              <w:rPr>
                <w:sz w:val="12"/>
                <w:szCs w:val="12"/>
                <w:color w:val="auto"/>
              </w:rPr>
            </w:pPr>
          </w:p>
        </w:tc>
        <w:tc>
          <w:tcPr>
            <w:tcW w:w="9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4,578,869</w:t>
            </w:r>
          </w:p>
        </w:tc>
        <w:tc>
          <w:tcPr>
            <w:tcW w:w="12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360" w:type="dxa"/>
            <w:vAlign w:val="bottom"/>
            <w:tcBorders>
              <w:top w:val="single" w:sz="8" w:color="auto"/>
            </w:tcBorders>
            <w:shd w:val="clear" w:color="auto" w:fill="CCEEFF"/>
          </w:tcPr>
          <w:p>
            <w:pPr>
              <w:spacing w:after="0"/>
              <w:rPr>
                <w:sz w:val="12"/>
                <w:szCs w:val="12"/>
                <w:color w:val="auto"/>
              </w:rPr>
            </w:pPr>
          </w:p>
        </w:tc>
        <w:tc>
          <w:tcPr>
            <w:tcW w:w="8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4,297,340</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6340" w:type="dxa"/>
            <w:vAlign w:val="bottom"/>
          </w:tcPr>
          <w:p>
            <w:pPr>
              <w:spacing w:after="0"/>
              <w:rPr>
                <w:sz w:val="20"/>
                <w:szCs w:val="20"/>
                <w:color w:val="auto"/>
              </w:rPr>
            </w:pPr>
            <w:r>
              <w:rPr>
                <w:rFonts w:ascii="Arial" w:cs="Arial" w:eastAsia="Arial" w:hAnsi="Arial"/>
                <w:sz w:val="13"/>
                <w:szCs w:val="13"/>
                <w:color w:val="auto"/>
              </w:rPr>
              <w:t>Less: current portion of debt obligations</w:t>
            </w:r>
          </w:p>
        </w:tc>
        <w:tc>
          <w:tcPr>
            <w:tcW w:w="21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08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12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960" w:type="dxa"/>
            <w:vAlign w:val="bottom"/>
            <w:gridSpan w:val="2"/>
          </w:tcPr>
          <w:p>
            <w:pPr>
              <w:jc w:val="right"/>
              <w:ind w:right="60"/>
              <w:spacing w:after="0"/>
              <w:rPr>
                <w:sz w:val="20"/>
                <w:szCs w:val="20"/>
                <w:color w:val="auto"/>
              </w:rPr>
            </w:pPr>
            <w:r>
              <w:rPr>
                <w:rFonts w:ascii="Arial" w:cs="Arial" w:eastAsia="Arial" w:hAnsi="Arial"/>
                <w:sz w:val="13"/>
                <w:szCs w:val="13"/>
                <w:color w:val="auto"/>
              </w:rPr>
              <w:t>(1,034,423)</w:t>
            </w:r>
          </w:p>
        </w:tc>
        <w:tc>
          <w:tcPr>
            <w:tcW w:w="0" w:type="dxa"/>
            <w:vAlign w:val="bottom"/>
          </w:tcPr>
          <w:p>
            <w:pPr>
              <w:spacing w:after="0"/>
              <w:rPr>
                <w:sz w:val="1"/>
                <w:szCs w:val="1"/>
                <w:color w:val="auto"/>
              </w:rPr>
            </w:pPr>
          </w:p>
        </w:tc>
      </w:tr>
      <w:tr>
        <w:trPr>
          <w:trHeight w:val="20"/>
        </w:trPr>
        <w:tc>
          <w:tcPr>
            <w:tcW w:w="6340" w:type="dxa"/>
            <w:vAlign w:val="bottom"/>
            <w:vMerge w:val="restart"/>
            <w:shd w:val="clear" w:color="auto" w:fill="CCEEFF"/>
          </w:tcPr>
          <w:p>
            <w:pPr>
              <w:ind w:left="120"/>
              <w:spacing w:after="0"/>
              <w:rPr>
                <w:sz w:val="20"/>
                <w:szCs w:val="20"/>
                <w:color w:val="auto"/>
              </w:rPr>
            </w:pPr>
            <w:r>
              <w:rPr>
                <w:rFonts w:ascii="Arial" w:cs="Arial" w:eastAsia="Arial" w:hAnsi="Arial"/>
                <w:sz w:val="13"/>
                <w:szCs w:val="13"/>
                <w:color w:val="auto"/>
              </w:rPr>
              <w:t>Non-current portion of debt obligations</w:t>
            </w:r>
          </w:p>
        </w:tc>
        <w:tc>
          <w:tcPr>
            <w:tcW w:w="2140" w:type="dxa"/>
            <w:vAlign w:val="bottom"/>
            <w:shd w:val="clear" w:color="auto" w:fill="CCEEFF"/>
          </w:tcPr>
          <w:p>
            <w:pPr>
              <w:spacing w:after="0" w:line="20" w:lineRule="exact"/>
              <w:rPr>
                <w:sz w:val="1"/>
                <w:szCs w:val="1"/>
                <w:color w:val="auto"/>
              </w:rPr>
            </w:pPr>
          </w:p>
        </w:tc>
        <w:tc>
          <w:tcPr>
            <w:tcW w:w="28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120" w:type="dxa"/>
            <w:vAlign w:val="bottom"/>
            <w:shd w:val="clear" w:color="auto" w:fill="CCEEFF"/>
          </w:tcPr>
          <w:p>
            <w:pPr>
              <w:spacing w:after="0" w:line="20" w:lineRule="exact"/>
              <w:rPr>
                <w:sz w:val="1"/>
                <w:szCs w:val="1"/>
                <w:color w:val="auto"/>
              </w:rPr>
            </w:pPr>
          </w:p>
        </w:tc>
        <w:tc>
          <w:tcPr>
            <w:tcW w:w="120" w:type="dxa"/>
            <w:vAlign w:val="bottom"/>
            <w:shd w:val="clear" w:color="auto" w:fill="CCEEFF"/>
          </w:tcPr>
          <w:p>
            <w:pPr>
              <w:spacing w:after="0" w:line="20" w:lineRule="exact"/>
              <w:rPr>
                <w:sz w:val="1"/>
                <w:szCs w:val="1"/>
                <w:color w:val="auto"/>
              </w:rPr>
            </w:pPr>
          </w:p>
        </w:tc>
        <w:tc>
          <w:tcPr>
            <w:tcW w:w="360" w:type="dxa"/>
            <w:vAlign w:val="bottom"/>
            <w:shd w:val="clear" w:color="auto" w:fill="000000"/>
          </w:tcPr>
          <w:p>
            <w:pPr>
              <w:spacing w:after="0" w:line="20" w:lineRule="exact"/>
              <w:rPr>
                <w:sz w:val="1"/>
                <w:szCs w:val="1"/>
                <w:color w:val="auto"/>
              </w:rPr>
            </w:pPr>
          </w:p>
        </w:tc>
        <w:tc>
          <w:tcPr>
            <w:tcW w:w="86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5"/>
        </w:trPr>
        <w:tc>
          <w:tcPr>
            <w:tcW w:w="6340" w:type="dxa"/>
            <w:vAlign w:val="bottom"/>
            <w:vMerge w:val="continue"/>
            <w:shd w:val="clear" w:color="auto" w:fill="CCEEFF"/>
          </w:tcPr>
          <w:p>
            <w:pPr>
              <w:spacing w:after="0"/>
              <w:rPr>
                <w:sz w:val="13"/>
                <w:szCs w:val="13"/>
                <w:color w:val="auto"/>
              </w:rPr>
            </w:pPr>
          </w:p>
        </w:tc>
        <w:tc>
          <w:tcPr>
            <w:tcW w:w="2420" w:type="dxa"/>
            <w:vAlign w:val="bottom"/>
            <w:gridSpan w:val="2"/>
            <w:shd w:val="clear" w:color="auto" w:fill="CCEEFF"/>
          </w:tcPr>
          <w:p>
            <w:pPr>
              <w:jc w:val="right"/>
              <w:ind w:right="171"/>
              <w:spacing w:after="0"/>
              <w:rPr>
                <w:sz w:val="20"/>
                <w:szCs w:val="20"/>
                <w:color w:val="auto"/>
              </w:rPr>
            </w:pPr>
            <w:r>
              <w:rPr>
                <w:rFonts w:ascii="Arial" w:cs="Arial" w:eastAsia="Arial" w:hAnsi="Arial"/>
                <w:sz w:val="13"/>
                <w:szCs w:val="13"/>
                <w:color w:val="auto"/>
              </w:rPr>
              <w:t>$</w:t>
            </w:r>
          </w:p>
        </w:tc>
        <w:tc>
          <w:tcPr>
            <w:tcW w:w="1080" w:type="dxa"/>
            <w:vAlign w:val="bottom"/>
            <w:gridSpan w:val="2"/>
            <w:shd w:val="clear" w:color="auto" w:fill="CCEEFF"/>
          </w:tcPr>
          <w:p>
            <w:pPr>
              <w:jc w:val="right"/>
              <w:ind w:right="120"/>
              <w:spacing w:after="0"/>
              <w:rPr>
                <w:sz w:val="20"/>
                <w:szCs w:val="20"/>
                <w:color w:val="auto"/>
              </w:rPr>
            </w:pPr>
            <w:r>
              <w:rPr>
                <w:rFonts w:ascii="Arial" w:cs="Arial" w:eastAsia="Arial" w:hAnsi="Arial"/>
                <w:sz w:val="13"/>
                <w:szCs w:val="13"/>
                <w:color w:val="auto"/>
              </w:rPr>
              <w:t>4,578,869</w:t>
            </w:r>
          </w:p>
        </w:tc>
        <w:tc>
          <w:tcPr>
            <w:tcW w:w="480" w:type="dxa"/>
            <w:vAlign w:val="bottom"/>
            <w:gridSpan w:val="2"/>
            <w:shd w:val="clear" w:color="auto" w:fill="CCEEFF"/>
          </w:tcPr>
          <w:p>
            <w:pPr>
              <w:jc w:val="right"/>
              <w:ind w:right="251"/>
              <w:spacing w:after="0"/>
              <w:rPr>
                <w:sz w:val="20"/>
                <w:szCs w:val="20"/>
                <w:color w:val="auto"/>
              </w:rPr>
            </w:pPr>
            <w:r>
              <w:rPr>
                <w:rFonts w:ascii="Arial" w:cs="Arial" w:eastAsia="Arial" w:hAnsi="Arial"/>
                <w:sz w:val="13"/>
                <w:szCs w:val="13"/>
                <w:color w:val="auto"/>
              </w:rPr>
              <w:t>$</w:t>
            </w: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3,262,917</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30"/>
        </w:trPr>
        <w:tc>
          <w:tcPr>
            <w:tcW w:w="6340" w:type="dxa"/>
            <w:vAlign w:val="bottom"/>
            <w:shd w:val="clear" w:color="auto" w:fill="CCEEFF"/>
          </w:tcPr>
          <w:p>
            <w:pPr>
              <w:spacing w:after="0"/>
              <w:rPr>
                <w:sz w:val="2"/>
                <w:szCs w:val="2"/>
                <w:color w:val="auto"/>
              </w:rPr>
            </w:pPr>
          </w:p>
        </w:tc>
        <w:tc>
          <w:tcPr>
            <w:tcW w:w="2140" w:type="dxa"/>
            <w:vAlign w:val="bottom"/>
            <w:shd w:val="clear" w:color="auto" w:fill="CCEEFF"/>
          </w:tcPr>
          <w:p>
            <w:pPr>
              <w:spacing w:after="0"/>
              <w:rPr>
                <w:sz w:val="2"/>
                <w:szCs w:val="2"/>
                <w:color w:val="auto"/>
              </w:rPr>
            </w:pPr>
          </w:p>
        </w:tc>
        <w:tc>
          <w:tcPr>
            <w:tcW w:w="280" w:type="dxa"/>
            <w:vAlign w:val="bottom"/>
            <w:shd w:val="clear" w:color="auto" w:fill="000000"/>
          </w:tcPr>
          <w:p>
            <w:pPr>
              <w:spacing w:after="0"/>
              <w:rPr>
                <w:sz w:val="2"/>
                <w:szCs w:val="2"/>
                <w:color w:val="auto"/>
              </w:rPr>
            </w:pPr>
          </w:p>
        </w:tc>
        <w:tc>
          <w:tcPr>
            <w:tcW w:w="960" w:type="dxa"/>
            <w:vAlign w:val="bottom"/>
            <w:shd w:val="clear" w:color="auto" w:fill="000000"/>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360" w:type="dxa"/>
            <w:vAlign w:val="bottom"/>
            <w:shd w:val="clear" w:color="auto" w:fill="000000"/>
          </w:tcPr>
          <w:p>
            <w:pPr>
              <w:spacing w:after="0"/>
              <w:rPr>
                <w:sz w:val="2"/>
                <w:szCs w:val="2"/>
                <w:color w:val="auto"/>
              </w:rPr>
            </w:pPr>
          </w:p>
        </w:tc>
        <w:tc>
          <w:tcPr>
            <w:tcW w:w="86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4: Capital Stock and Warrants</w:t>
      </w:r>
    </w:p>
    <w:p>
      <w:pPr>
        <w:spacing w:after="0" w:line="167" w:lineRule="exact"/>
        <w:rPr>
          <w:sz w:val="20"/>
          <w:szCs w:val="20"/>
          <w:color w:val="auto"/>
        </w:rPr>
      </w:pPr>
    </w:p>
    <w:p>
      <w:pPr>
        <w:jc w:val="both"/>
        <w:spacing w:after="0" w:line="311" w:lineRule="auto"/>
        <w:rPr>
          <w:sz w:val="20"/>
          <w:szCs w:val="20"/>
          <w:color w:val="auto"/>
        </w:rPr>
      </w:pPr>
      <w:r>
        <w:rPr>
          <w:rFonts w:ascii="Arial" w:cs="Arial" w:eastAsia="Arial" w:hAnsi="Arial"/>
          <w:sz w:val="11"/>
          <w:szCs w:val="11"/>
          <w:color w:val="auto"/>
        </w:rPr>
        <w:t>In May 2019, the Company amended and restated its Certificate of Incorporation. As of June 30, 2019, the Company was authorized to issue three classes of $0.001 par value stock consisting of Class A common stock (“Class A Common Stock”), Class B common stock (“Class B Common Stock”) and Preferred Stock totaling 187,405,324 shares. The total number of shares the Company has the authority to issue under each class consists of common stock designated as 114,000,000 shares of Class A Common Stock and 30,000,000 shares of Class B Common Stock, 43,405,324 shares of $0.001 par value Preferred Stock, with Preferred Stock designated as 8,936,015 shares of Series A Preferred Stock (“Series A Preferred Stock”), 4,707,501 shares of Series B Preferred Stock (“Series B Preferred Stock”), 6,666,666 shares of Series m Preferred Stock (“Series m Preferred Stock”), 333,334 shares of Series m-1 Preferred Stock (“Series m-1 Preferred Stock”), 1,660,756 shares of Series m-2 Preferred Stock (“Series m-2 Preferred Stock”), 3,490,658 shares of Series m-3 Preferred Stock (“Series m-3 Preferred Stock”), 13,108,333 shares of Series S Preferred Stock (“Series S Preferred Stock”) and 4,502,061 shares of Series m-4 Preferred Stock (“Series m-4 Preferred Stock”).</w:t>
      </w:r>
    </w:p>
    <w:p>
      <w:pPr>
        <w:spacing w:after="0" w:line="112" w:lineRule="exact"/>
        <w:rPr>
          <w:sz w:val="20"/>
          <w:szCs w:val="20"/>
          <w:color w:val="auto"/>
        </w:rPr>
      </w:pPr>
    </w:p>
    <w:p>
      <w:pPr>
        <w:spacing w:after="0"/>
        <w:rPr>
          <w:sz w:val="20"/>
          <w:szCs w:val="20"/>
          <w:color w:val="auto"/>
        </w:rPr>
      </w:pPr>
      <w:r>
        <w:rPr>
          <w:rFonts w:ascii="Arial" w:cs="Arial" w:eastAsia="Arial" w:hAnsi="Arial"/>
          <w:sz w:val="13"/>
          <w:szCs w:val="13"/>
          <w:u w:val="single" w:color="auto"/>
          <w:color w:val="auto"/>
        </w:rPr>
        <w:t>Preferred Stock</w:t>
      </w:r>
    </w:p>
    <w:p>
      <w:pPr>
        <w:spacing w:after="0" w:line="163"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 xml:space="preserve">Other than a change of control or in a liquidation, dissolution or winding up of the Company whether voluntary or involuntary or upon the occurrence of a deemed liquidation event, the preferred stock is non-redeemable. As a result of the liquidation preference, the preferred stock was not classified as part of stockholders’ deficit in the accompanying balance sheets in accordance with ASC 480-10-S99, </w:t>
      </w:r>
      <w:r>
        <w:rPr>
          <w:rFonts w:ascii="Arial" w:cs="Arial" w:eastAsia="Arial" w:hAnsi="Arial"/>
          <w:sz w:val="12"/>
          <w:szCs w:val="12"/>
          <w:i w:val="1"/>
          <w:iCs w:val="1"/>
          <w:color w:val="auto"/>
        </w:rPr>
        <w:t>SEC Materials</w:t>
      </w:r>
      <w:r>
        <w:rPr>
          <w:rFonts w:ascii="Arial" w:cs="Arial" w:eastAsia="Arial" w:hAnsi="Arial"/>
          <w:sz w:val="12"/>
          <w:szCs w:val="12"/>
          <w:color w:val="auto"/>
        </w:rPr>
        <w:t>. The Company has excluded all series of preferred stock from being presented within stockholders’ deficit in the accompanying balance sheets due to the nature of the liquidation preferences.</w:t>
      </w:r>
    </w:p>
    <w:p>
      <w:pPr>
        <w:spacing w:after="0" w:line="119" w:lineRule="exact"/>
        <w:rPr>
          <w:sz w:val="20"/>
          <w:szCs w:val="20"/>
          <w:color w:val="auto"/>
        </w:rPr>
      </w:pPr>
    </w:p>
    <w:p>
      <w:pPr>
        <w:jc w:val="both"/>
        <w:spacing w:after="0" w:line="281" w:lineRule="auto"/>
        <w:rPr>
          <w:sz w:val="20"/>
          <w:szCs w:val="20"/>
          <w:color w:val="auto"/>
        </w:rPr>
      </w:pPr>
      <w:r>
        <w:rPr>
          <w:rFonts w:ascii="Arial" w:cs="Arial" w:eastAsia="Arial" w:hAnsi="Arial"/>
          <w:sz w:val="12"/>
          <w:szCs w:val="12"/>
          <w:color w:val="auto"/>
        </w:rPr>
        <w:t>Effective December 23, 2016, the Company was qualified by the SEC to offer up to 6,666,666 shares of Series m Preferred Stock to accredited and non-accredited investors in an offering pursuant to Regulation A of the Securities Act of 1933, as amended (the “Securities Act”). The offering commenced in January 2017 for up to $20 million of the Company’s Series m Preferred Stock pursuant to Regulation A at a price of $3.00 per share and closed at the end of 2017. The Company received net proceeds of approximately $18.2 million from the sale of its Series m Preferred Stock through the Regulation A offering as well as from private placement transactions through December 31, 2017. The Company entered into Series m-3 Preferred Stock Purchase Agreements with certain purchasers pursuant to which the Company issued and sold directly to the purchasers an aggregate of 1,038,571 and 410,972 shares of the Company’s Series m-3 Preferred Stock in December 2017 and year ended 2018, respectively, par value $0.001 per share, at a price of $3.50 per share. The Company received net proceeds of approximately $3.6 million and $1.4 million in December 2017 and the year ended 2018, respectively.</w:t>
      </w:r>
    </w:p>
    <w:p>
      <w:pPr>
        <w:spacing w:after="0" w:line="126"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In January and February 2018, the Company converted 1,327,423 shares of Series m Preferred Stock into shares of Series m-2 Preferred Stock at a 1:1 conversion ratio. In January 2018, the Company issued 333,333 shares of Series m-2 Preferred Stock, par value $0.001 per share, at a price of $3.00 per share.</w:t>
      </w:r>
    </w:p>
    <w:p>
      <w:pPr>
        <w:spacing w:after="0" w:line="128"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On July 11, 2018, the Company commenced an offering of up to $50 million of its Series S Preferred Stock pursuant to Regulation D and Regulation S to raise additional capital for operations (the “Regulation D Offering”). The Company is offering to sell up to 6,250,000 shares of Series S Preferred Stock, which are convertible into shares of Class A Common Stock, at a price of $8.00 per share. Consistent with prior financings by the Company, the Regulation D Offering has been conducted with rolling closes, and such closes may continue for another 6 to 15 months. As of December 31, 2019, the Company has raised approximately $3.8 million through the Regulation D Offering, of which $1.0 million was received during year ended December 31, 2019. Issuance costs related to Regulation D Offering were $0.3 million as of December 31, 2019.</w:t>
      </w:r>
    </w:p>
    <w:p>
      <w:pPr>
        <w:spacing w:after="0" w:line="298"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80" w:name="page81"/>
    <w:bookmarkEnd w:id="80"/>
    <w:p>
      <w:pPr>
        <w:ind w:left="2"/>
        <w:spacing w:after="0"/>
        <w:rPr>
          <w:sz w:val="20"/>
          <w:szCs w:val="20"/>
          <w:color w:val="auto"/>
        </w:rPr>
      </w:pPr>
      <w:r>
        <w:rPr>
          <w:rFonts w:ascii="Arial" w:cs="Arial" w:eastAsia="Arial" w:hAnsi="Arial"/>
          <w:sz w:val="13"/>
          <w:szCs w:val="13"/>
          <w:b w:val="1"/>
          <w:bCs w:val="1"/>
          <w:color w:val="auto"/>
        </w:rPr>
        <w:t>NOTE 4: Capital Stock and Warrants (Continue)</w:t>
      </w:r>
    </w:p>
    <w:p>
      <w:pPr>
        <w:spacing w:after="0" w:line="167" w:lineRule="exact"/>
        <w:rPr>
          <w:sz w:val="20"/>
          <w:szCs w:val="20"/>
          <w:color w:val="auto"/>
        </w:rPr>
      </w:pPr>
    </w:p>
    <w:p>
      <w:pPr>
        <w:jc w:val="both"/>
        <w:ind w:left="2"/>
        <w:spacing w:after="0" w:line="274" w:lineRule="auto"/>
        <w:rPr>
          <w:sz w:val="20"/>
          <w:szCs w:val="20"/>
          <w:color w:val="auto"/>
        </w:rPr>
      </w:pPr>
      <w:r>
        <w:rPr>
          <w:rFonts w:ascii="Arial" w:cs="Arial" w:eastAsia="Arial" w:hAnsi="Arial"/>
          <w:sz w:val="13"/>
          <w:szCs w:val="13"/>
          <w:color w:val="auto"/>
        </w:rPr>
        <w:t>On May 21, 2019 the Company filed an offering statement in connection with a proposed offering of up to $50 million of its Series S Preferred Stock pursuant to Regulation A of the Securities Act, to raise additional capital for operations (the “2019 Regulation A</w:t>
      </w:r>
    </w:p>
    <w:p>
      <w:pPr>
        <w:spacing w:after="0" w:line="128" w:lineRule="exact"/>
        <w:rPr>
          <w:sz w:val="20"/>
          <w:szCs w:val="20"/>
          <w:color w:val="auto"/>
        </w:rPr>
      </w:pPr>
    </w:p>
    <w:p>
      <w:pPr>
        <w:jc w:val="both"/>
        <w:ind w:left="2"/>
        <w:spacing w:after="0" w:line="287" w:lineRule="auto"/>
        <w:rPr>
          <w:sz w:val="20"/>
          <w:szCs w:val="20"/>
          <w:color w:val="auto"/>
        </w:rPr>
      </w:pPr>
      <w:r>
        <w:rPr>
          <w:rFonts w:ascii="Arial" w:cs="Arial" w:eastAsia="Arial" w:hAnsi="Arial"/>
          <w:sz w:val="12"/>
          <w:szCs w:val="12"/>
          <w:color w:val="auto"/>
        </w:rPr>
        <w:t>Offering”). The offering statement was qualified by the Securities and Exchange Commission on July 22, 2019 and the Company commenced the 2019 Regulation A Offering shortly thereafter. Consistent with prior financings by the Company, the 2019 Regulation A Offering was conducted as a continuous offering pursuant to Rule 251(d)(3) of Regulation A, meaning that while the offering of securities is continuous, active sales of securities may happen sporadically over the term of the offering. For clarity, the 2019 Regulation A Offering was conducted simultaneously with the Regulation D Offering for aggregate proceeds of $50 million. As of December 31, 2020, the Company has raised $26 million from this Regulation A offering, offset by $2.6 million issuance costs.</w:t>
      </w:r>
    </w:p>
    <w:p>
      <w:pPr>
        <w:spacing w:after="0" w:line="122" w:lineRule="exact"/>
        <w:rPr>
          <w:sz w:val="20"/>
          <w:szCs w:val="20"/>
          <w:color w:val="auto"/>
        </w:rPr>
      </w:pPr>
    </w:p>
    <w:p>
      <w:pPr>
        <w:jc w:val="both"/>
        <w:ind w:left="2"/>
        <w:spacing w:after="0" w:line="255" w:lineRule="auto"/>
        <w:rPr>
          <w:sz w:val="20"/>
          <w:szCs w:val="20"/>
          <w:color w:val="auto"/>
        </w:rPr>
      </w:pPr>
      <w:r>
        <w:rPr>
          <w:rFonts w:ascii="Arial" w:cs="Arial" w:eastAsia="Arial" w:hAnsi="Arial"/>
          <w:sz w:val="13"/>
          <w:szCs w:val="13"/>
          <w:color w:val="auto"/>
        </w:rPr>
        <w:t>On June 15, 2020 the Company filed an offering statement in connection with a proposed offering of up to $25 million of its Series S Preferred Stock pursuant to Regulation A of the Securities Act, to raise additional capital for operations (the “2020 Regulation A Offering”). The offering statement was qualified by the Commission on October 21, 2020 and the Company commenced the 2020 Regulation A Offering shortly thereafter. Consistent with prior financings by the Company, the 2020 Regulation A Offering was conducted as a continuous offering pursuant to Rule 251(d)(3) of Regulation A, meaning that while the offering of securities is continuous, active sales of securities may happen sporadically over the term of the offering. For clarity, the 2020 Regulation A Offering was conducted simultaneously with the Regulation D Offering for aggregate proceeds of $50 million. As of December 31, 2020, the Company had raised approximately $2.5 million from the 2020 Regulation A Offering. The 2020 Regulation A Offering terminated on April 21, 2021. Please refer to Note 10 - Subsequent Events, for additional information.</w:t>
      </w:r>
    </w:p>
    <w:p>
      <w:pPr>
        <w:spacing w:after="0" w:line="142" w:lineRule="exact"/>
        <w:rPr>
          <w:sz w:val="20"/>
          <w:szCs w:val="20"/>
          <w:color w:val="auto"/>
        </w:rPr>
      </w:pPr>
    </w:p>
    <w:p>
      <w:pPr>
        <w:jc w:val="both"/>
        <w:ind w:left="2"/>
        <w:spacing w:after="0" w:line="287" w:lineRule="auto"/>
        <w:rPr>
          <w:sz w:val="20"/>
          <w:szCs w:val="20"/>
          <w:color w:val="auto"/>
        </w:rPr>
      </w:pPr>
      <w:r>
        <w:rPr>
          <w:rFonts w:ascii="Arial" w:cs="Arial" w:eastAsia="Arial" w:hAnsi="Arial"/>
          <w:sz w:val="12"/>
          <w:szCs w:val="12"/>
          <w:color w:val="auto"/>
        </w:rPr>
        <w:t>In June 2019, the Company issued to the same group of Convertible Note Financing investors, 1,432,786 shares of its Series m-4 Preferred Stock in exchange for 1,432,786 shares of its shares of Series m-3 Preferred Stock. The Series m-4 Preferred Stock has a senior liquidation preference to all other Preferred Stock and Common Stock of the Company, has an accruing payment in kind dividend of 12%, in the form of m-4 Preferred shares, and has certain other preferential rights, including voting rights. Due to higher seniority and different terms of Series m-4 Preferred Stock compared to Series m-3 Preferred Stock, this exchange resulted in an increase in fair value of Series m-4 Preferred Stock exchanged from Series m-3 Preferred Stock of $900,002 that was recorded as interest expense on the exchange date.</w:t>
      </w:r>
    </w:p>
    <w:p>
      <w:pPr>
        <w:spacing w:after="0" w:line="122" w:lineRule="exact"/>
        <w:rPr>
          <w:sz w:val="20"/>
          <w:szCs w:val="20"/>
          <w:color w:val="auto"/>
        </w:rPr>
      </w:pPr>
    </w:p>
    <w:p>
      <w:pPr>
        <w:ind w:left="2"/>
        <w:spacing w:after="0"/>
        <w:rPr>
          <w:sz w:val="20"/>
          <w:szCs w:val="20"/>
          <w:color w:val="auto"/>
        </w:rPr>
      </w:pPr>
      <w:r>
        <w:rPr>
          <w:rFonts w:ascii="Arial" w:cs="Arial" w:eastAsia="Arial" w:hAnsi="Arial"/>
          <w:sz w:val="13"/>
          <w:szCs w:val="13"/>
          <w:color w:val="auto"/>
        </w:rPr>
        <w:t>All classes of preferred stock have a par value of $0.001 per share.</w:t>
      </w:r>
    </w:p>
    <w:p>
      <w:pPr>
        <w:spacing w:after="0" w:line="163" w:lineRule="exact"/>
        <w:rPr>
          <w:sz w:val="20"/>
          <w:szCs w:val="20"/>
          <w:color w:val="auto"/>
        </w:rPr>
      </w:pPr>
    </w:p>
    <w:p>
      <w:pPr>
        <w:ind w:left="2"/>
        <w:spacing w:after="0"/>
        <w:rPr>
          <w:sz w:val="20"/>
          <w:szCs w:val="20"/>
          <w:color w:val="auto"/>
        </w:rPr>
      </w:pPr>
      <w:r>
        <w:rPr>
          <w:rFonts w:ascii="Arial" w:cs="Arial" w:eastAsia="Arial" w:hAnsi="Arial"/>
          <w:sz w:val="13"/>
          <w:szCs w:val="13"/>
          <w:color w:val="auto"/>
        </w:rPr>
        <w:t>The following tables summarize convertible preferred stock authorized and issued and outstanding as of December 31, 2020:</w:t>
      </w:r>
    </w:p>
    <w:p>
      <w:pPr>
        <w:spacing w:after="0" w:line="159" w:lineRule="exact"/>
        <w:rPr>
          <w:sz w:val="20"/>
          <w:szCs w:val="20"/>
          <w:color w:val="auto"/>
        </w:rPr>
      </w:pPr>
    </w:p>
    <w:tbl>
      <w:tblPr>
        <w:tblLayout w:type="fixed"/>
        <w:tblInd w:w="2" w:type="dxa"/>
        <w:tblCellMar>
          <w:top w:w="0" w:type="dxa"/>
          <w:left w:w="0" w:type="dxa"/>
          <w:bottom w:w="0" w:type="dxa"/>
          <w:right w:w="0" w:type="dxa"/>
        </w:tblCellMar>
      </w:tblPr>
      <w:tr>
        <w:trPr>
          <w:trHeight w:val="156"/>
        </w:trPr>
        <w:tc>
          <w:tcPr>
            <w:tcW w:w="5540" w:type="dxa"/>
            <w:vAlign w:val="bottom"/>
          </w:tcPr>
          <w:p>
            <w:pPr>
              <w:spacing w:after="0"/>
              <w:rPr>
                <w:sz w:val="13"/>
                <w:szCs w:val="13"/>
                <w:color w:val="auto"/>
              </w:rPr>
            </w:pPr>
          </w:p>
        </w:tc>
        <w:tc>
          <w:tcPr>
            <w:tcW w:w="126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48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87"/>
              </w:rPr>
              <w:t>Shares</w:t>
            </w:r>
          </w:p>
        </w:tc>
        <w:tc>
          <w:tcPr>
            <w:tcW w:w="160" w:type="dxa"/>
            <w:vAlign w:val="bottom"/>
          </w:tcPr>
          <w:p>
            <w:pPr>
              <w:spacing w:after="0"/>
              <w:rPr>
                <w:sz w:val="13"/>
                <w:szCs w:val="13"/>
                <w:color w:val="auto"/>
              </w:rPr>
            </w:pPr>
          </w:p>
        </w:tc>
        <w:tc>
          <w:tcPr>
            <w:tcW w:w="118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86"/>
              </w:rPr>
              <w:t>Proceeds Net</w:t>
            </w:r>
          </w:p>
        </w:tc>
        <w:tc>
          <w:tcPr>
            <w:tcW w:w="1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16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90"/>
              </w:rPr>
              <w:t>Aggregate</w:t>
            </w:r>
          </w:p>
        </w:tc>
      </w:tr>
      <w:tr>
        <w:trPr>
          <w:trHeight w:val="166"/>
        </w:trPr>
        <w:tc>
          <w:tcPr>
            <w:tcW w:w="5540" w:type="dxa"/>
            <w:vAlign w:val="bottom"/>
          </w:tcPr>
          <w:p>
            <w:pPr>
              <w:spacing w:after="0"/>
              <w:rPr>
                <w:sz w:val="14"/>
                <w:szCs w:val="14"/>
                <w:color w:val="auto"/>
              </w:rPr>
            </w:pPr>
          </w:p>
        </w:tc>
        <w:tc>
          <w:tcPr>
            <w:tcW w:w="148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87"/>
              </w:rPr>
              <w:t>Shares</w:t>
            </w:r>
          </w:p>
        </w:tc>
        <w:tc>
          <w:tcPr>
            <w:tcW w:w="1480" w:type="dxa"/>
            <w:vAlign w:val="bottom"/>
            <w:gridSpan w:val="2"/>
          </w:tcPr>
          <w:p>
            <w:pPr>
              <w:jc w:val="center"/>
              <w:ind w:right="200"/>
              <w:spacing w:after="0"/>
              <w:rPr>
                <w:sz w:val="20"/>
                <w:szCs w:val="20"/>
                <w:color w:val="auto"/>
              </w:rPr>
            </w:pPr>
            <w:r>
              <w:rPr>
                <w:rFonts w:ascii="Arial" w:cs="Arial" w:eastAsia="Arial" w:hAnsi="Arial"/>
                <w:sz w:val="13"/>
                <w:szCs w:val="13"/>
                <w:b w:val="1"/>
                <w:bCs w:val="1"/>
                <w:color w:val="auto"/>
                <w:w w:val="88"/>
              </w:rPr>
              <w:t>Issued and</w:t>
            </w:r>
          </w:p>
        </w:tc>
        <w:tc>
          <w:tcPr>
            <w:tcW w:w="160" w:type="dxa"/>
            <w:vAlign w:val="bottom"/>
          </w:tcPr>
          <w:p>
            <w:pPr>
              <w:spacing w:after="0"/>
              <w:rPr>
                <w:sz w:val="14"/>
                <w:szCs w:val="14"/>
                <w:color w:val="auto"/>
              </w:rPr>
            </w:pPr>
          </w:p>
        </w:tc>
        <w:tc>
          <w:tcPr>
            <w:tcW w:w="118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83"/>
              </w:rPr>
              <w:t>of Issuance</w:t>
            </w:r>
          </w:p>
        </w:tc>
        <w:tc>
          <w:tcPr>
            <w:tcW w:w="1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16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94"/>
              </w:rPr>
              <w:t>Liquidation</w:t>
            </w:r>
          </w:p>
        </w:tc>
      </w:tr>
      <w:tr>
        <w:trPr>
          <w:trHeight w:val="169"/>
        </w:trPr>
        <w:tc>
          <w:tcPr>
            <w:tcW w:w="5540" w:type="dxa"/>
            <w:vAlign w:val="bottom"/>
          </w:tcPr>
          <w:p>
            <w:pPr>
              <w:spacing w:after="0"/>
              <w:rPr>
                <w:sz w:val="14"/>
                <w:szCs w:val="14"/>
                <w:color w:val="auto"/>
              </w:rPr>
            </w:pPr>
          </w:p>
        </w:tc>
        <w:tc>
          <w:tcPr>
            <w:tcW w:w="148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91"/>
              </w:rPr>
              <w:t>Authorized</w:t>
            </w:r>
          </w:p>
        </w:tc>
        <w:tc>
          <w:tcPr>
            <w:tcW w:w="148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91"/>
              </w:rPr>
              <w:t>Outstanding</w:t>
            </w:r>
          </w:p>
        </w:tc>
        <w:tc>
          <w:tcPr>
            <w:tcW w:w="160" w:type="dxa"/>
            <w:vAlign w:val="bottom"/>
          </w:tcPr>
          <w:p>
            <w:pPr>
              <w:spacing w:after="0"/>
              <w:rPr>
                <w:sz w:val="14"/>
                <w:szCs w:val="14"/>
                <w:color w:val="auto"/>
              </w:rPr>
            </w:pPr>
          </w:p>
        </w:tc>
        <w:tc>
          <w:tcPr>
            <w:tcW w:w="118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88"/>
              </w:rPr>
              <w:t>Costs</w:t>
            </w:r>
          </w:p>
        </w:tc>
        <w:tc>
          <w:tcPr>
            <w:tcW w:w="1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160" w:type="dxa"/>
            <w:vAlign w:val="bottom"/>
            <w:gridSpan w:val="2"/>
          </w:tcPr>
          <w:p>
            <w:pPr>
              <w:jc w:val="center"/>
              <w:ind w:right="280"/>
              <w:spacing w:after="0"/>
              <w:rPr>
                <w:sz w:val="20"/>
                <w:szCs w:val="20"/>
                <w:color w:val="auto"/>
              </w:rPr>
            </w:pPr>
            <w:r>
              <w:rPr>
                <w:rFonts w:ascii="Arial" w:cs="Arial" w:eastAsia="Arial" w:hAnsi="Arial"/>
                <w:sz w:val="13"/>
                <w:szCs w:val="13"/>
                <w:b w:val="1"/>
                <w:bCs w:val="1"/>
                <w:color w:val="auto"/>
                <w:w w:val="89"/>
              </w:rPr>
              <w:t>Preference</w:t>
            </w:r>
          </w:p>
        </w:tc>
      </w:tr>
      <w:tr>
        <w:trPr>
          <w:trHeight w:val="147"/>
        </w:trPr>
        <w:tc>
          <w:tcPr>
            <w:tcW w:w="5540" w:type="dxa"/>
            <w:vAlign w:val="bottom"/>
            <w:tcBorders>
              <w:top w:val="single" w:sz="8" w:color="CCEEFF"/>
            </w:tcBorders>
            <w:shd w:val="clear" w:color="auto" w:fill="CCEEFF"/>
          </w:tcPr>
          <w:p>
            <w:pPr>
              <w:spacing w:after="0" w:line="146" w:lineRule="exact"/>
              <w:rPr>
                <w:sz w:val="20"/>
                <w:szCs w:val="20"/>
                <w:color w:val="auto"/>
              </w:rPr>
            </w:pPr>
            <w:r>
              <w:rPr>
                <w:rFonts w:ascii="Arial" w:cs="Arial" w:eastAsia="Arial" w:hAnsi="Arial"/>
                <w:sz w:val="13"/>
                <w:szCs w:val="13"/>
                <w:color w:val="auto"/>
              </w:rPr>
              <w:t>Series A Preferred Stock</w:t>
            </w:r>
          </w:p>
        </w:tc>
        <w:tc>
          <w:tcPr>
            <w:tcW w:w="12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8,936,015</w:t>
            </w:r>
          </w:p>
        </w:tc>
        <w:tc>
          <w:tcPr>
            <w:tcW w:w="220" w:type="dxa"/>
            <w:vAlign w:val="bottom"/>
            <w:tcBorders>
              <w:top w:val="single" w:sz="8" w:color="CCEEFF"/>
            </w:tcBorders>
            <w:shd w:val="clear" w:color="auto" w:fill="CCEEFF"/>
          </w:tcPr>
          <w:p>
            <w:pPr>
              <w:spacing w:after="0"/>
              <w:rPr>
                <w:sz w:val="12"/>
                <w:szCs w:val="12"/>
                <w:color w:val="auto"/>
              </w:rPr>
            </w:pPr>
          </w:p>
        </w:tc>
        <w:tc>
          <w:tcPr>
            <w:tcW w:w="12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8,936,015</w:t>
            </w:r>
          </w:p>
        </w:tc>
        <w:tc>
          <w:tcPr>
            <w:tcW w:w="220" w:type="dxa"/>
            <w:vAlign w:val="bottom"/>
            <w:tcBorders>
              <w:top w:val="single" w:sz="8" w:color="CCEEFF"/>
            </w:tcBorders>
            <w:shd w:val="clear" w:color="auto" w:fill="CCEEFF"/>
          </w:tcPr>
          <w:p>
            <w:pPr>
              <w:spacing w:after="0"/>
              <w:rPr>
                <w:sz w:val="12"/>
                <w:szCs w:val="12"/>
                <w:color w:val="auto"/>
              </w:rPr>
            </w:pPr>
          </w:p>
        </w:tc>
        <w:tc>
          <w:tcPr>
            <w:tcW w:w="160" w:type="dxa"/>
            <w:vAlign w:val="bottom"/>
            <w:tcBorders>
              <w:top w:val="single" w:sz="8" w:color="auto"/>
            </w:tcBorders>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8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3,865,155</w:t>
            </w:r>
          </w:p>
        </w:tc>
        <w:tc>
          <w:tcPr>
            <w:tcW w:w="10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160" w:type="dxa"/>
            <w:vAlign w:val="bottom"/>
            <w:tcBorders>
              <w:top w:val="single" w:sz="8" w:color="auto"/>
            </w:tcBorders>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7,981,649</w:t>
            </w:r>
          </w:p>
        </w:tc>
        <w:tc>
          <w:tcPr>
            <w:tcW w:w="100" w:type="dxa"/>
            <w:vAlign w:val="bottom"/>
            <w:tcBorders>
              <w:top w:val="single" w:sz="8" w:color="CCEEFF"/>
            </w:tcBorders>
            <w:shd w:val="clear" w:color="auto" w:fill="CCEEFF"/>
          </w:tcPr>
          <w:p>
            <w:pPr>
              <w:spacing w:after="0"/>
              <w:rPr>
                <w:sz w:val="12"/>
                <w:szCs w:val="12"/>
                <w:color w:val="auto"/>
              </w:rPr>
            </w:pPr>
          </w:p>
        </w:tc>
      </w:tr>
      <w:tr>
        <w:trPr>
          <w:trHeight w:val="156"/>
        </w:trPr>
        <w:tc>
          <w:tcPr>
            <w:tcW w:w="5540" w:type="dxa"/>
            <w:vAlign w:val="bottom"/>
          </w:tcPr>
          <w:p>
            <w:pPr>
              <w:spacing w:after="0"/>
              <w:rPr>
                <w:sz w:val="20"/>
                <w:szCs w:val="20"/>
                <w:color w:val="auto"/>
              </w:rPr>
            </w:pPr>
            <w:r>
              <w:rPr>
                <w:rFonts w:ascii="Arial" w:cs="Arial" w:eastAsia="Arial" w:hAnsi="Arial"/>
                <w:sz w:val="13"/>
                <w:szCs w:val="13"/>
                <w:color w:val="auto"/>
              </w:rPr>
              <w:t>Series B Preferred Stock</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4,707,501</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4,653,583</w:t>
            </w:r>
          </w:p>
        </w:tc>
        <w:tc>
          <w:tcPr>
            <w:tcW w:w="160" w:type="dxa"/>
            <w:vAlign w:val="bottom"/>
          </w:tcPr>
          <w:p>
            <w:pPr>
              <w:spacing w:after="0"/>
              <w:rPr>
                <w:sz w:val="13"/>
                <w:szCs w:val="13"/>
                <w:color w:val="auto"/>
              </w:rPr>
            </w:pPr>
          </w:p>
        </w:tc>
        <w:tc>
          <w:tcPr>
            <w:tcW w:w="1180" w:type="dxa"/>
            <w:vAlign w:val="bottom"/>
            <w:gridSpan w:val="2"/>
          </w:tcPr>
          <w:p>
            <w:pPr>
              <w:jc w:val="right"/>
              <w:ind w:right="100"/>
              <w:spacing w:after="0"/>
              <w:rPr>
                <w:sz w:val="20"/>
                <w:szCs w:val="20"/>
                <w:color w:val="auto"/>
              </w:rPr>
            </w:pPr>
            <w:r>
              <w:rPr>
                <w:rFonts w:ascii="Arial" w:cs="Arial" w:eastAsia="Arial" w:hAnsi="Arial"/>
                <w:sz w:val="13"/>
                <w:szCs w:val="13"/>
                <w:color w:val="auto"/>
              </w:rPr>
              <w:t>9,441,770</w:t>
            </w:r>
          </w:p>
        </w:tc>
        <w:tc>
          <w:tcPr>
            <w:tcW w:w="1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060" w:type="dxa"/>
            <w:vAlign w:val="bottom"/>
          </w:tcPr>
          <w:p>
            <w:pPr>
              <w:jc w:val="right"/>
              <w:spacing w:after="0"/>
              <w:rPr>
                <w:sz w:val="20"/>
                <w:szCs w:val="20"/>
                <w:color w:val="auto"/>
              </w:rPr>
            </w:pPr>
            <w:r>
              <w:rPr>
                <w:rFonts w:ascii="Arial" w:cs="Arial" w:eastAsia="Arial" w:hAnsi="Arial"/>
                <w:sz w:val="13"/>
                <w:szCs w:val="13"/>
                <w:color w:val="auto"/>
              </w:rPr>
              <w:t>9,493,775</w:t>
            </w:r>
          </w:p>
        </w:tc>
        <w:tc>
          <w:tcPr>
            <w:tcW w:w="100" w:type="dxa"/>
            <w:vAlign w:val="bottom"/>
          </w:tcPr>
          <w:p>
            <w:pPr>
              <w:spacing w:after="0"/>
              <w:rPr>
                <w:sz w:val="13"/>
                <w:szCs w:val="13"/>
                <w:color w:val="auto"/>
              </w:rPr>
            </w:pPr>
          </w:p>
        </w:tc>
      </w:tr>
      <w:tr>
        <w:trPr>
          <w:trHeight w:val="156"/>
        </w:trPr>
        <w:tc>
          <w:tcPr>
            <w:tcW w:w="5540" w:type="dxa"/>
            <w:vAlign w:val="bottom"/>
            <w:shd w:val="clear" w:color="auto" w:fill="CCEEFF"/>
          </w:tcPr>
          <w:p>
            <w:pPr>
              <w:spacing w:after="0"/>
              <w:rPr>
                <w:sz w:val="20"/>
                <w:szCs w:val="20"/>
                <w:color w:val="auto"/>
              </w:rPr>
            </w:pPr>
            <w:r>
              <w:rPr>
                <w:rFonts w:ascii="Arial" w:cs="Arial" w:eastAsia="Arial" w:hAnsi="Arial"/>
                <w:sz w:val="13"/>
                <w:szCs w:val="13"/>
                <w:color w:val="auto"/>
              </w:rPr>
              <w:t>Series m Preferred Stock</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6,666,666</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5,339,215</w:t>
            </w:r>
          </w:p>
        </w:tc>
        <w:tc>
          <w:tcPr>
            <w:tcW w:w="160" w:type="dxa"/>
            <w:vAlign w:val="bottom"/>
            <w:shd w:val="clear" w:color="auto" w:fill="CCEEFF"/>
          </w:tcPr>
          <w:p>
            <w:pPr>
              <w:spacing w:after="0"/>
              <w:rPr>
                <w:sz w:val="13"/>
                <w:szCs w:val="13"/>
                <w:color w:val="auto"/>
              </w:rPr>
            </w:pPr>
          </w:p>
        </w:tc>
        <w:tc>
          <w:tcPr>
            <w:tcW w:w="118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13,865,715</w:t>
            </w:r>
          </w:p>
        </w:tc>
        <w:tc>
          <w:tcPr>
            <w:tcW w:w="120" w:type="dxa"/>
            <w:vAlign w:val="bottom"/>
            <w:shd w:val="clear" w:color="auto" w:fill="CCEEFF"/>
          </w:tcPr>
          <w:p>
            <w:pPr>
              <w:spacing w:after="0"/>
              <w:rPr>
                <w:sz w:val="13"/>
                <w:szCs w:val="13"/>
                <w:color w:val="auto"/>
              </w:rPr>
            </w:pPr>
          </w:p>
        </w:tc>
        <w:tc>
          <w:tcPr>
            <w:tcW w:w="160" w:type="dxa"/>
            <w:vAlign w:val="bottom"/>
            <w:shd w:val="clear" w:color="auto" w:fill="CCEEFF"/>
          </w:tcPr>
          <w:p>
            <w:pPr>
              <w:spacing w:after="0"/>
              <w:rPr>
                <w:sz w:val="13"/>
                <w:szCs w:val="13"/>
                <w:color w:val="auto"/>
              </w:rPr>
            </w:pPr>
          </w:p>
        </w:tc>
        <w:tc>
          <w:tcPr>
            <w:tcW w:w="11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16,017,645</w:t>
            </w:r>
          </w:p>
        </w:tc>
      </w:tr>
      <w:tr>
        <w:trPr>
          <w:trHeight w:val="156"/>
        </w:trPr>
        <w:tc>
          <w:tcPr>
            <w:tcW w:w="5540" w:type="dxa"/>
            <w:vAlign w:val="bottom"/>
          </w:tcPr>
          <w:p>
            <w:pPr>
              <w:spacing w:after="0"/>
              <w:rPr>
                <w:sz w:val="20"/>
                <w:szCs w:val="20"/>
                <w:color w:val="auto"/>
              </w:rPr>
            </w:pPr>
            <w:r>
              <w:rPr>
                <w:rFonts w:ascii="Arial" w:cs="Arial" w:eastAsia="Arial" w:hAnsi="Arial"/>
                <w:sz w:val="13"/>
                <w:szCs w:val="13"/>
                <w:color w:val="auto"/>
              </w:rPr>
              <w:t>Series m-1 Preferred Stock</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333,334</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60" w:type="dxa"/>
            <w:vAlign w:val="bottom"/>
          </w:tcPr>
          <w:p>
            <w:pPr>
              <w:spacing w:after="0"/>
              <w:rPr>
                <w:sz w:val="13"/>
                <w:szCs w:val="13"/>
                <w:color w:val="auto"/>
              </w:rPr>
            </w:pPr>
          </w:p>
        </w:tc>
        <w:tc>
          <w:tcPr>
            <w:tcW w:w="11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1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06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r>
      <w:tr>
        <w:trPr>
          <w:trHeight w:val="156"/>
        </w:trPr>
        <w:tc>
          <w:tcPr>
            <w:tcW w:w="5540" w:type="dxa"/>
            <w:vAlign w:val="bottom"/>
            <w:shd w:val="clear" w:color="auto" w:fill="CCEEFF"/>
          </w:tcPr>
          <w:p>
            <w:pPr>
              <w:spacing w:after="0"/>
              <w:rPr>
                <w:sz w:val="20"/>
                <w:szCs w:val="20"/>
                <w:color w:val="auto"/>
              </w:rPr>
            </w:pPr>
            <w:r>
              <w:rPr>
                <w:rFonts w:ascii="Arial" w:cs="Arial" w:eastAsia="Arial" w:hAnsi="Arial"/>
                <w:sz w:val="13"/>
                <w:szCs w:val="13"/>
                <w:color w:val="auto"/>
              </w:rPr>
              <w:t>Series m-2 Preferred Stock</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1,660,756</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1,660,756</w:t>
            </w:r>
          </w:p>
        </w:tc>
        <w:tc>
          <w:tcPr>
            <w:tcW w:w="160" w:type="dxa"/>
            <w:vAlign w:val="bottom"/>
            <w:shd w:val="clear" w:color="auto" w:fill="CCEEFF"/>
          </w:tcPr>
          <w:p>
            <w:pPr>
              <w:spacing w:after="0"/>
              <w:rPr>
                <w:sz w:val="13"/>
                <w:szCs w:val="13"/>
                <w:color w:val="auto"/>
              </w:rPr>
            </w:pPr>
          </w:p>
        </w:tc>
        <w:tc>
          <w:tcPr>
            <w:tcW w:w="118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4,982,268</w:t>
            </w:r>
          </w:p>
        </w:tc>
        <w:tc>
          <w:tcPr>
            <w:tcW w:w="120" w:type="dxa"/>
            <w:vAlign w:val="bottom"/>
            <w:shd w:val="clear" w:color="auto" w:fill="CCEEFF"/>
          </w:tcPr>
          <w:p>
            <w:pPr>
              <w:spacing w:after="0"/>
              <w:rPr>
                <w:sz w:val="13"/>
                <w:szCs w:val="13"/>
                <w:color w:val="auto"/>
              </w:rPr>
            </w:pPr>
          </w:p>
        </w:tc>
        <w:tc>
          <w:tcPr>
            <w:tcW w:w="160" w:type="dxa"/>
            <w:vAlign w:val="bottom"/>
            <w:shd w:val="clear" w:color="auto" w:fill="CCEEFF"/>
          </w:tcPr>
          <w:p>
            <w:pPr>
              <w:spacing w:after="0"/>
              <w:rPr>
                <w:sz w:val="13"/>
                <w:szCs w:val="13"/>
                <w:color w:val="auto"/>
              </w:rPr>
            </w:pPr>
          </w:p>
        </w:tc>
        <w:tc>
          <w:tcPr>
            <w:tcW w:w="10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4,982,268</w:t>
            </w:r>
          </w:p>
        </w:tc>
        <w:tc>
          <w:tcPr>
            <w:tcW w:w="100" w:type="dxa"/>
            <w:vAlign w:val="bottom"/>
            <w:shd w:val="clear" w:color="auto" w:fill="CCEEFF"/>
          </w:tcPr>
          <w:p>
            <w:pPr>
              <w:spacing w:after="0"/>
              <w:rPr>
                <w:sz w:val="13"/>
                <w:szCs w:val="13"/>
                <w:color w:val="auto"/>
              </w:rPr>
            </w:pPr>
          </w:p>
        </w:tc>
      </w:tr>
      <w:tr>
        <w:trPr>
          <w:trHeight w:val="156"/>
        </w:trPr>
        <w:tc>
          <w:tcPr>
            <w:tcW w:w="5540" w:type="dxa"/>
            <w:vAlign w:val="bottom"/>
          </w:tcPr>
          <w:p>
            <w:pPr>
              <w:spacing w:after="0"/>
              <w:rPr>
                <w:sz w:val="20"/>
                <w:szCs w:val="20"/>
                <w:color w:val="auto"/>
              </w:rPr>
            </w:pPr>
            <w:r>
              <w:rPr>
                <w:rFonts w:ascii="Arial" w:cs="Arial" w:eastAsia="Arial" w:hAnsi="Arial"/>
                <w:sz w:val="13"/>
                <w:szCs w:val="13"/>
                <w:color w:val="auto"/>
              </w:rPr>
              <w:t>Series m-3 Preferred Stock</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3,490,658</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16,757</w:t>
            </w:r>
          </w:p>
        </w:tc>
        <w:tc>
          <w:tcPr>
            <w:tcW w:w="160" w:type="dxa"/>
            <w:vAlign w:val="bottom"/>
          </w:tcPr>
          <w:p>
            <w:pPr>
              <w:spacing w:after="0"/>
              <w:rPr>
                <w:sz w:val="13"/>
                <w:szCs w:val="13"/>
                <w:color w:val="auto"/>
              </w:rPr>
            </w:pPr>
          </w:p>
        </w:tc>
        <w:tc>
          <w:tcPr>
            <w:tcW w:w="1180" w:type="dxa"/>
            <w:vAlign w:val="bottom"/>
            <w:gridSpan w:val="2"/>
          </w:tcPr>
          <w:p>
            <w:pPr>
              <w:jc w:val="right"/>
              <w:ind w:right="100"/>
              <w:spacing w:after="0"/>
              <w:rPr>
                <w:sz w:val="20"/>
                <w:szCs w:val="20"/>
                <w:color w:val="auto"/>
              </w:rPr>
            </w:pPr>
            <w:r>
              <w:rPr>
                <w:rFonts w:ascii="Arial" w:cs="Arial" w:eastAsia="Arial" w:hAnsi="Arial"/>
                <w:sz w:val="13"/>
                <w:szCs w:val="13"/>
                <w:color w:val="auto"/>
              </w:rPr>
              <w:t>45,945</w:t>
            </w:r>
          </w:p>
        </w:tc>
        <w:tc>
          <w:tcPr>
            <w:tcW w:w="1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160" w:type="dxa"/>
            <w:vAlign w:val="bottom"/>
            <w:gridSpan w:val="2"/>
          </w:tcPr>
          <w:p>
            <w:pPr>
              <w:jc w:val="right"/>
              <w:ind w:right="100"/>
              <w:spacing w:after="0"/>
              <w:rPr>
                <w:sz w:val="20"/>
                <w:szCs w:val="20"/>
                <w:color w:val="auto"/>
              </w:rPr>
            </w:pPr>
            <w:r>
              <w:rPr>
                <w:rFonts w:ascii="Arial" w:cs="Arial" w:eastAsia="Arial" w:hAnsi="Arial"/>
                <w:sz w:val="13"/>
                <w:szCs w:val="13"/>
                <w:color w:val="auto"/>
              </w:rPr>
              <w:t>58,650</w:t>
            </w:r>
          </w:p>
        </w:tc>
      </w:tr>
      <w:tr>
        <w:trPr>
          <w:trHeight w:val="156"/>
        </w:trPr>
        <w:tc>
          <w:tcPr>
            <w:tcW w:w="5540" w:type="dxa"/>
            <w:vAlign w:val="bottom"/>
            <w:shd w:val="clear" w:color="auto" w:fill="CCEEFF"/>
          </w:tcPr>
          <w:p>
            <w:pPr>
              <w:spacing w:after="0"/>
              <w:rPr>
                <w:sz w:val="20"/>
                <w:szCs w:val="20"/>
                <w:color w:val="auto"/>
              </w:rPr>
            </w:pPr>
            <w:r>
              <w:rPr>
                <w:rFonts w:ascii="Arial" w:cs="Arial" w:eastAsia="Arial" w:hAnsi="Arial"/>
                <w:sz w:val="13"/>
                <w:szCs w:val="13"/>
                <w:color w:val="auto"/>
              </w:rPr>
              <w:t>Series m-4 Preferred Stock</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4,502,061</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1,432,786</w:t>
            </w:r>
          </w:p>
        </w:tc>
        <w:tc>
          <w:tcPr>
            <w:tcW w:w="160" w:type="dxa"/>
            <w:vAlign w:val="bottom"/>
            <w:shd w:val="clear" w:color="auto" w:fill="CCEEFF"/>
          </w:tcPr>
          <w:p>
            <w:pPr>
              <w:spacing w:after="0"/>
              <w:rPr>
                <w:sz w:val="13"/>
                <w:szCs w:val="13"/>
                <w:color w:val="auto"/>
              </w:rPr>
            </w:pPr>
          </w:p>
        </w:tc>
        <w:tc>
          <w:tcPr>
            <w:tcW w:w="118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4,828,488</w:t>
            </w:r>
          </w:p>
        </w:tc>
        <w:tc>
          <w:tcPr>
            <w:tcW w:w="120" w:type="dxa"/>
            <w:vAlign w:val="bottom"/>
            <w:shd w:val="clear" w:color="auto" w:fill="CCEEFF"/>
          </w:tcPr>
          <w:p>
            <w:pPr>
              <w:spacing w:after="0"/>
              <w:rPr>
                <w:sz w:val="13"/>
                <w:szCs w:val="13"/>
                <w:color w:val="auto"/>
              </w:rPr>
            </w:pPr>
          </w:p>
        </w:tc>
        <w:tc>
          <w:tcPr>
            <w:tcW w:w="160" w:type="dxa"/>
            <w:vAlign w:val="bottom"/>
            <w:shd w:val="clear" w:color="auto" w:fill="CCEEFF"/>
          </w:tcPr>
          <w:p>
            <w:pPr>
              <w:spacing w:after="0"/>
              <w:rPr>
                <w:sz w:val="13"/>
                <w:szCs w:val="13"/>
                <w:color w:val="auto"/>
              </w:rPr>
            </w:pPr>
          </w:p>
        </w:tc>
        <w:tc>
          <w:tcPr>
            <w:tcW w:w="11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10,029,502</w:t>
            </w:r>
          </w:p>
        </w:tc>
      </w:tr>
      <w:tr>
        <w:trPr>
          <w:trHeight w:val="166"/>
        </w:trPr>
        <w:tc>
          <w:tcPr>
            <w:tcW w:w="5540" w:type="dxa"/>
            <w:vAlign w:val="bottom"/>
          </w:tcPr>
          <w:p>
            <w:pPr>
              <w:spacing w:after="0"/>
              <w:rPr>
                <w:sz w:val="20"/>
                <w:szCs w:val="20"/>
                <w:color w:val="auto"/>
              </w:rPr>
            </w:pPr>
            <w:r>
              <w:rPr>
                <w:rFonts w:ascii="Arial" w:cs="Arial" w:eastAsia="Arial" w:hAnsi="Arial"/>
                <w:sz w:val="13"/>
                <w:szCs w:val="13"/>
                <w:color w:val="auto"/>
              </w:rPr>
              <w:t>Series S Preferred Stock</w:t>
            </w:r>
          </w:p>
        </w:tc>
        <w:tc>
          <w:tcPr>
            <w:tcW w:w="1260" w:type="dxa"/>
            <w:vAlign w:val="bottom"/>
          </w:tcPr>
          <w:p>
            <w:pPr>
              <w:jc w:val="right"/>
              <w:spacing w:after="0"/>
              <w:rPr>
                <w:sz w:val="20"/>
                <w:szCs w:val="20"/>
                <w:color w:val="auto"/>
              </w:rPr>
            </w:pPr>
            <w:r>
              <w:rPr>
                <w:rFonts w:ascii="Arial" w:cs="Arial" w:eastAsia="Arial" w:hAnsi="Arial"/>
                <w:sz w:val="13"/>
                <w:szCs w:val="13"/>
                <w:color w:val="auto"/>
              </w:rPr>
              <w:t>13,108,333</w:t>
            </w:r>
          </w:p>
        </w:tc>
        <w:tc>
          <w:tcPr>
            <w:tcW w:w="220" w:type="dxa"/>
            <w:vAlign w:val="bottom"/>
          </w:tcPr>
          <w:p>
            <w:pPr>
              <w:spacing w:after="0"/>
              <w:rPr>
                <w:sz w:val="14"/>
                <w:szCs w:val="14"/>
                <w:color w:val="auto"/>
              </w:rPr>
            </w:pPr>
          </w:p>
        </w:tc>
        <w:tc>
          <w:tcPr>
            <w:tcW w:w="1260" w:type="dxa"/>
            <w:vAlign w:val="bottom"/>
          </w:tcPr>
          <w:p>
            <w:pPr>
              <w:jc w:val="right"/>
              <w:spacing w:after="0"/>
              <w:rPr>
                <w:sz w:val="20"/>
                <w:szCs w:val="20"/>
                <w:color w:val="auto"/>
              </w:rPr>
            </w:pPr>
            <w:r>
              <w:rPr>
                <w:rFonts w:ascii="Arial" w:cs="Arial" w:eastAsia="Arial" w:hAnsi="Arial"/>
                <w:sz w:val="13"/>
                <w:szCs w:val="13"/>
                <w:color w:val="auto"/>
              </w:rPr>
              <w:t>3,731,248</w:t>
            </w:r>
          </w:p>
        </w:tc>
        <w:tc>
          <w:tcPr>
            <w:tcW w:w="2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080" w:type="dxa"/>
            <w:vAlign w:val="bottom"/>
          </w:tcPr>
          <w:p>
            <w:pPr>
              <w:jc w:val="right"/>
              <w:spacing w:after="0"/>
              <w:rPr>
                <w:sz w:val="20"/>
                <w:szCs w:val="20"/>
                <w:color w:val="auto"/>
              </w:rPr>
            </w:pPr>
            <w:r>
              <w:rPr>
                <w:rFonts w:ascii="Arial" w:cs="Arial" w:eastAsia="Arial" w:hAnsi="Arial"/>
                <w:sz w:val="13"/>
                <w:szCs w:val="13"/>
                <w:color w:val="auto"/>
              </w:rPr>
              <w:t>27,134,832</w:t>
            </w: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160" w:type="dxa"/>
            <w:vAlign w:val="bottom"/>
            <w:gridSpan w:val="2"/>
          </w:tcPr>
          <w:p>
            <w:pPr>
              <w:jc w:val="right"/>
              <w:ind w:right="100"/>
              <w:spacing w:after="0"/>
              <w:rPr>
                <w:sz w:val="20"/>
                <w:szCs w:val="20"/>
                <w:color w:val="auto"/>
              </w:rPr>
            </w:pPr>
            <w:r>
              <w:rPr>
                <w:rFonts w:ascii="Arial" w:cs="Arial" w:eastAsia="Arial" w:hAnsi="Arial"/>
                <w:sz w:val="13"/>
                <w:szCs w:val="13"/>
                <w:color w:val="auto"/>
              </w:rPr>
              <w:t>30,355,986</w:t>
            </w:r>
          </w:p>
        </w:tc>
      </w:tr>
      <w:tr>
        <w:trPr>
          <w:trHeight w:val="20"/>
        </w:trPr>
        <w:tc>
          <w:tcPr>
            <w:tcW w:w="5540" w:type="dxa"/>
            <w:vAlign w:val="bottom"/>
            <w:shd w:val="clear" w:color="auto" w:fill="CCEEFF"/>
          </w:tcPr>
          <w:p>
            <w:pPr>
              <w:spacing w:after="0" w:line="20" w:lineRule="exact"/>
              <w:rPr>
                <w:sz w:val="1"/>
                <w:szCs w:val="1"/>
                <w:color w:val="auto"/>
              </w:rPr>
            </w:pPr>
          </w:p>
        </w:tc>
        <w:tc>
          <w:tcPr>
            <w:tcW w:w="1260" w:type="dxa"/>
            <w:vAlign w:val="bottom"/>
            <w:shd w:val="clear" w:color="auto" w:fill="000000"/>
          </w:tcPr>
          <w:p>
            <w:pPr>
              <w:spacing w:after="0" w:line="20" w:lineRule="exact"/>
              <w:rPr>
                <w:sz w:val="1"/>
                <w:szCs w:val="1"/>
                <w:color w:val="auto"/>
              </w:rPr>
            </w:pPr>
          </w:p>
        </w:tc>
        <w:tc>
          <w:tcPr>
            <w:tcW w:w="220" w:type="dxa"/>
            <w:vAlign w:val="bottom"/>
            <w:shd w:val="clear" w:color="auto" w:fill="CCEEFF"/>
          </w:tcPr>
          <w:p>
            <w:pPr>
              <w:spacing w:after="0" w:line="20" w:lineRule="exact"/>
              <w:rPr>
                <w:sz w:val="1"/>
                <w:szCs w:val="1"/>
                <w:color w:val="auto"/>
              </w:rPr>
            </w:pPr>
          </w:p>
        </w:tc>
        <w:tc>
          <w:tcPr>
            <w:tcW w:w="1260" w:type="dxa"/>
            <w:vAlign w:val="bottom"/>
            <w:shd w:val="clear" w:color="auto" w:fill="000000"/>
          </w:tcPr>
          <w:p>
            <w:pPr>
              <w:spacing w:after="0" w:line="20" w:lineRule="exact"/>
              <w:rPr>
                <w:sz w:val="1"/>
                <w:szCs w:val="1"/>
                <w:color w:val="auto"/>
              </w:rPr>
            </w:pPr>
          </w:p>
        </w:tc>
        <w:tc>
          <w:tcPr>
            <w:tcW w:w="220" w:type="dxa"/>
            <w:vAlign w:val="bottom"/>
            <w:shd w:val="clear" w:color="auto" w:fill="CCEEFF"/>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08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120" w:type="dxa"/>
            <w:vAlign w:val="bottom"/>
            <w:shd w:val="clear" w:color="auto" w:fill="CCEEFF"/>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06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r>
      <w:tr>
        <w:trPr>
          <w:trHeight w:val="156"/>
        </w:trPr>
        <w:tc>
          <w:tcPr>
            <w:tcW w:w="5540" w:type="dxa"/>
            <w:vAlign w:val="bottom"/>
            <w:shd w:val="clear" w:color="auto" w:fill="CCEEFF"/>
          </w:tcPr>
          <w:p>
            <w:pPr>
              <w:spacing w:after="0"/>
              <w:rPr>
                <w:sz w:val="13"/>
                <w:szCs w:val="13"/>
                <w:color w:val="auto"/>
              </w:rPr>
            </w:pPr>
          </w:p>
        </w:tc>
        <w:tc>
          <w:tcPr>
            <w:tcW w:w="12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43,405,324</w:t>
            </w:r>
          </w:p>
        </w:tc>
        <w:tc>
          <w:tcPr>
            <w:tcW w:w="220" w:type="dxa"/>
            <w:vAlign w:val="bottom"/>
            <w:shd w:val="clear" w:color="auto" w:fill="CCEEFF"/>
          </w:tcPr>
          <w:p>
            <w:pPr>
              <w:spacing w:after="0"/>
              <w:rPr>
                <w:sz w:val="13"/>
                <w:szCs w:val="13"/>
                <w:color w:val="auto"/>
              </w:rPr>
            </w:pPr>
          </w:p>
        </w:tc>
        <w:tc>
          <w:tcPr>
            <w:tcW w:w="12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25,770,360</w:t>
            </w:r>
          </w:p>
        </w:tc>
        <w:tc>
          <w:tcPr>
            <w:tcW w:w="220" w:type="dxa"/>
            <w:vAlign w:val="bottom"/>
            <w:shd w:val="clear" w:color="auto" w:fill="CCEEFF"/>
          </w:tcPr>
          <w:p>
            <w:pPr>
              <w:spacing w:after="0"/>
              <w:rPr>
                <w:sz w:val="13"/>
                <w:szCs w:val="13"/>
                <w:color w:val="auto"/>
              </w:rPr>
            </w:pPr>
          </w:p>
        </w:tc>
        <w:tc>
          <w:tcPr>
            <w:tcW w:w="160" w:type="dxa"/>
            <w:vAlign w:val="bottom"/>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64,164,173</w:t>
            </w:r>
          </w:p>
        </w:tc>
        <w:tc>
          <w:tcPr>
            <w:tcW w:w="100" w:type="dxa"/>
            <w:vAlign w:val="bottom"/>
            <w:shd w:val="clear" w:color="auto" w:fill="CCEEFF"/>
          </w:tcPr>
          <w:p>
            <w:pPr>
              <w:spacing w:after="0"/>
              <w:rPr>
                <w:sz w:val="13"/>
                <w:szCs w:val="13"/>
                <w:color w:val="auto"/>
              </w:rPr>
            </w:pPr>
          </w:p>
        </w:tc>
        <w:tc>
          <w:tcPr>
            <w:tcW w:w="280" w:type="dxa"/>
            <w:vAlign w:val="bottom"/>
            <w:gridSpan w:val="2"/>
            <w:shd w:val="clear" w:color="auto" w:fill="CCEEFF"/>
          </w:tcPr>
          <w:p>
            <w:pPr>
              <w:jc w:val="right"/>
              <w:ind w:right="51"/>
              <w:spacing w:after="0"/>
              <w:rPr>
                <w:sz w:val="20"/>
                <w:szCs w:val="20"/>
                <w:color w:val="auto"/>
              </w:rPr>
            </w:pPr>
            <w:r>
              <w:rPr>
                <w:rFonts w:ascii="Arial" w:cs="Arial" w:eastAsia="Arial" w:hAnsi="Arial"/>
                <w:sz w:val="13"/>
                <w:szCs w:val="13"/>
                <w:color w:val="auto"/>
              </w:rPr>
              <w:t>$</w:t>
            </w:r>
          </w:p>
        </w:tc>
        <w:tc>
          <w:tcPr>
            <w:tcW w:w="11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78,919,475</w:t>
            </w:r>
          </w:p>
        </w:tc>
      </w:tr>
      <w:tr>
        <w:trPr>
          <w:trHeight w:val="30"/>
        </w:trPr>
        <w:tc>
          <w:tcPr>
            <w:tcW w:w="5540" w:type="dxa"/>
            <w:vAlign w:val="bottom"/>
            <w:shd w:val="clear" w:color="auto" w:fill="CCEEFF"/>
          </w:tcPr>
          <w:p>
            <w:pPr>
              <w:spacing w:after="0"/>
              <w:rPr>
                <w:sz w:val="2"/>
                <w:szCs w:val="2"/>
                <w:color w:val="auto"/>
              </w:rPr>
            </w:pPr>
          </w:p>
        </w:tc>
        <w:tc>
          <w:tcPr>
            <w:tcW w:w="1260" w:type="dxa"/>
            <w:vAlign w:val="bottom"/>
            <w:shd w:val="clear" w:color="auto" w:fill="000000"/>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260" w:type="dxa"/>
            <w:vAlign w:val="bottom"/>
            <w:shd w:val="clear" w:color="auto" w:fill="000000"/>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60" w:type="dxa"/>
            <w:vAlign w:val="bottom"/>
            <w:shd w:val="clear" w:color="auto" w:fill="000000"/>
          </w:tcPr>
          <w:p>
            <w:pPr>
              <w:spacing w:after="0"/>
              <w:rPr>
                <w:sz w:val="2"/>
                <w:szCs w:val="2"/>
                <w:color w:val="auto"/>
              </w:rPr>
            </w:pPr>
          </w:p>
        </w:tc>
        <w:tc>
          <w:tcPr>
            <w:tcW w:w="108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60" w:type="dxa"/>
            <w:vAlign w:val="bottom"/>
            <w:shd w:val="clear" w:color="auto" w:fill="000000"/>
          </w:tcPr>
          <w:p>
            <w:pPr>
              <w:spacing w:after="0"/>
              <w:rPr>
                <w:sz w:val="2"/>
                <w:szCs w:val="2"/>
                <w:color w:val="auto"/>
              </w:rPr>
            </w:pPr>
          </w:p>
        </w:tc>
        <w:tc>
          <w:tcPr>
            <w:tcW w:w="106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r>
    </w:tbl>
    <w:p>
      <w:pPr>
        <w:spacing w:after="0" w:line="148" w:lineRule="exact"/>
        <w:rPr>
          <w:sz w:val="20"/>
          <w:szCs w:val="20"/>
          <w:color w:val="auto"/>
        </w:rPr>
      </w:pPr>
    </w:p>
    <w:p>
      <w:pPr>
        <w:ind w:left="2"/>
        <w:spacing w:after="0"/>
        <w:rPr>
          <w:sz w:val="20"/>
          <w:szCs w:val="20"/>
          <w:color w:val="auto"/>
        </w:rPr>
      </w:pPr>
      <w:r>
        <w:rPr>
          <w:rFonts w:ascii="Arial" w:cs="Arial" w:eastAsia="Arial" w:hAnsi="Arial"/>
          <w:sz w:val="13"/>
          <w:szCs w:val="13"/>
          <w:b w:val="1"/>
          <w:bCs w:val="1"/>
          <w:i w:val="1"/>
          <w:iCs w:val="1"/>
          <w:color w:val="auto"/>
        </w:rPr>
        <w:t>Conversion Rights</w:t>
      </w:r>
    </w:p>
    <w:p>
      <w:pPr>
        <w:spacing w:after="0" w:line="163" w:lineRule="exact"/>
        <w:rPr>
          <w:sz w:val="20"/>
          <w:szCs w:val="20"/>
          <w:color w:val="auto"/>
        </w:rPr>
      </w:pPr>
    </w:p>
    <w:p>
      <w:pPr>
        <w:jc w:val="both"/>
        <w:ind w:left="2"/>
        <w:spacing w:after="0" w:line="300" w:lineRule="auto"/>
        <w:rPr>
          <w:sz w:val="20"/>
          <w:szCs w:val="20"/>
          <w:color w:val="auto"/>
        </w:rPr>
      </w:pPr>
      <w:r>
        <w:rPr>
          <w:rFonts w:ascii="Arial" w:cs="Arial" w:eastAsia="Arial" w:hAnsi="Arial"/>
          <w:sz w:val="11"/>
          <w:szCs w:val="11"/>
          <w:color w:val="auto"/>
        </w:rPr>
        <w:t>Each share of Series A Preferred Stock, Series B Preferred Stock and Series m-2 Preferred Stock (collectively known as “Super Voting Preferred Stock”) is convertible at the option of the holder at any time after the date of issuance of those shares into fully paid non-assessable shares of Class B Common Stock at the then-applicable conversion rate. Each share of Series m, Series m-1, Series m-3, Series m-4 and Series S Preferred Stock (collectively known as “Ordinary Preferred Stock”) is convertible at the option of the holder at any time after the date of issuance of such shares into fully paid non-assessable shares of Class A Common Stock at the then-applicable conversion rate. Both Super Voting Preferred Stock and Ordinary Preferred Stock will be automatically converted into fully paid non-assessable shares of Class A Common Stock</w:t>
      </w:r>
    </w:p>
    <w:p>
      <w:pPr>
        <w:spacing w:after="0" w:line="1" w:lineRule="exact"/>
        <w:rPr>
          <w:sz w:val="20"/>
          <w:szCs w:val="20"/>
          <w:color w:val="auto"/>
        </w:rPr>
      </w:pPr>
    </w:p>
    <w:p>
      <w:pPr>
        <w:jc w:val="both"/>
        <w:ind w:left="2" w:hanging="2"/>
        <w:spacing w:after="0" w:line="256" w:lineRule="auto"/>
        <w:tabs>
          <w:tab w:leader="none" w:pos="158" w:val="left"/>
        </w:tabs>
        <w:numPr>
          <w:ilvl w:val="0"/>
          <w:numId w:val="39"/>
        </w:numPr>
        <w:rPr>
          <w:rFonts w:ascii="Arial" w:cs="Arial" w:eastAsia="Arial" w:hAnsi="Arial"/>
          <w:sz w:val="13"/>
          <w:szCs w:val="13"/>
          <w:color w:val="auto"/>
        </w:rPr>
      </w:pPr>
      <w:r>
        <w:rPr>
          <w:rFonts w:ascii="Arial" w:cs="Arial" w:eastAsia="Arial" w:hAnsi="Arial"/>
          <w:sz w:val="13"/>
          <w:szCs w:val="13"/>
          <w:color w:val="auto"/>
        </w:rPr>
        <w:t>immediately prior to an IPO, or (ii) upon receipt by the Company of a written request for such conversion from the holders of a majority of the preferred stock then outstanding and voting as a single class on an as-converted basis other than the Series m-4 Preferred Stock then outstanding, or (iii) with respect to the Series m-4 Preferred Stock, upon the receipt by the Company of a written request for such conversion from the holders of a majority of the Series m-4 Preferred Stock then outstanding. The stock will convert in the same manner as a voluntary conversion.</w:t>
      </w:r>
    </w:p>
    <w:p>
      <w:pPr>
        <w:spacing w:after="0" w:line="140" w:lineRule="exact"/>
        <w:rPr>
          <w:sz w:val="20"/>
          <w:szCs w:val="20"/>
          <w:color w:val="auto"/>
        </w:rPr>
      </w:pPr>
    </w:p>
    <w:p>
      <w:pPr>
        <w:jc w:val="center"/>
        <w:ind w:right="-1"/>
        <w:spacing w:after="0"/>
        <w:rPr>
          <w:sz w:val="20"/>
          <w:szCs w:val="20"/>
          <w:color w:val="auto"/>
        </w:rPr>
      </w:pPr>
      <w:r>
        <w:rPr>
          <w:rFonts w:ascii="Arial" w:cs="Arial" w:eastAsia="Arial" w:hAnsi="Arial"/>
          <w:sz w:val="13"/>
          <w:szCs w:val="13"/>
          <w:color w:val="auto"/>
        </w:rPr>
        <w:t>F-19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10160</wp:posOffset>
            </wp:positionV>
            <wp:extent cx="7170420" cy="635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3">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2"/>
          </w:cols>
          <w:pgMar w:left="298" w:top="694" w:right="319" w:bottom="1440" w:gutter="0" w:footer="0" w:header="0"/>
        </w:sectPr>
      </w:pPr>
    </w:p>
    <w:bookmarkStart w:id="81" w:name="page82"/>
    <w:bookmarkEnd w:id="81"/>
    <w:p>
      <w:pPr>
        <w:spacing w:after="0"/>
        <w:rPr>
          <w:sz w:val="20"/>
          <w:szCs w:val="20"/>
          <w:color w:val="auto"/>
        </w:rPr>
      </w:pPr>
      <w:r>
        <w:rPr>
          <w:rFonts w:ascii="Arial" w:cs="Arial" w:eastAsia="Arial" w:hAnsi="Arial"/>
          <w:sz w:val="13"/>
          <w:szCs w:val="13"/>
          <w:b w:val="1"/>
          <w:bCs w:val="1"/>
          <w:color w:val="auto"/>
        </w:rPr>
        <w:t>NOTE 4: Capital Stock and Warrants (Continue)</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Voting Rights</w:t>
      </w:r>
    </w:p>
    <w:p>
      <w:pPr>
        <w:spacing w:after="0" w:line="163"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Super Voting Preferred stockholders vote on an as converted to Class B Common Stock basis and Class B Common Stock are entitled to ten votes for each share of Class B Common Stock held. Ordinary Preferred stockholders are entitled to one vote for each share of Class A Common Stock held. Class A and Class B Common stockholders vote together as one class on all matters. The holders of the preferred stock, the Class A Common Stock and Class B Common Stock vote together and not as separate classes.</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color w:val="auto"/>
        </w:rPr>
        <w:t>Holders of Preferred Stock are entitled to vote on all matters submitted to a vote of the stockholders, including the election of directors, as a single class with the holders of common stock.</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William Santana Li, the Chief Executive Officer and sole director of the Company, holds the Voting Proxy to vote substantially all of the shares of the Company’s Series m-4 Preferred Stock, and the stock issued upon the conversion of warrants to purchase all of the</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shares of the Company’s Series m-3 Preferred Stock and upon the conversion of warrants to purchase shares of the Company’s Series S Preferred Stock, and the stock issuable upon conversion of the convertible promissory notes issued as part of the Convertible Note Financing, in each case to the extent that such shares are held by participants in the Convertible Note Financing.</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Dividends Rights</w:t>
      </w:r>
    </w:p>
    <w:p>
      <w:pPr>
        <w:spacing w:after="0" w:line="163"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In any calendar year, the holders of outstanding shares of Preferred Stock are entitled to receive dividends, when, as and if declared by the Board of Directors, out of any assets at the time legally available therefor, at the dividend rate specified for such shares of Preferred Stock payable in preference and priority to any declaration or payment of any distribution on Common Stock of the Company in such calendar year. Except the PIK dividends described below, the right to receive dividends on shares of Preferred Stock is not cumulative, and no right to dividends shall accrue to holders of Preferred Stock by reason of the fact that dividends on said shares are not declared or paid.</w:t>
      </w:r>
    </w:p>
    <w:p>
      <w:pPr>
        <w:spacing w:after="0" w:line="139"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Holders of Series m-4 Preferred Stock are entitled to receive cumulative dividends payable semi-annually in arrears with respect to each dividend period ending on and including the last calendar day of each six-month period ending March 31 and September 30, respectively at an annual rate of $0.42 per share in the form of Series m-4 Preferred Stock (“PIK Dividends).</w:t>
      </w:r>
    </w:p>
    <w:p>
      <w:pPr>
        <w:spacing w:after="0" w:line="128"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The Company has no obligation to pay any dividends other than the PIK Dividends to the holders of Series m-4 Preferred Stock, except when, as and if declared by the Board of Directors out of any assets at the time legally available therefor or as otherwise specifically provided in its amended and restated certificate of incorporation. No distribution will be made with respect to the other series of Preferred Stock or Common Stock until all declared or accrued but unpaid dividends on the Series m-4 Preferred Stock have been paid or set aside for payment to the Series m-4 Preferred Stockholders.</w:t>
      </w:r>
    </w:p>
    <w:p>
      <w:pPr>
        <w:spacing w:after="0" w:line="119"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No distributions shall be made with respect to the Series B Preferred Stock, the Series m Preferred Stock, the Series m-1 Preferred Stock, the Series m-2 Preferred Stock, Series A Preferred Stock or Series m-3 Preferred Stock unless dividends on the Series S Preferred Stock have been declared in accordance with the preferences stated in the amended and restated certificate of incorporation and all declared dividends on the Series S Preferred Stock have been paid or set aside for payment to the Series S Preferred Stockholders.</w:t>
      </w:r>
    </w:p>
    <w:p>
      <w:pPr>
        <w:spacing w:after="0" w:line="136"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No distributions shall be made with respect to the Series A Preferred Stock or Series m-3 Preferred Stock unless dividends on the Series B Preferred Stock, the Series m Preferred Stock, the Series m-1 Preferred Stock and the Series m-2 Preferred Stock have been declared in accordance with the preferences stated in the amended and restated certificate of incorporation and all declared dividends on the Series B Preferred Stock, the Series m Preferred Stock, the Series m-1 Preferred Stock and the Series m-2 Preferred Stock have been paid or set aside for payment to the Series B Preferred Stockholders, the Series m Preferred Stockholders, the Series m-1 Preferred Stockholders and the Series m-2 Preferred Stockholders, as applicable.</w:t>
      </w:r>
    </w:p>
    <w:p>
      <w:pPr>
        <w:spacing w:after="0" w:line="139"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No distributions shall be made with respect to the Series m-3 Preferred Stock unless dividends on the Series A Preferred Stock have been declared in accordance with the preferences stated in the amended and restated certificate of incorporation and all declared dividends on the Series A Preferred Stock have been paid or set aside for payment to the Series A Preferred Stockholders.</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No distributions shall be made with respect to the Common Stock unless dividends on the Series m-3 Preferred Stock have been declared in accordance with the preferences stated in the amended and restated certificate of incorporation and all declared dividends on the Series m-3 Preferred Stock have been paid or set aside for payment to the Series m-3 Preferred Stockholders.</w:t>
      </w:r>
    </w:p>
    <w:p>
      <w:pPr>
        <w:spacing w:after="0" w:line="284"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4">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82" w:name="page83"/>
    <w:bookmarkEnd w:id="82"/>
    <w:p>
      <w:pPr>
        <w:ind w:left="2"/>
        <w:spacing w:after="0"/>
        <w:rPr>
          <w:sz w:val="20"/>
          <w:szCs w:val="20"/>
          <w:color w:val="auto"/>
        </w:rPr>
      </w:pPr>
      <w:r>
        <w:rPr>
          <w:rFonts w:ascii="Arial" w:cs="Arial" w:eastAsia="Arial" w:hAnsi="Arial"/>
          <w:sz w:val="13"/>
          <w:szCs w:val="13"/>
          <w:b w:val="1"/>
          <w:bCs w:val="1"/>
          <w:color w:val="auto"/>
        </w:rPr>
        <w:t>NOTE 4: Capital Stock and Warrants (Continue)</w:t>
      </w:r>
    </w:p>
    <w:p>
      <w:pPr>
        <w:spacing w:after="0" w:line="167" w:lineRule="exact"/>
        <w:rPr>
          <w:sz w:val="20"/>
          <w:szCs w:val="20"/>
          <w:color w:val="auto"/>
        </w:rPr>
      </w:pPr>
    </w:p>
    <w:p>
      <w:pPr>
        <w:ind w:left="2"/>
        <w:spacing w:after="0"/>
        <w:rPr>
          <w:sz w:val="20"/>
          <w:szCs w:val="20"/>
          <w:color w:val="auto"/>
        </w:rPr>
      </w:pPr>
      <w:r>
        <w:rPr>
          <w:rFonts w:ascii="Arial" w:cs="Arial" w:eastAsia="Arial" w:hAnsi="Arial"/>
          <w:sz w:val="13"/>
          <w:szCs w:val="13"/>
          <w:color w:val="auto"/>
        </w:rPr>
        <w:t>The Company has never declared or paid cash dividends on any of its capital stock and currently does not anticipate paying any cash dividends after this offering or in the foreseeable future.</w:t>
      </w:r>
    </w:p>
    <w:p>
      <w:pPr>
        <w:spacing w:after="0" w:line="163" w:lineRule="exact"/>
        <w:rPr>
          <w:sz w:val="20"/>
          <w:szCs w:val="20"/>
          <w:color w:val="auto"/>
        </w:rPr>
      </w:pPr>
    </w:p>
    <w:p>
      <w:pPr>
        <w:ind w:left="2"/>
        <w:spacing w:after="0"/>
        <w:rPr>
          <w:sz w:val="20"/>
          <w:szCs w:val="20"/>
          <w:color w:val="auto"/>
        </w:rPr>
      </w:pPr>
      <w:r>
        <w:rPr>
          <w:rFonts w:ascii="Arial" w:cs="Arial" w:eastAsia="Arial" w:hAnsi="Arial"/>
          <w:sz w:val="13"/>
          <w:szCs w:val="13"/>
          <w:b w:val="1"/>
          <w:bCs w:val="1"/>
          <w:i w:val="1"/>
          <w:iCs w:val="1"/>
          <w:color w:val="auto"/>
        </w:rPr>
        <w:t>Right to receive Liquidation Distributions</w:t>
      </w:r>
    </w:p>
    <w:p>
      <w:pPr>
        <w:spacing w:after="0" w:line="163" w:lineRule="exact"/>
        <w:rPr>
          <w:sz w:val="20"/>
          <w:szCs w:val="20"/>
          <w:color w:val="auto"/>
        </w:rPr>
      </w:pPr>
    </w:p>
    <w:p>
      <w:pPr>
        <w:jc w:val="both"/>
        <w:ind w:left="2"/>
        <w:spacing w:after="0" w:line="277" w:lineRule="auto"/>
        <w:rPr>
          <w:sz w:val="20"/>
          <w:szCs w:val="20"/>
          <w:color w:val="auto"/>
        </w:rPr>
      </w:pPr>
      <w:r>
        <w:rPr>
          <w:rFonts w:ascii="Arial" w:cs="Arial" w:eastAsia="Arial" w:hAnsi="Arial"/>
          <w:sz w:val="12"/>
          <w:szCs w:val="12"/>
          <w:color w:val="auto"/>
        </w:rPr>
        <w:t>In the event of any Liquidation Event, as defined in the Company’s amended and restated certificate of incorporation (which includes the liquidation, dissolution, merger, acquisition or winding up of the Company), the holders of the Series m-4 Preferred Stock are entitled to receive, prior and in preference to any distribution of any of the assets of the Company to the holders of the other series of Preferred Stock or Common Stock by reason of their ownership of such stock, an amount per share for each share of Series m-4 Preferred Stock held by them equal to the greater of (A): the sum of (i) the Liquidation Preference specified for such share of Series m-4 Preferred Stock, and (ii) all accrued but unpaid PIK Dividends (if any) on such share of Series m-4 Preferred Stock, whether or not declared, or (B) the consideration that such Holder would receive in the Liquidation Event if all shares of Series m-4 Preferred Stock were converted to Class A Common Stock immediately prior to such Liquidation Event, or (C) such lesser amount as may be approved by the holders of the majority of the outstanding shares of Series m-4 Preferred Stock, where for purposes of (B) such Holder is deemed to hold, in addition to each of its shares of Series m-4 Preferred Stock, any additional shares of Series m-4 Preferred Stock that constitute all accrued but unpaid PIK Dividends, whether or not declared. If upon the Liquidation Event, the assets of the Company legally available for distribution to the holders of the Series m-4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m-4 Preferred Stock in proportion to the full amounts they would otherwise be entitled to receive. The Series m-4 Preferred Stock has a $7 per share liquidation preference, which is 2x its original issue price.</w:t>
      </w:r>
    </w:p>
    <w:p>
      <w:pPr>
        <w:spacing w:after="0" w:line="128" w:lineRule="exact"/>
        <w:rPr>
          <w:sz w:val="20"/>
          <w:szCs w:val="20"/>
          <w:color w:val="auto"/>
        </w:rPr>
      </w:pPr>
    </w:p>
    <w:p>
      <w:pPr>
        <w:jc w:val="both"/>
        <w:ind w:left="2"/>
        <w:spacing w:after="0" w:line="254" w:lineRule="auto"/>
        <w:rPr>
          <w:sz w:val="20"/>
          <w:szCs w:val="20"/>
          <w:color w:val="auto"/>
        </w:rPr>
      </w:pPr>
      <w:r>
        <w:rPr>
          <w:rFonts w:ascii="Arial" w:cs="Arial" w:eastAsia="Arial" w:hAnsi="Arial"/>
          <w:sz w:val="13"/>
          <w:szCs w:val="13"/>
          <w:color w:val="auto"/>
        </w:rPr>
        <w:t>The holders of the Series S Preferred Stock are entitled to receive, after distributions to Series m-4 Preferred stockholders and prior and in preference to any distribution of any of the assets of the Company to the holders of the Series A Preferred Stock, Series B Preferred Stock, Series m Preferred Stock, Series m-1 Preferred Stock, Series m-2 Preferred Stock, Series m-3 Preferred Stock or Common Stock by reason of their ownership of such stock, an amount per share for each share of Series S Preferred Stock held by them equal to the greater of (A): the sum of (i) $8.00 per share of Series S Preferred Stock, and (ii) all declared but unpaid dividends (if any) on such share of Series S Preferred Stock, or (B) the amount such Holder would receive if all shares of Series S Preferred Stock were converted to Common Stock immediately prior to such Liquidation Event, or (C) such lesser amount as may be approved by the holders of the majority of the outstanding shares of Series S Preferred Stock. If upon the Liquidation Event, the assets of the Company legally available for distribution to the holders of the Series S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S Preferred Stock in proportion to the full amounts they would otherwise be entitled to receive.</w:t>
      </w:r>
    </w:p>
    <w:p>
      <w:pPr>
        <w:spacing w:after="0" w:line="142" w:lineRule="exact"/>
        <w:rPr>
          <w:sz w:val="20"/>
          <w:szCs w:val="20"/>
          <w:color w:val="auto"/>
        </w:rPr>
      </w:pPr>
    </w:p>
    <w:p>
      <w:pPr>
        <w:jc w:val="both"/>
        <w:ind w:left="2"/>
        <w:spacing w:after="0" w:line="299" w:lineRule="auto"/>
        <w:rPr>
          <w:sz w:val="20"/>
          <w:szCs w:val="20"/>
          <w:color w:val="auto"/>
        </w:rPr>
      </w:pPr>
      <w:r>
        <w:rPr>
          <w:rFonts w:ascii="Arial" w:cs="Arial" w:eastAsia="Arial" w:hAnsi="Arial"/>
          <w:sz w:val="11"/>
          <w:szCs w:val="11"/>
          <w:color w:val="auto"/>
        </w:rPr>
        <w:t>The holders of the Series B Preferred Stock, the Series m Preferred Stock, the Series m-1 Preferred Stock and the Series m-2 Preferred Stock shall be entitled to receive, after distributions to Series m-4 and Series S Preferred stockholders and prior and in preference to any distribution of any of the assets of the Company to the holders of the Series A Preferred Stock, Series m-3 Preferred Stock or Common Stock by reason of their ownership of such stock, an amount per share for each share of Series B Preferred Stock, the Series m Preferred Stock, the Series m-1 Preferred Stock and the Series m-2 Preferred Stock held by them equal to the greater of (A): the sum of (i) $2.0401 per share of Series B Preferred Stock, $3.00 per share of Series m Preferred Stock, $3.00 per share of Series m-1 Preferred Stock or $3.00 per share of Series m-2 Preferred Stock, as applicable, and (ii) all declared but unpaid dividends (if any) on such share of Series B Preferred Stock, Series m Preferred Stock, Series m-1 Preferred Stock or Series m-2 Preferred Stock, as applicable, or</w:t>
      </w:r>
    </w:p>
    <w:p>
      <w:pPr>
        <w:spacing w:after="0" w:line="2" w:lineRule="exact"/>
        <w:rPr>
          <w:sz w:val="20"/>
          <w:szCs w:val="20"/>
          <w:color w:val="auto"/>
        </w:rPr>
      </w:pPr>
    </w:p>
    <w:p>
      <w:pPr>
        <w:jc w:val="both"/>
        <w:ind w:left="2" w:hanging="2"/>
        <w:spacing w:after="0" w:line="253" w:lineRule="auto"/>
        <w:tabs>
          <w:tab w:leader="none" w:pos="211" w:val="left"/>
        </w:tabs>
        <w:numPr>
          <w:ilvl w:val="0"/>
          <w:numId w:val="40"/>
        </w:numPr>
        <w:rPr>
          <w:rFonts w:ascii="Arial" w:cs="Arial" w:eastAsia="Arial" w:hAnsi="Arial"/>
          <w:sz w:val="13"/>
          <w:szCs w:val="13"/>
          <w:color w:val="auto"/>
        </w:rPr>
      </w:pPr>
      <w:r>
        <w:rPr>
          <w:rFonts w:ascii="Arial" w:cs="Arial" w:eastAsia="Arial" w:hAnsi="Arial"/>
          <w:sz w:val="13"/>
          <w:szCs w:val="13"/>
          <w:color w:val="auto"/>
        </w:rPr>
        <w:t>the amount such Holder would receive if all shares of the applicable series of Preferred Stock were converted to Common Stock immediately prior to such Liquidation Event, or (C) such lesser amount as may be approved by the holders of the majority of the outstanding shares of Series B Preferred Stock, Series m Preferred Stock, Series m-1 Preferred Stock and Series m-2 Preferred Stock, voting together as a single class. If upon the Liquidation Event, the assets of the Company legally available for distribution to the holders of the Series B Preferred Stock, the Series m Preferred Stock, the Series m-1 Preferred Stock and the Series m-2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B Preferred Stock, the Series m Preferred Stock, the Series m-1 Preferred Stock and the Series m-2 Preferred Stock in proportion to the full amounts they would otherwise be entitled to receive.</w:t>
      </w:r>
    </w:p>
    <w:p>
      <w:pPr>
        <w:spacing w:after="0" w:line="142" w:lineRule="exact"/>
        <w:rPr>
          <w:sz w:val="20"/>
          <w:szCs w:val="20"/>
          <w:color w:val="auto"/>
        </w:rPr>
      </w:pPr>
    </w:p>
    <w:p>
      <w:pPr>
        <w:jc w:val="both"/>
        <w:ind w:left="2"/>
        <w:spacing w:after="0" w:line="279" w:lineRule="auto"/>
        <w:rPr>
          <w:sz w:val="20"/>
          <w:szCs w:val="20"/>
          <w:color w:val="auto"/>
        </w:rPr>
      </w:pPr>
      <w:r>
        <w:rPr>
          <w:rFonts w:ascii="Arial" w:cs="Arial" w:eastAsia="Arial" w:hAnsi="Arial"/>
          <w:sz w:val="12"/>
          <w:szCs w:val="12"/>
          <w:color w:val="auto"/>
        </w:rPr>
        <w:t>The holders of Series A Preferred Stock are entitled to receive, after distributions to Series m-4, Series S, Series B, Series m, Series m-1 and Series m-2 Preferred Stock and prior and in preference to any distribution of any of the assets of the Company to the holders of Common Stock or Series m-3 Preferred Stock by reason of their ownership of such stock, an amount per share for each share of Series A Preferred Stock held by them equal to the greater of: (A) the sum of (i) $0.8932 per share of Series A Preferred Stock and (ii) all declared but unpaid dividends (if any) on such share of Series A Preferred Stock, or (B) the amount such Holder would receive if all shares of Series A Preferred Stock were converted to Common Stock immediately prior to such Liquidation Event, or (C) such lesser amount as may be approved by the holders of the majority of the outstanding shares of Series A Preferred Stock. If upon a Liquidation Event, the assets of the Company legally available for distribution to the holders of the Series A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A Preferred Stock in proportion to the full amounts they would otherwise be entitled to receive.</w:t>
      </w:r>
    </w:p>
    <w:p>
      <w:pPr>
        <w:spacing w:after="0" w:line="285" w:lineRule="exact"/>
        <w:rPr>
          <w:sz w:val="20"/>
          <w:szCs w:val="20"/>
          <w:color w:val="auto"/>
        </w:rPr>
      </w:pPr>
    </w:p>
    <w:p>
      <w:pPr>
        <w:jc w:val="center"/>
        <w:ind w:right="-1"/>
        <w:spacing w:after="0"/>
        <w:rPr>
          <w:sz w:val="20"/>
          <w:szCs w:val="20"/>
          <w:color w:val="auto"/>
        </w:rPr>
      </w:pPr>
      <w:r>
        <w:rPr>
          <w:rFonts w:ascii="Arial" w:cs="Arial" w:eastAsia="Arial" w:hAnsi="Arial"/>
          <w:sz w:val="13"/>
          <w:szCs w:val="13"/>
          <w:color w:val="auto"/>
        </w:rPr>
        <w:t>F-21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10160</wp:posOffset>
            </wp:positionV>
            <wp:extent cx="7170420" cy="635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5">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2"/>
          </w:cols>
          <w:pgMar w:left="298" w:top="694" w:right="319" w:bottom="1440" w:gutter="0" w:footer="0" w:header="0"/>
        </w:sectPr>
      </w:pPr>
    </w:p>
    <w:bookmarkStart w:id="83" w:name="page84"/>
    <w:bookmarkEnd w:id="83"/>
    <w:p>
      <w:pPr>
        <w:spacing w:after="0"/>
        <w:rPr>
          <w:sz w:val="20"/>
          <w:szCs w:val="20"/>
          <w:color w:val="auto"/>
        </w:rPr>
      </w:pPr>
      <w:r>
        <w:rPr>
          <w:rFonts w:ascii="Arial" w:cs="Arial" w:eastAsia="Arial" w:hAnsi="Arial"/>
          <w:sz w:val="13"/>
          <w:szCs w:val="13"/>
          <w:b w:val="1"/>
          <w:bCs w:val="1"/>
          <w:color w:val="auto"/>
        </w:rPr>
        <w:t>NOTE 4: Capital Stock and Warrants (Continue)</w:t>
      </w:r>
    </w:p>
    <w:p>
      <w:pPr>
        <w:spacing w:after="0" w:line="167" w:lineRule="exact"/>
        <w:rPr>
          <w:sz w:val="20"/>
          <w:szCs w:val="20"/>
          <w:color w:val="auto"/>
        </w:rPr>
      </w:pPr>
    </w:p>
    <w:p>
      <w:pPr>
        <w:jc w:val="both"/>
        <w:spacing w:after="0" w:line="279" w:lineRule="auto"/>
        <w:rPr>
          <w:sz w:val="20"/>
          <w:szCs w:val="20"/>
          <w:color w:val="auto"/>
        </w:rPr>
      </w:pPr>
      <w:r>
        <w:rPr>
          <w:rFonts w:ascii="Arial" w:cs="Arial" w:eastAsia="Arial" w:hAnsi="Arial"/>
          <w:sz w:val="12"/>
          <w:szCs w:val="12"/>
          <w:color w:val="auto"/>
        </w:rPr>
        <w:t>The holders of Series m-3 Preferred Stock are entitled to receive, after distributions to Series m-4, Series S, Series B, Series m, Series m-1 and Series m-2, and Series A Preferred Stock and prior and in preference to any distribution of any of the assets of the Company to the holders of Common Stock by reason of their ownership of such stock, an amount per share for each share of Series m-3 Preferred Stock held by them equal to the greater of (A): the sum of (i) the $3.50 per share of Series m-3 Preferred Stock and (ii) all declared but unpaid dividends (if any) on such share of Series m-3 Preferred Stock, or (B) the amount such Holder would receive if all shares of Series m-3 Preferred Stock were converted to Common Stock immediately prior to such Liquidation Event, or (C) such lesser amount as may be approved by the holders of the majority of the outstanding shares of Series m-3 Preferred Stock. If upon a Liquidation Event, the assets of the Company legally available for distribution to the holders of the Series m-3 Preferred Stock are insufficient to permit the payment to such holders of the full amounts specified in our amended and restated certificate of incorporation, then the entire assets of the Corporation legally available for distribution shall be distributed with equal priority and pro rata among the holders of the Series m-3 Preferred Stock in proportion to the full amounts they would otherwise be entitled to receive.</w:t>
      </w:r>
    </w:p>
    <w:p>
      <w:pPr>
        <w:spacing w:after="0" w:line="128"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After payment of all liquidation preferences to the holders of the Preferred Stock, as outlined below, all remaining assets of the Company legally available for distribution shall be distributed pro rata to the holders of the common stock, without any participation in such liquidation by the Preferred Stock. Our amended and restated certificate of incorporation explicitly requires that before any shares of Preferred Stock are converted into common stock, the relevant holder’s right to liquidation preference be surrendered, in order to prevent treatment of shares as both Preferred Stock and common stock for the purpose of distributions of assets upon a Liquidation Event.</w:t>
      </w:r>
    </w:p>
    <w:p>
      <w:pPr>
        <w:spacing w:after="0" w:line="139"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Preemptive Rights</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 has granted one investor in its Series m Preferred Stock financing the right to invest up to their pro rata share on a fully-diluted basis in the offerings of securities of the Company. The combined pro-rata rights of such stockholder immediately prior to the filing of the Offering Statement is less than 1% of the fully-diluted capitalization of the Company.</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u w:val="single" w:color="auto"/>
          <w:color w:val="auto"/>
        </w:rPr>
        <w:t>Common Stock</w:t>
      </w:r>
    </w:p>
    <w:p>
      <w:pPr>
        <w:spacing w:after="0" w:line="167"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Each share of Class B Common Stock is convertible into one fully paid and non-assessable share of Class A Common Stock at the option of the holder at any time. Each share of Class B Common Stock will automatically convert into one fully paid and non-assessable share of Class A Common Stock upon the sale, assignment, transfer or disposition of the share or any interest in the share.</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u w:val="single" w:color="auto"/>
          <w:color w:val="auto"/>
        </w:rPr>
        <w:t>Warrants</w:t>
      </w:r>
    </w:p>
    <w:p>
      <w:pPr>
        <w:spacing w:after="0" w:line="167" w:lineRule="exact"/>
        <w:rPr>
          <w:sz w:val="20"/>
          <w:szCs w:val="20"/>
          <w:color w:val="auto"/>
        </w:rPr>
      </w:pPr>
    </w:p>
    <w:p>
      <w:pPr>
        <w:jc w:val="both"/>
        <w:spacing w:after="0" w:line="279" w:lineRule="auto"/>
        <w:rPr>
          <w:sz w:val="20"/>
          <w:szCs w:val="20"/>
          <w:color w:val="auto"/>
        </w:rPr>
      </w:pPr>
      <w:r>
        <w:rPr>
          <w:rFonts w:ascii="Arial" w:cs="Arial" w:eastAsia="Arial" w:hAnsi="Arial"/>
          <w:sz w:val="12"/>
          <w:szCs w:val="12"/>
          <w:color w:val="auto"/>
        </w:rPr>
        <w:t>On January 16, 2018, March 16, 2018, and June 20, 2018, the Company issued warrants in connection with the Company’s Series m-3 financing to purchase an aggregate of 394,215 shares of the Company’s Series m-3 Preferred Stock. The warrants have an exercise price of $4.00 per share and expire on the earlier of: a) two years from the date of the warrant; b) the acquisition of the Company by another entity by means of any transaction or series of transactions to which the Company is a party or sale, lease or disposition of all or substantially all of the assets of the Company, or c) immediately prior to the closing of an initial public offering pursuant to an effective registration statement filed under the Securities Act covering the offering and sale of the Company’s common stock. The warrants issued qualify as liability instruments as the warrants are exercisable into Series m-3 Preferred Stock which are redeemable upon a change of control or any liquidation or winding up of the Company whether voluntary or involuntary. The warrants have been classified as a noncurrent liability on the Company's balance sheets and were recorded as a component of the issuance costs related to the Series m-3 Preferred Stock. The Series m-3 warrant is valued at market at the end of every reporting period until the warrant is exercised or expires with the change in fair value being recorded in other income/(expense) on the Company’s statements of operations.</w:t>
      </w:r>
    </w:p>
    <w:p>
      <w:pPr>
        <w:spacing w:after="0" w:line="128" w:lineRule="exact"/>
        <w:rPr>
          <w:sz w:val="20"/>
          <w:szCs w:val="20"/>
          <w:color w:val="auto"/>
        </w:rPr>
      </w:pPr>
    </w:p>
    <w:p>
      <w:pPr>
        <w:jc w:val="both"/>
        <w:spacing w:after="0" w:line="287" w:lineRule="auto"/>
        <w:rPr>
          <w:sz w:val="20"/>
          <w:szCs w:val="20"/>
          <w:color w:val="auto"/>
        </w:rPr>
      </w:pPr>
      <w:r>
        <w:rPr>
          <w:rFonts w:ascii="Arial" w:cs="Arial" w:eastAsia="Arial" w:hAnsi="Arial"/>
          <w:sz w:val="12"/>
          <w:szCs w:val="12"/>
          <w:color w:val="auto"/>
        </w:rPr>
        <w:t xml:space="preserve">In connection with the Loan Agreement entered into in May 2018 (see Note 3 – </w:t>
      </w:r>
      <w:r>
        <w:rPr>
          <w:rFonts w:ascii="Arial" w:cs="Arial" w:eastAsia="Arial" w:hAnsi="Arial"/>
          <w:sz w:val="12"/>
          <w:szCs w:val="12"/>
          <w:i w:val="1"/>
          <w:iCs w:val="1"/>
          <w:color w:val="auto"/>
        </w:rPr>
        <w:t>Debt Obligations</w:t>
      </w:r>
      <w:r>
        <w:rPr>
          <w:rFonts w:ascii="Arial" w:cs="Arial" w:eastAsia="Arial" w:hAnsi="Arial"/>
          <w:sz w:val="12"/>
          <w:szCs w:val="12"/>
          <w:color w:val="auto"/>
        </w:rPr>
        <w:t>), the Company issued a warrant to purchase 77,413 shares of Class B Common Stock. The warrant has an exercise price of $1.26 per share and expires on the earlier of ten years from the date of the warrant and is subject to automatic conversion if the fair value of the Company’s stock exceeds the exercise price as of the expiration date. The Company determined the fair value of this warrant using the Black-Scholes option pricing model. The fair-value of the Series B warrant of $79,645 was recorded as a discount to the underlying loan at the execution date of the Loan Agreement resulting in the recognition of interest expense in the amount of $35,736 during the year ended December 31, 2018.</w:t>
      </w:r>
    </w:p>
    <w:p>
      <w:pPr>
        <w:spacing w:after="0" w:line="278"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6">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84" w:name="page85"/>
    <w:bookmarkEnd w:id="84"/>
    <w:p>
      <w:pPr>
        <w:spacing w:after="0"/>
        <w:rPr>
          <w:sz w:val="20"/>
          <w:szCs w:val="20"/>
          <w:color w:val="auto"/>
        </w:rPr>
      </w:pPr>
      <w:r>
        <w:rPr>
          <w:rFonts w:ascii="Arial" w:cs="Arial" w:eastAsia="Arial" w:hAnsi="Arial"/>
          <w:sz w:val="13"/>
          <w:szCs w:val="13"/>
          <w:b w:val="1"/>
          <w:bCs w:val="1"/>
          <w:color w:val="auto"/>
        </w:rPr>
        <w:t>NOTE 4: Capital Stock and Warrants (Continue)</w:t>
      </w:r>
    </w:p>
    <w:p>
      <w:pPr>
        <w:spacing w:after="0" w:line="167" w:lineRule="exact"/>
        <w:rPr>
          <w:sz w:val="20"/>
          <w:szCs w:val="20"/>
          <w:color w:val="auto"/>
        </w:rPr>
      </w:pPr>
    </w:p>
    <w:p>
      <w:pPr>
        <w:jc w:val="both"/>
        <w:spacing w:after="0" w:line="277" w:lineRule="auto"/>
        <w:rPr>
          <w:sz w:val="20"/>
          <w:szCs w:val="20"/>
          <w:color w:val="auto"/>
        </w:rPr>
      </w:pPr>
      <w:r>
        <w:rPr>
          <w:rFonts w:ascii="Arial" w:cs="Arial" w:eastAsia="Arial" w:hAnsi="Arial"/>
          <w:sz w:val="12"/>
          <w:szCs w:val="12"/>
          <w:color w:val="auto"/>
        </w:rPr>
        <w:t>On April 30, 2019 the Company signed a Note and Warrant Purchase Agreement under the form of which the Company can issue up to $15,000,000 of convertible promissory notes and warrants to purchase up to 3,000,000 shares of Series S Preferred Stock (20% warrant coverage) (the “Convertible Note Financing”). Pursuant to the terms of the Convertible Note Financing, the Company became obligated to exchange its outstanding shares of Series m-3 Preferred Stock for the newly authorized shares of Series m-4 Preferred stock upon the closing of at least $1,000,000 in aggregate principal amount of convertible promissory notes under the Convertible Note Financing. Warrants to purchase shares of Series S Preferred Stock of the Company were also issued to investors who invested in the Convertible Note Financing. The warrants to purchase shares of Series S Preferred Stock have an exercise price of $4.50 per share and expire on the earlier of December 31, 2021 or 18 months after the closing of the Company’s first firm commitment underwritten initial public offering of the Company’s common stock pursuant to a registration statement filed under the Securities Act. As of December 31, 2020, the Company had issued and accrued warrants to purchase up to 1,025,714 shares of Series S Preferred Stock. These warrants issued qualify as liability instruments as the warrants are exercisable into Series S Preferred Stock which are redeemable upon a change of control or any liquidation or winding up of the Company whether voluntary or involuntary. The warrants have been classified as a noncurrent liability on the Company's balance sheets and were recorded as a component of the issuance costs related to Convertible Note. The Series S warrant is valued at market at the end of every reporting period until the warrant is exercised or expires with the change in fair value being recorded in other income/(expense) on the Company’s statements of operations.</w:t>
      </w:r>
    </w:p>
    <w:p>
      <w:pPr>
        <w:spacing w:after="0" w:line="128" w:lineRule="exact"/>
        <w:rPr>
          <w:sz w:val="20"/>
          <w:szCs w:val="20"/>
          <w:color w:val="auto"/>
        </w:rPr>
      </w:pPr>
    </w:p>
    <w:p>
      <w:pPr>
        <w:jc w:val="both"/>
        <w:spacing w:after="0" w:line="317" w:lineRule="auto"/>
        <w:rPr>
          <w:sz w:val="20"/>
          <w:szCs w:val="20"/>
          <w:color w:val="auto"/>
        </w:rPr>
      </w:pPr>
      <w:r>
        <w:rPr>
          <w:rFonts w:ascii="Arial" w:cs="Arial" w:eastAsia="Arial" w:hAnsi="Arial"/>
          <w:sz w:val="12"/>
          <w:szCs w:val="12"/>
          <w:color w:val="auto"/>
        </w:rPr>
        <w:t>Pursuant to the terms of the Convertible Note Financing, the Company became obligated to exchange certain of its outstanding shares of Series m-3 Preferred Stock for the newly authorized shares of Series m-4 Preferred Stock. On June 10, 2019, the Company issued 1,432,786 shares of its Series m-4 Preferred Stock in exchange for 1,432,786 shares of its shares of Series m-3 Preferred Stock.</w:t>
      </w:r>
    </w:p>
    <w:p>
      <w:pPr>
        <w:spacing w:after="0" w:line="105"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On July 23, 2019, the Company issued a warrant to purchase 1,500,000 shares of its Series S Preferred Stock, par value $0.001 per share (the “Warrant”), to Proud Productions LLC (“Proud”) pursuant to the terms of a Distribution Assignment and Warrant Purchase Agreement, dated as of July 22, 2019 (the “Purchase Agreement”). The Warrant is exercisable at $8.00 per share beginning July 24, 2021 and expiring on July 31, 2024. The Warrant was issued in connection with an upcoming television series to be produced by Proud featuring the Company’s products (the “Series”). Discussions have also involved other potential revenue streams and opportunities relating to the Series.</w:t>
      </w:r>
    </w:p>
    <w:p>
      <w:pPr>
        <w:spacing w:after="0" w:line="139" w:lineRule="exact"/>
        <w:rPr>
          <w:sz w:val="20"/>
          <w:szCs w:val="20"/>
          <w:color w:val="auto"/>
        </w:rPr>
      </w:pPr>
    </w:p>
    <w:p>
      <w:pPr>
        <w:spacing w:after="0"/>
        <w:rPr>
          <w:sz w:val="20"/>
          <w:szCs w:val="20"/>
          <w:color w:val="auto"/>
        </w:rPr>
      </w:pPr>
      <w:r>
        <w:rPr>
          <w:rFonts w:ascii="Arial" w:cs="Arial" w:eastAsia="Arial" w:hAnsi="Arial"/>
          <w:sz w:val="13"/>
          <w:szCs w:val="13"/>
          <w:color w:val="auto"/>
        </w:rPr>
        <w:t>A summary of the Company’s outstanding warrants as of December 31, 2020 is as follows:</w:t>
      </w:r>
    </w:p>
    <w:p>
      <w:pPr>
        <w:spacing w:after="0" w:line="173" w:lineRule="exact"/>
        <w:rPr>
          <w:sz w:val="20"/>
          <w:szCs w:val="20"/>
          <w:color w:val="auto"/>
        </w:rPr>
      </w:pPr>
    </w:p>
    <w:tbl>
      <w:tblPr>
        <w:tblLayout w:type="fixed"/>
        <w:tblInd w:w="0" w:type="dxa"/>
        <w:tblCellMar>
          <w:top w:w="0" w:type="dxa"/>
          <w:left w:w="0" w:type="dxa"/>
          <w:bottom w:w="0" w:type="dxa"/>
          <w:right w:w="0" w:type="dxa"/>
        </w:tblCellMar>
      </w:tblPr>
      <w:tr>
        <w:trPr>
          <w:trHeight w:val="165"/>
        </w:trPr>
        <w:tc>
          <w:tcPr>
            <w:tcW w:w="2820" w:type="dxa"/>
            <w:vAlign w:val="bottom"/>
          </w:tcPr>
          <w:p>
            <w:pPr>
              <w:spacing w:after="0"/>
              <w:rPr>
                <w:sz w:val="20"/>
                <w:szCs w:val="20"/>
                <w:color w:val="auto"/>
              </w:rPr>
            </w:pPr>
            <w:r>
              <w:rPr>
                <w:rFonts w:ascii="Arial" w:cs="Arial" w:eastAsia="Arial" w:hAnsi="Arial"/>
                <w:sz w:val="13"/>
                <w:szCs w:val="13"/>
                <w:color w:val="auto"/>
              </w:rPr>
              <w:t>Number of warrants</w:t>
            </w:r>
          </w:p>
        </w:tc>
        <w:tc>
          <w:tcPr>
            <w:tcW w:w="120" w:type="dxa"/>
            <w:vAlign w:val="bottom"/>
          </w:tcPr>
          <w:p>
            <w:pPr>
              <w:spacing w:after="0"/>
              <w:rPr>
                <w:sz w:val="14"/>
                <w:szCs w:val="14"/>
                <w:color w:val="auto"/>
              </w:rPr>
            </w:pPr>
          </w:p>
        </w:tc>
        <w:tc>
          <w:tcPr>
            <w:tcW w:w="2840" w:type="dxa"/>
            <w:vAlign w:val="bottom"/>
            <w:gridSpan w:val="2"/>
          </w:tcPr>
          <w:p>
            <w:pPr>
              <w:ind w:left="960"/>
              <w:spacing w:after="0"/>
              <w:rPr>
                <w:sz w:val="20"/>
                <w:szCs w:val="20"/>
                <w:color w:val="auto"/>
              </w:rPr>
            </w:pPr>
            <w:r>
              <w:rPr>
                <w:rFonts w:ascii="Arial" w:cs="Arial" w:eastAsia="Arial" w:hAnsi="Arial"/>
                <w:sz w:val="13"/>
                <w:szCs w:val="13"/>
                <w:color w:val="auto"/>
              </w:rPr>
              <w:t>Class of shares</w:t>
            </w:r>
          </w:p>
        </w:tc>
        <w:tc>
          <w:tcPr>
            <w:tcW w:w="1940" w:type="dxa"/>
            <w:vAlign w:val="bottom"/>
          </w:tcPr>
          <w:p>
            <w:pPr>
              <w:jc w:val="right"/>
              <w:ind w:right="229"/>
              <w:spacing w:after="0"/>
              <w:rPr>
                <w:sz w:val="20"/>
                <w:szCs w:val="20"/>
                <w:color w:val="auto"/>
              </w:rPr>
            </w:pPr>
            <w:r>
              <w:rPr>
                <w:rFonts w:ascii="Arial" w:cs="Arial" w:eastAsia="Arial" w:hAnsi="Arial"/>
                <w:sz w:val="13"/>
                <w:szCs w:val="13"/>
                <w:color w:val="auto"/>
              </w:rPr>
              <w:t>Exercise price</w:t>
            </w:r>
          </w:p>
        </w:tc>
        <w:tc>
          <w:tcPr>
            <w:tcW w:w="6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2700" w:type="dxa"/>
            <w:vAlign w:val="bottom"/>
          </w:tcPr>
          <w:p>
            <w:pPr>
              <w:ind w:left="960"/>
              <w:spacing w:after="0"/>
              <w:rPr>
                <w:sz w:val="20"/>
                <w:szCs w:val="20"/>
                <w:color w:val="auto"/>
              </w:rPr>
            </w:pPr>
            <w:r>
              <w:rPr>
                <w:rFonts w:ascii="Arial" w:cs="Arial" w:eastAsia="Arial" w:hAnsi="Arial"/>
                <w:sz w:val="13"/>
                <w:szCs w:val="13"/>
                <w:color w:val="auto"/>
              </w:rPr>
              <w:t>Expiration date</w:t>
            </w:r>
          </w:p>
        </w:tc>
      </w:tr>
      <w:tr>
        <w:trPr>
          <w:trHeight w:val="147"/>
        </w:trPr>
        <w:tc>
          <w:tcPr>
            <w:tcW w:w="2820" w:type="dxa"/>
            <w:vAlign w:val="bottom"/>
            <w:tcBorders>
              <w:top w:val="single" w:sz="8" w:color="auto"/>
            </w:tcBorders>
            <w:shd w:val="clear" w:color="auto" w:fill="CCEEFF"/>
          </w:tcPr>
          <w:p>
            <w:pPr>
              <w:spacing w:after="0" w:line="147" w:lineRule="exact"/>
              <w:rPr>
                <w:sz w:val="20"/>
                <w:szCs w:val="20"/>
                <w:color w:val="auto"/>
              </w:rPr>
            </w:pPr>
            <w:r>
              <w:rPr>
                <w:rFonts w:ascii="Arial" w:cs="Arial" w:eastAsia="Arial" w:hAnsi="Arial"/>
                <w:sz w:val="13"/>
                <w:szCs w:val="13"/>
                <w:color w:val="auto"/>
              </w:rPr>
              <w:t>44,500</w:t>
            </w:r>
          </w:p>
        </w:tc>
        <w:tc>
          <w:tcPr>
            <w:tcW w:w="120" w:type="dxa"/>
            <w:vAlign w:val="bottom"/>
            <w:tcBorders>
              <w:top w:val="single" w:sz="8" w:color="CCEEFF"/>
            </w:tcBorders>
            <w:shd w:val="clear" w:color="auto" w:fill="CCEEFF"/>
          </w:tcPr>
          <w:p>
            <w:pPr>
              <w:spacing w:after="0"/>
              <w:rPr>
                <w:sz w:val="12"/>
                <w:szCs w:val="12"/>
                <w:color w:val="auto"/>
              </w:rPr>
            </w:pPr>
          </w:p>
        </w:tc>
        <w:tc>
          <w:tcPr>
            <w:tcW w:w="2720" w:type="dxa"/>
            <w:vAlign w:val="bottom"/>
            <w:tcBorders>
              <w:top w:val="single" w:sz="8" w:color="auto"/>
            </w:tcBorders>
            <w:shd w:val="clear" w:color="auto" w:fill="CCEEFF"/>
          </w:tcPr>
          <w:p>
            <w:pPr>
              <w:spacing w:after="0" w:line="147" w:lineRule="exact"/>
              <w:rPr>
                <w:sz w:val="20"/>
                <w:szCs w:val="20"/>
                <w:color w:val="auto"/>
              </w:rPr>
            </w:pPr>
            <w:r>
              <w:rPr>
                <w:rFonts w:ascii="Arial" w:cs="Arial" w:eastAsia="Arial" w:hAnsi="Arial"/>
                <w:sz w:val="13"/>
                <w:szCs w:val="13"/>
                <w:color w:val="auto"/>
              </w:rPr>
              <w:t>Common B</w:t>
            </w:r>
          </w:p>
        </w:tc>
        <w:tc>
          <w:tcPr>
            <w:tcW w:w="120" w:type="dxa"/>
            <w:vAlign w:val="bottom"/>
            <w:tcBorders>
              <w:top w:val="single" w:sz="8" w:color="CCEEFF"/>
            </w:tcBorders>
            <w:shd w:val="clear" w:color="auto" w:fill="CCEEFF"/>
          </w:tcPr>
          <w:p>
            <w:pPr>
              <w:spacing w:after="0"/>
              <w:rPr>
                <w:sz w:val="12"/>
                <w:szCs w:val="12"/>
                <w:color w:val="auto"/>
              </w:rPr>
            </w:pPr>
          </w:p>
        </w:tc>
        <w:tc>
          <w:tcPr>
            <w:tcW w:w="1940" w:type="dxa"/>
            <w:vAlign w:val="bottom"/>
            <w:tcBorders>
              <w:top w:val="single" w:sz="8" w:color="auto"/>
            </w:tcBorders>
            <w:shd w:val="clear" w:color="auto" w:fill="CCEEFF"/>
          </w:tcPr>
          <w:p>
            <w:pPr>
              <w:jc w:val="right"/>
              <w:ind w:right="1829"/>
              <w:spacing w:after="0"/>
              <w:rPr>
                <w:sz w:val="20"/>
                <w:szCs w:val="20"/>
                <w:color w:val="auto"/>
              </w:rPr>
            </w:pPr>
            <w:r>
              <w:rPr>
                <w:rFonts w:ascii="Arial" w:cs="Arial" w:eastAsia="Arial" w:hAnsi="Arial"/>
                <w:sz w:val="10"/>
                <w:szCs w:val="10"/>
                <w:color w:val="auto"/>
                <w:w w:val="71"/>
              </w:rPr>
              <w:t>$</w:t>
            </w:r>
          </w:p>
        </w:tc>
        <w:tc>
          <w:tcPr>
            <w:tcW w:w="640" w:type="dxa"/>
            <w:vAlign w:val="bottom"/>
            <w:tcBorders>
              <w:top w:val="single" w:sz="8" w:color="auto"/>
            </w:tcBorders>
            <w:shd w:val="clear" w:color="auto" w:fill="CCEEFF"/>
          </w:tcPr>
          <w:p>
            <w:pPr>
              <w:ind w:left="280"/>
              <w:spacing w:after="0" w:line="147" w:lineRule="exact"/>
              <w:rPr>
                <w:sz w:val="20"/>
                <w:szCs w:val="20"/>
                <w:color w:val="auto"/>
              </w:rPr>
            </w:pPr>
            <w:r>
              <w:rPr>
                <w:rFonts w:ascii="Arial" w:cs="Arial" w:eastAsia="Arial" w:hAnsi="Arial"/>
                <w:sz w:val="13"/>
                <w:szCs w:val="13"/>
                <w:color w:val="auto"/>
                <w:w w:val="85"/>
              </w:rPr>
              <w:t>0.2500</w:t>
            </w:r>
          </w:p>
        </w:tc>
        <w:tc>
          <w:tcPr>
            <w:tcW w:w="220" w:type="dxa"/>
            <w:vAlign w:val="bottom"/>
            <w:tcBorders>
              <w:top w:val="single" w:sz="8" w:color="CCEEFF"/>
            </w:tcBorders>
            <w:shd w:val="clear" w:color="auto" w:fill="CCEEFF"/>
          </w:tcPr>
          <w:p>
            <w:pPr>
              <w:spacing w:after="0"/>
              <w:rPr>
                <w:sz w:val="12"/>
                <w:szCs w:val="12"/>
                <w:color w:val="auto"/>
              </w:rPr>
            </w:pPr>
          </w:p>
        </w:tc>
        <w:tc>
          <w:tcPr>
            <w:tcW w:w="2700" w:type="dxa"/>
            <w:vAlign w:val="bottom"/>
            <w:tcBorders>
              <w:top w:val="single" w:sz="8" w:color="auto"/>
            </w:tcBorders>
            <w:shd w:val="clear" w:color="auto" w:fill="CCEEFF"/>
          </w:tcPr>
          <w:p>
            <w:pPr>
              <w:spacing w:after="0" w:line="147" w:lineRule="exact"/>
              <w:rPr>
                <w:sz w:val="20"/>
                <w:szCs w:val="20"/>
                <w:color w:val="auto"/>
              </w:rPr>
            </w:pPr>
            <w:r>
              <w:rPr>
                <w:rFonts w:ascii="Arial" w:cs="Arial" w:eastAsia="Arial" w:hAnsi="Arial"/>
                <w:sz w:val="13"/>
                <w:szCs w:val="13"/>
                <w:color w:val="auto"/>
              </w:rPr>
              <w:t>April 10, 2025</w:t>
            </w:r>
          </w:p>
        </w:tc>
      </w:tr>
      <w:tr>
        <w:trPr>
          <w:trHeight w:val="156"/>
        </w:trPr>
        <w:tc>
          <w:tcPr>
            <w:tcW w:w="2820" w:type="dxa"/>
            <w:vAlign w:val="bottom"/>
          </w:tcPr>
          <w:p>
            <w:pPr>
              <w:spacing w:after="0"/>
              <w:rPr>
                <w:sz w:val="20"/>
                <w:szCs w:val="20"/>
                <w:color w:val="auto"/>
              </w:rPr>
            </w:pPr>
            <w:r>
              <w:rPr>
                <w:rFonts w:ascii="Arial" w:cs="Arial" w:eastAsia="Arial" w:hAnsi="Arial"/>
                <w:sz w:val="13"/>
                <w:szCs w:val="13"/>
                <w:color w:val="auto"/>
              </w:rPr>
              <w:t>77,413</w:t>
            </w:r>
          </w:p>
        </w:tc>
        <w:tc>
          <w:tcPr>
            <w:tcW w:w="2960" w:type="dxa"/>
            <w:vAlign w:val="bottom"/>
            <w:gridSpan w:val="3"/>
          </w:tcPr>
          <w:p>
            <w:pPr>
              <w:ind w:left="120"/>
              <w:spacing w:after="0"/>
              <w:rPr>
                <w:sz w:val="20"/>
                <w:szCs w:val="20"/>
                <w:color w:val="auto"/>
              </w:rPr>
            </w:pPr>
            <w:r>
              <w:rPr>
                <w:rFonts w:ascii="Arial" w:cs="Arial" w:eastAsia="Arial" w:hAnsi="Arial"/>
                <w:sz w:val="13"/>
                <w:szCs w:val="13"/>
                <w:color w:val="auto"/>
              </w:rPr>
              <w:t>Common B</w:t>
            </w:r>
          </w:p>
        </w:tc>
        <w:tc>
          <w:tcPr>
            <w:tcW w:w="1940" w:type="dxa"/>
            <w:vAlign w:val="bottom"/>
          </w:tcPr>
          <w:p>
            <w:pPr>
              <w:jc w:val="right"/>
              <w:ind w:right="1829"/>
              <w:spacing w:after="0"/>
              <w:rPr>
                <w:sz w:val="20"/>
                <w:szCs w:val="20"/>
                <w:color w:val="auto"/>
              </w:rPr>
            </w:pPr>
            <w:r>
              <w:rPr>
                <w:rFonts w:ascii="Arial" w:cs="Arial" w:eastAsia="Arial" w:hAnsi="Arial"/>
                <w:sz w:val="10"/>
                <w:szCs w:val="10"/>
                <w:color w:val="auto"/>
                <w:w w:val="71"/>
              </w:rPr>
              <w:t>$</w:t>
            </w:r>
          </w:p>
        </w:tc>
        <w:tc>
          <w:tcPr>
            <w:tcW w:w="860" w:type="dxa"/>
            <w:vAlign w:val="bottom"/>
            <w:gridSpan w:val="2"/>
          </w:tcPr>
          <w:p>
            <w:pPr>
              <w:ind w:left="280"/>
              <w:spacing w:after="0"/>
              <w:rPr>
                <w:sz w:val="20"/>
                <w:szCs w:val="20"/>
                <w:color w:val="auto"/>
              </w:rPr>
            </w:pPr>
            <w:r>
              <w:rPr>
                <w:rFonts w:ascii="Arial" w:cs="Arial" w:eastAsia="Arial" w:hAnsi="Arial"/>
                <w:sz w:val="13"/>
                <w:szCs w:val="13"/>
                <w:color w:val="auto"/>
              </w:rPr>
              <w:t>1.2600</w:t>
            </w:r>
          </w:p>
        </w:tc>
        <w:tc>
          <w:tcPr>
            <w:tcW w:w="2700" w:type="dxa"/>
            <w:vAlign w:val="bottom"/>
          </w:tcPr>
          <w:p>
            <w:pPr>
              <w:spacing w:after="0"/>
              <w:rPr>
                <w:sz w:val="20"/>
                <w:szCs w:val="20"/>
                <w:color w:val="auto"/>
              </w:rPr>
            </w:pPr>
            <w:r>
              <w:rPr>
                <w:rFonts w:ascii="Arial" w:cs="Arial" w:eastAsia="Arial" w:hAnsi="Arial"/>
                <w:sz w:val="13"/>
                <w:szCs w:val="13"/>
                <w:color w:val="auto"/>
              </w:rPr>
              <w:t>May 23, 2028</w:t>
            </w:r>
          </w:p>
        </w:tc>
      </w:tr>
      <w:tr>
        <w:trPr>
          <w:trHeight w:val="156"/>
        </w:trPr>
        <w:tc>
          <w:tcPr>
            <w:tcW w:w="2820" w:type="dxa"/>
            <w:vAlign w:val="bottom"/>
            <w:shd w:val="clear" w:color="auto" w:fill="CCEEFF"/>
          </w:tcPr>
          <w:p>
            <w:pPr>
              <w:spacing w:after="0"/>
              <w:rPr>
                <w:sz w:val="20"/>
                <w:szCs w:val="20"/>
                <w:color w:val="auto"/>
              </w:rPr>
            </w:pPr>
            <w:r>
              <w:rPr>
                <w:rFonts w:ascii="Arial" w:cs="Arial" w:eastAsia="Arial" w:hAnsi="Arial"/>
                <w:sz w:val="13"/>
                <w:szCs w:val="13"/>
                <w:color w:val="auto"/>
              </w:rPr>
              <w:t>53,918</w:t>
            </w:r>
          </w:p>
        </w:tc>
        <w:tc>
          <w:tcPr>
            <w:tcW w:w="2960" w:type="dxa"/>
            <w:vAlign w:val="bottom"/>
            <w:gridSpan w:val="3"/>
            <w:shd w:val="clear" w:color="auto" w:fill="CCEEFF"/>
          </w:tcPr>
          <w:p>
            <w:pPr>
              <w:ind w:left="120"/>
              <w:spacing w:after="0"/>
              <w:rPr>
                <w:sz w:val="20"/>
                <w:szCs w:val="20"/>
                <w:color w:val="auto"/>
              </w:rPr>
            </w:pPr>
            <w:r>
              <w:rPr>
                <w:rFonts w:ascii="Arial" w:cs="Arial" w:eastAsia="Arial" w:hAnsi="Arial"/>
                <w:sz w:val="13"/>
                <w:szCs w:val="13"/>
                <w:color w:val="auto"/>
              </w:rPr>
              <w:t>Series B Preferred Stock</w:t>
            </w:r>
          </w:p>
        </w:tc>
        <w:tc>
          <w:tcPr>
            <w:tcW w:w="1940" w:type="dxa"/>
            <w:vAlign w:val="bottom"/>
            <w:shd w:val="clear" w:color="auto" w:fill="CCEEFF"/>
          </w:tcPr>
          <w:p>
            <w:pPr>
              <w:jc w:val="right"/>
              <w:ind w:right="1829"/>
              <w:spacing w:after="0"/>
              <w:rPr>
                <w:sz w:val="20"/>
                <w:szCs w:val="20"/>
                <w:color w:val="auto"/>
              </w:rPr>
            </w:pPr>
            <w:r>
              <w:rPr>
                <w:rFonts w:ascii="Arial" w:cs="Arial" w:eastAsia="Arial" w:hAnsi="Arial"/>
                <w:sz w:val="10"/>
                <w:szCs w:val="10"/>
                <w:color w:val="auto"/>
                <w:w w:val="71"/>
              </w:rPr>
              <w:t>$</w:t>
            </w:r>
          </w:p>
        </w:tc>
        <w:tc>
          <w:tcPr>
            <w:tcW w:w="860" w:type="dxa"/>
            <w:vAlign w:val="bottom"/>
            <w:gridSpan w:val="2"/>
            <w:shd w:val="clear" w:color="auto" w:fill="CCEEFF"/>
          </w:tcPr>
          <w:p>
            <w:pPr>
              <w:ind w:left="280"/>
              <w:spacing w:after="0"/>
              <w:rPr>
                <w:sz w:val="20"/>
                <w:szCs w:val="20"/>
                <w:color w:val="auto"/>
              </w:rPr>
            </w:pPr>
            <w:r>
              <w:rPr>
                <w:rFonts w:ascii="Arial" w:cs="Arial" w:eastAsia="Arial" w:hAnsi="Arial"/>
                <w:sz w:val="13"/>
                <w:szCs w:val="13"/>
                <w:color w:val="auto"/>
              </w:rPr>
              <w:t>2.0401</w:t>
            </w:r>
          </w:p>
        </w:tc>
        <w:tc>
          <w:tcPr>
            <w:tcW w:w="2700" w:type="dxa"/>
            <w:vAlign w:val="bottom"/>
            <w:shd w:val="clear" w:color="auto" w:fill="CCEEFF"/>
          </w:tcPr>
          <w:p>
            <w:pPr>
              <w:spacing w:after="0"/>
              <w:rPr>
                <w:sz w:val="20"/>
                <w:szCs w:val="20"/>
                <w:color w:val="auto"/>
              </w:rPr>
            </w:pPr>
            <w:r>
              <w:rPr>
                <w:rFonts w:ascii="Arial" w:cs="Arial" w:eastAsia="Arial" w:hAnsi="Arial"/>
                <w:sz w:val="13"/>
                <w:szCs w:val="13"/>
                <w:color w:val="auto"/>
              </w:rPr>
              <w:t>November 7, 2026</w:t>
            </w:r>
          </w:p>
        </w:tc>
      </w:tr>
      <w:tr>
        <w:trPr>
          <w:trHeight w:val="156"/>
        </w:trPr>
        <w:tc>
          <w:tcPr>
            <w:tcW w:w="2820" w:type="dxa"/>
            <w:vAlign w:val="bottom"/>
          </w:tcPr>
          <w:p>
            <w:pPr>
              <w:spacing w:after="0"/>
              <w:rPr>
                <w:sz w:val="20"/>
                <w:szCs w:val="20"/>
                <w:color w:val="auto"/>
              </w:rPr>
            </w:pPr>
            <w:r>
              <w:rPr>
                <w:rFonts w:ascii="Arial" w:cs="Arial" w:eastAsia="Arial" w:hAnsi="Arial"/>
                <w:sz w:val="13"/>
                <w:szCs w:val="13"/>
                <w:color w:val="auto"/>
              </w:rPr>
              <w:t>266,961</w:t>
            </w:r>
          </w:p>
        </w:tc>
        <w:tc>
          <w:tcPr>
            <w:tcW w:w="2960" w:type="dxa"/>
            <w:vAlign w:val="bottom"/>
            <w:gridSpan w:val="3"/>
          </w:tcPr>
          <w:p>
            <w:pPr>
              <w:ind w:left="120"/>
              <w:spacing w:after="0"/>
              <w:rPr>
                <w:sz w:val="20"/>
                <w:szCs w:val="20"/>
                <w:color w:val="auto"/>
              </w:rPr>
            </w:pPr>
            <w:r>
              <w:rPr>
                <w:rFonts w:ascii="Arial" w:cs="Arial" w:eastAsia="Arial" w:hAnsi="Arial"/>
                <w:sz w:val="13"/>
                <w:szCs w:val="13"/>
                <w:color w:val="auto"/>
              </w:rPr>
              <w:t>Series m-1Preferred Stock</w:t>
            </w:r>
          </w:p>
        </w:tc>
        <w:tc>
          <w:tcPr>
            <w:tcW w:w="1940" w:type="dxa"/>
            <w:vAlign w:val="bottom"/>
          </w:tcPr>
          <w:p>
            <w:pPr>
              <w:jc w:val="right"/>
              <w:ind w:right="1829"/>
              <w:spacing w:after="0"/>
              <w:rPr>
                <w:sz w:val="20"/>
                <w:szCs w:val="20"/>
                <w:color w:val="auto"/>
              </w:rPr>
            </w:pPr>
            <w:r>
              <w:rPr>
                <w:rFonts w:ascii="Arial" w:cs="Arial" w:eastAsia="Arial" w:hAnsi="Arial"/>
                <w:sz w:val="10"/>
                <w:szCs w:val="10"/>
                <w:color w:val="auto"/>
                <w:w w:val="71"/>
              </w:rPr>
              <w:t>$</w:t>
            </w:r>
          </w:p>
        </w:tc>
        <w:tc>
          <w:tcPr>
            <w:tcW w:w="860" w:type="dxa"/>
            <w:vAlign w:val="bottom"/>
            <w:gridSpan w:val="2"/>
          </w:tcPr>
          <w:p>
            <w:pPr>
              <w:ind w:left="280"/>
              <w:spacing w:after="0"/>
              <w:rPr>
                <w:sz w:val="20"/>
                <w:szCs w:val="20"/>
                <w:color w:val="auto"/>
              </w:rPr>
            </w:pPr>
            <w:r>
              <w:rPr>
                <w:rFonts w:ascii="Arial" w:cs="Arial" w:eastAsia="Arial" w:hAnsi="Arial"/>
                <w:sz w:val="13"/>
                <w:szCs w:val="13"/>
                <w:color w:val="auto"/>
              </w:rPr>
              <w:t>3.0000</w:t>
            </w:r>
          </w:p>
        </w:tc>
        <w:tc>
          <w:tcPr>
            <w:tcW w:w="2700" w:type="dxa"/>
            <w:vAlign w:val="bottom"/>
          </w:tcPr>
          <w:p>
            <w:pPr>
              <w:spacing w:after="0"/>
              <w:rPr>
                <w:sz w:val="20"/>
                <w:szCs w:val="20"/>
                <w:color w:val="auto"/>
              </w:rPr>
            </w:pPr>
            <w:r>
              <w:rPr>
                <w:rFonts w:ascii="Arial" w:cs="Arial" w:eastAsia="Arial" w:hAnsi="Arial"/>
                <w:sz w:val="13"/>
                <w:szCs w:val="13"/>
                <w:color w:val="auto"/>
              </w:rPr>
              <w:t>December 23, 2021</w:t>
            </w:r>
          </w:p>
        </w:tc>
      </w:tr>
      <w:tr>
        <w:trPr>
          <w:trHeight w:val="156"/>
        </w:trPr>
        <w:tc>
          <w:tcPr>
            <w:tcW w:w="2820" w:type="dxa"/>
            <w:vAlign w:val="bottom"/>
            <w:shd w:val="clear" w:color="auto" w:fill="CCEEFF"/>
          </w:tcPr>
          <w:p>
            <w:pPr>
              <w:spacing w:after="0"/>
              <w:rPr>
                <w:sz w:val="20"/>
                <w:szCs w:val="20"/>
                <w:color w:val="auto"/>
              </w:rPr>
            </w:pPr>
            <w:r>
              <w:rPr>
                <w:rFonts w:ascii="Arial" w:cs="Arial" w:eastAsia="Arial" w:hAnsi="Arial"/>
                <w:sz w:val="13"/>
                <w:szCs w:val="13"/>
                <w:color w:val="auto"/>
              </w:rPr>
              <w:t>1,432,786</w:t>
            </w:r>
          </w:p>
        </w:tc>
        <w:tc>
          <w:tcPr>
            <w:tcW w:w="2960" w:type="dxa"/>
            <w:vAlign w:val="bottom"/>
            <w:gridSpan w:val="3"/>
            <w:shd w:val="clear" w:color="auto" w:fill="CCEEFF"/>
          </w:tcPr>
          <w:p>
            <w:pPr>
              <w:ind w:left="120"/>
              <w:spacing w:after="0"/>
              <w:rPr>
                <w:sz w:val="20"/>
                <w:szCs w:val="20"/>
                <w:color w:val="auto"/>
              </w:rPr>
            </w:pPr>
            <w:r>
              <w:rPr>
                <w:rFonts w:ascii="Arial" w:cs="Arial" w:eastAsia="Arial" w:hAnsi="Arial"/>
                <w:sz w:val="13"/>
                <w:szCs w:val="13"/>
                <w:color w:val="auto"/>
              </w:rPr>
              <w:t>Series m-3 Preferred Stock</w:t>
            </w:r>
          </w:p>
        </w:tc>
        <w:tc>
          <w:tcPr>
            <w:tcW w:w="1940" w:type="dxa"/>
            <w:vAlign w:val="bottom"/>
            <w:shd w:val="clear" w:color="auto" w:fill="CCEEFF"/>
          </w:tcPr>
          <w:p>
            <w:pPr>
              <w:jc w:val="right"/>
              <w:ind w:right="1829"/>
              <w:spacing w:after="0"/>
              <w:rPr>
                <w:sz w:val="20"/>
                <w:szCs w:val="20"/>
                <w:color w:val="auto"/>
              </w:rPr>
            </w:pPr>
            <w:r>
              <w:rPr>
                <w:rFonts w:ascii="Arial" w:cs="Arial" w:eastAsia="Arial" w:hAnsi="Arial"/>
                <w:sz w:val="10"/>
                <w:szCs w:val="10"/>
                <w:color w:val="auto"/>
                <w:w w:val="71"/>
              </w:rPr>
              <w:t>$</w:t>
            </w:r>
          </w:p>
        </w:tc>
        <w:tc>
          <w:tcPr>
            <w:tcW w:w="860" w:type="dxa"/>
            <w:vAlign w:val="bottom"/>
            <w:gridSpan w:val="2"/>
            <w:shd w:val="clear" w:color="auto" w:fill="CCEEFF"/>
          </w:tcPr>
          <w:p>
            <w:pPr>
              <w:ind w:left="280"/>
              <w:spacing w:after="0"/>
              <w:rPr>
                <w:sz w:val="20"/>
                <w:szCs w:val="20"/>
                <w:color w:val="auto"/>
              </w:rPr>
            </w:pPr>
            <w:r>
              <w:rPr>
                <w:rFonts w:ascii="Arial" w:cs="Arial" w:eastAsia="Arial" w:hAnsi="Arial"/>
                <w:sz w:val="13"/>
                <w:szCs w:val="13"/>
                <w:color w:val="auto"/>
              </w:rPr>
              <w:t>4.0000</w:t>
            </w:r>
          </w:p>
        </w:tc>
        <w:tc>
          <w:tcPr>
            <w:tcW w:w="2700" w:type="dxa"/>
            <w:vAlign w:val="bottom"/>
            <w:shd w:val="clear" w:color="auto" w:fill="CCEEFF"/>
          </w:tcPr>
          <w:p>
            <w:pPr>
              <w:spacing w:after="0"/>
              <w:rPr>
                <w:sz w:val="20"/>
                <w:szCs w:val="20"/>
                <w:color w:val="auto"/>
              </w:rPr>
            </w:pPr>
            <w:r>
              <w:rPr>
                <w:rFonts w:ascii="Arial" w:cs="Arial" w:eastAsia="Arial" w:hAnsi="Arial"/>
                <w:sz w:val="13"/>
                <w:szCs w:val="13"/>
                <w:color w:val="auto"/>
              </w:rPr>
              <w:t>December 31, 2021</w:t>
            </w:r>
          </w:p>
        </w:tc>
      </w:tr>
      <w:tr>
        <w:trPr>
          <w:trHeight w:val="156"/>
        </w:trPr>
        <w:tc>
          <w:tcPr>
            <w:tcW w:w="2820" w:type="dxa"/>
            <w:vAlign w:val="bottom"/>
          </w:tcPr>
          <w:p>
            <w:pPr>
              <w:spacing w:after="0"/>
              <w:rPr>
                <w:sz w:val="20"/>
                <w:szCs w:val="20"/>
                <w:color w:val="auto"/>
              </w:rPr>
            </w:pPr>
            <w:r>
              <w:rPr>
                <w:rFonts w:ascii="Arial" w:cs="Arial" w:eastAsia="Arial" w:hAnsi="Arial"/>
                <w:sz w:val="13"/>
                <w:szCs w:val="13"/>
                <w:color w:val="auto"/>
              </w:rPr>
              <w:t>1,025,714</w:t>
            </w:r>
          </w:p>
        </w:tc>
        <w:tc>
          <w:tcPr>
            <w:tcW w:w="2960" w:type="dxa"/>
            <w:vAlign w:val="bottom"/>
            <w:gridSpan w:val="3"/>
          </w:tcPr>
          <w:p>
            <w:pPr>
              <w:ind w:left="120"/>
              <w:spacing w:after="0"/>
              <w:rPr>
                <w:sz w:val="20"/>
                <w:szCs w:val="20"/>
                <w:color w:val="auto"/>
              </w:rPr>
            </w:pPr>
            <w:r>
              <w:rPr>
                <w:rFonts w:ascii="Arial" w:cs="Arial" w:eastAsia="Arial" w:hAnsi="Arial"/>
                <w:sz w:val="13"/>
                <w:szCs w:val="13"/>
                <w:color w:val="auto"/>
              </w:rPr>
              <w:t>Series S Preferred Stock</w:t>
            </w:r>
          </w:p>
        </w:tc>
        <w:tc>
          <w:tcPr>
            <w:tcW w:w="1940" w:type="dxa"/>
            <w:vAlign w:val="bottom"/>
          </w:tcPr>
          <w:p>
            <w:pPr>
              <w:jc w:val="right"/>
              <w:ind w:right="1829"/>
              <w:spacing w:after="0"/>
              <w:rPr>
                <w:sz w:val="20"/>
                <w:szCs w:val="20"/>
                <w:color w:val="auto"/>
              </w:rPr>
            </w:pPr>
            <w:r>
              <w:rPr>
                <w:rFonts w:ascii="Arial" w:cs="Arial" w:eastAsia="Arial" w:hAnsi="Arial"/>
                <w:sz w:val="10"/>
                <w:szCs w:val="10"/>
                <w:color w:val="auto"/>
                <w:w w:val="71"/>
              </w:rPr>
              <w:t>$</w:t>
            </w:r>
          </w:p>
        </w:tc>
        <w:tc>
          <w:tcPr>
            <w:tcW w:w="860" w:type="dxa"/>
            <w:vAlign w:val="bottom"/>
            <w:gridSpan w:val="2"/>
          </w:tcPr>
          <w:p>
            <w:pPr>
              <w:ind w:left="280"/>
              <w:spacing w:after="0"/>
              <w:rPr>
                <w:sz w:val="20"/>
                <w:szCs w:val="20"/>
                <w:color w:val="auto"/>
              </w:rPr>
            </w:pPr>
            <w:r>
              <w:rPr>
                <w:rFonts w:ascii="Arial" w:cs="Arial" w:eastAsia="Arial" w:hAnsi="Arial"/>
                <w:sz w:val="13"/>
                <w:szCs w:val="13"/>
                <w:color w:val="auto"/>
              </w:rPr>
              <w:t>4.5000</w:t>
            </w:r>
          </w:p>
        </w:tc>
        <w:tc>
          <w:tcPr>
            <w:tcW w:w="2700" w:type="dxa"/>
            <w:vAlign w:val="bottom"/>
          </w:tcPr>
          <w:p>
            <w:pPr>
              <w:spacing w:after="0"/>
              <w:rPr>
                <w:sz w:val="20"/>
                <w:szCs w:val="20"/>
                <w:color w:val="auto"/>
              </w:rPr>
            </w:pPr>
            <w:r>
              <w:rPr>
                <w:rFonts w:ascii="Arial" w:cs="Arial" w:eastAsia="Arial" w:hAnsi="Arial"/>
                <w:sz w:val="13"/>
                <w:szCs w:val="13"/>
                <w:color w:val="auto"/>
              </w:rPr>
              <w:t>December 31, 2021</w:t>
            </w:r>
          </w:p>
        </w:tc>
      </w:tr>
      <w:tr>
        <w:trPr>
          <w:trHeight w:val="156"/>
        </w:trPr>
        <w:tc>
          <w:tcPr>
            <w:tcW w:w="2820" w:type="dxa"/>
            <w:vAlign w:val="bottom"/>
            <w:shd w:val="clear" w:color="auto" w:fill="CCEEFF"/>
          </w:tcPr>
          <w:p>
            <w:pPr>
              <w:spacing w:after="0"/>
              <w:rPr>
                <w:sz w:val="20"/>
                <w:szCs w:val="20"/>
                <w:color w:val="auto"/>
              </w:rPr>
            </w:pPr>
            <w:r>
              <w:rPr>
                <w:rFonts w:ascii="Arial" w:cs="Arial" w:eastAsia="Arial" w:hAnsi="Arial"/>
                <w:sz w:val="13"/>
                <w:szCs w:val="13"/>
                <w:color w:val="auto"/>
              </w:rPr>
              <w:t>1,500,000</w:t>
            </w:r>
          </w:p>
        </w:tc>
        <w:tc>
          <w:tcPr>
            <w:tcW w:w="2960" w:type="dxa"/>
            <w:vAlign w:val="bottom"/>
            <w:gridSpan w:val="3"/>
            <w:shd w:val="clear" w:color="auto" w:fill="CCEEFF"/>
          </w:tcPr>
          <w:p>
            <w:pPr>
              <w:ind w:left="120"/>
              <w:spacing w:after="0"/>
              <w:rPr>
                <w:sz w:val="20"/>
                <w:szCs w:val="20"/>
                <w:color w:val="auto"/>
              </w:rPr>
            </w:pPr>
            <w:r>
              <w:rPr>
                <w:rFonts w:ascii="Arial" w:cs="Arial" w:eastAsia="Arial" w:hAnsi="Arial"/>
                <w:sz w:val="13"/>
                <w:szCs w:val="13"/>
                <w:color w:val="auto"/>
              </w:rPr>
              <w:t>Series S Preferred Stock</w:t>
            </w:r>
          </w:p>
        </w:tc>
        <w:tc>
          <w:tcPr>
            <w:tcW w:w="1940" w:type="dxa"/>
            <w:vAlign w:val="bottom"/>
            <w:shd w:val="clear" w:color="auto" w:fill="CCEEFF"/>
          </w:tcPr>
          <w:p>
            <w:pPr>
              <w:jc w:val="right"/>
              <w:ind w:right="1829"/>
              <w:spacing w:after="0"/>
              <w:rPr>
                <w:sz w:val="20"/>
                <w:szCs w:val="20"/>
                <w:color w:val="auto"/>
              </w:rPr>
            </w:pPr>
            <w:r>
              <w:rPr>
                <w:rFonts w:ascii="Arial" w:cs="Arial" w:eastAsia="Arial" w:hAnsi="Arial"/>
                <w:sz w:val="10"/>
                <w:szCs w:val="10"/>
                <w:color w:val="auto"/>
                <w:w w:val="71"/>
              </w:rPr>
              <w:t>$</w:t>
            </w:r>
          </w:p>
        </w:tc>
        <w:tc>
          <w:tcPr>
            <w:tcW w:w="860" w:type="dxa"/>
            <w:vAlign w:val="bottom"/>
            <w:gridSpan w:val="2"/>
            <w:shd w:val="clear" w:color="auto" w:fill="CCEEFF"/>
          </w:tcPr>
          <w:p>
            <w:pPr>
              <w:ind w:left="280"/>
              <w:spacing w:after="0"/>
              <w:rPr>
                <w:sz w:val="20"/>
                <w:szCs w:val="20"/>
                <w:color w:val="auto"/>
              </w:rPr>
            </w:pPr>
            <w:r>
              <w:rPr>
                <w:rFonts w:ascii="Arial" w:cs="Arial" w:eastAsia="Arial" w:hAnsi="Arial"/>
                <w:sz w:val="13"/>
                <w:szCs w:val="13"/>
                <w:color w:val="auto"/>
              </w:rPr>
              <w:t>8.0000</w:t>
            </w:r>
          </w:p>
        </w:tc>
        <w:tc>
          <w:tcPr>
            <w:tcW w:w="2700" w:type="dxa"/>
            <w:vAlign w:val="bottom"/>
            <w:shd w:val="clear" w:color="auto" w:fill="CCEEFF"/>
          </w:tcPr>
          <w:p>
            <w:pPr>
              <w:spacing w:after="0"/>
              <w:rPr>
                <w:sz w:val="20"/>
                <w:szCs w:val="20"/>
                <w:color w:val="auto"/>
              </w:rPr>
            </w:pPr>
            <w:r>
              <w:rPr>
                <w:rFonts w:ascii="Arial" w:cs="Arial" w:eastAsia="Arial" w:hAnsi="Arial"/>
                <w:sz w:val="13"/>
                <w:szCs w:val="13"/>
                <w:color w:val="auto"/>
              </w:rPr>
              <w:t>July 31, 2024</w:t>
            </w:r>
          </w:p>
        </w:tc>
      </w:tr>
    </w:tbl>
    <w:p>
      <w:pPr>
        <w:spacing w:after="0" w:line="14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Common Stock Reserved for Future Issuance</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Shares of common stock reserved for future issuance relate to outstanding preferred stock, warrants and stock options as follows:</w:t>
      </w:r>
    </w:p>
    <w:p>
      <w:pPr>
        <w:spacing w:after="0" w:line="159" w:lineRule="exact"/>
        <w:rPr>
          <w:sz w:val="20"/>
          <w:szCs w:val="20"/>
          <w:color w:val="auto"/>
        </w:rPr>
      </w:pPr>
    </w:p>
    <w:tbl>
      <w:tblPr>
        <w:tblLayout w:type="fixed"/>
        <w:tblInd w:w="0" w:type="dxa"/>
        <w:tblCellMar>
          <w:top w:w="0" w:type="dxa"/>
          <w:left w:w="0" w:type="dxa"/>
          <w:bottom w:w="0" w:type="dxa"/>
          <w:right w:w="0" w:type="dxa"/>
        </w:tblCellMar>
      </w:tblPr>
      <w:tr>
        <w:trPr>
          <w:trHeight w:val="156"/>
        </w:trPr>
        <w:tc>
          <w:tcPr>
            <w:tcW w:w="5120" w:type="dxa"/>
            <w:vAlign w:val="bottom"/>
          </w:tcPr>
          <w:p>
            <w:pPr>
              <w:spacing w:after="0"/>
              <w:rPr>
                <w:sz w:val="13"/>
                <w:szCs w:val="13"/>
                <w:color w:val="auto"/>
              </w:rPr>
            </w:pPr>
          </w:p>
        </w:tc>
        <w:tc>
          <w:tcPr>
            <w:tcW w:w="4820" w:type="dxa"/>
            <w:vAlign w:val="bottom"/>
          </w:tcPr>
          <w:p>
            <w:pPr>
              <w:spacing w:after="0"/>
              <w:rPr>
                <w:sz w:val="13"/>
                <w:szCs w:val="13"/>
                <w:color w:val="auto"/>
              </w:rPr>
            </w:pPr>
          </w:p>
        </w:tc>
        <w:tc>
          <w:tcPr>
            <w:tcW w:w="1340" w:type="dxa"/>
            <w:vAlign w:val="bottom"/>
            <w:gridSpan w:val="2"/>
          </w:tcPr>
          <w:p>
            <w:pPr>
              <w:jc w:val="right"/>
              <w:ind w:right="340"/>
              <w:spacing w:after="0"/>
              <w:rPr>
                <w:sz w:val="20"/>
                <w:szCs w:val="20"/>
                <w:color w:val="auto"/>
              </w:rPr>
            </w:pPr>
            <w:r>
              <w:rPr>
                <w:rFonts w:ascii="Arial" w:cs="Arial" w:eastAsia="Arial" w:hAnsi="Arial"/>
                <w:sz w:val="13"/>
                <w:szCs w:val="13"/>
                <w:b w:val="1"/>
                <w:bCs w:val="1"/>
                <w:color w:val="auto"/>
              </w:rPr>
              <w:t>December 31,</w:t>
            </w:r>
          </w:p>
        </w:tc>
      </w:tr>
      <w:tr>
        <w:trPr>
          <w:trHeight w:val="169"/>
        </w:trPr>
        <w:tc>
          <w:tcPr>
            <w:tcW w:w="5120" w:type="dxa"/>
            <w:vAlign w:val="bottom"/>
          </w:tcPr>
          <w:p>
            <w:pPr>
              <w:spacing w:after="0"/>
              <w:rPr>
                <w:sz w:val="14"/>
                <w:szCs w:val="14"/>
                <w:color w:val="auto"/>
              </w:rPr>
            </w:pPr>
          </w:p>
        </w:tc>
        <w:tc>
          <w:tcPr>
            <w:tcW w:w="6060" w:type="dxa"/>
            <w:vAlign w:val="bottom"/>
            <w:gridSpan w:val="2"/>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00" w:type="dxa"/>
            <w:vAlign w:val="bottom"/>
          </w:tcPr>
          <w:p>
            <w:pPr>
              <w:spacing w:after="0"/>
              <w:rPr>
                <w:sz w:val="14"/>
                <w:szCs w:val="14"/>
                <w:color w:val="auto"/>
              </w:rPr>
            </w:pPr>
          </w:p>
        </w:tc>
      </w:tr>
      <w:tr>
        <w:trPr>
          <w:trHeight w:val="147"/>
        </w:trPr>
        <w:tc>
          <w:tcPr>
            <w:tcW w:w="5120" w:type="dxa"/>
            <w:vAlign w:val="bottom"/>
            <w:tcBorders>
              <w:top w:val="single" w:sz="8" w:color="CCEEFF"/>
            </w:tcBorders>
            <w:shd w:val="clear" w:color="auto" w:fill="CCEEFF"/>
          </w:tcPr>
          <w:p>
            <w:pPr>
              <w:spacing w:after="0" w:line="146" w:lineRule="exact"/>
              <w:rPr>
                <w:sz w:val="20"/>
                <w:szCs w:val="20"/>
                <w:color w:val="auto"/>
              </w:rPr>
            </w:pPr>
            <w:r>
              <w:rPr>
                <w:rFonts w:ascii="Arial" w:cs="Arial" w:eastAsia="Arial" w:hAnsi="Arial"/>
                <w:sz w:val="13"/>
                <w:szCs w:val="13"/>
                <w:color w:val="auto"/>
              </w:rPr>
              <w:t>Series A Preferred Stock</w:t>
            </w:r>
          </w:p>
        </w:tc>
        <w:tc>
          <w:tcPr>
            <w:tcW w:w="4820" w:type="dxa"/>
            <w:vAlign w:val="bottom"/>
            <w:tcBorders>
              <w:top w:val="single" w:sz="8" w:color="CCEEFF"/>
            </w:tcBorders>
            <w:shd w:val="clear" w:color="auto" w:fill="CCEEFF"/>
          </w:tcPr>
          <w:p>
            <w:pPr>
              <w:spacing w:after="0"/>
              <w:rPr>
                <w:sz w:val="12"/>
                <w:szCs w:val="12"/>
                <w:color w:val="auto"/>
              </w:rPr>
            </w:pPr>
          </w:p>
        </w:tc>
        <w:tc>
          <w:tcPr>
            <w:tcW w:w="124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8,936,015</w:t>
            </w:r>
          </w:p>
        </w:tc>
        <w:tc>
          <w:tcPr>
            <w:tcW w:w="100" w:type="dxa"/>
            <w:vAlign w:val="bottom"/>
            <w:tcBorders>
              <w:top w:val="single" w:sz="8" w:color="CCEEFF"/>
            </w:tcBorders>
            <w:shd w:val="clear" w:color="auto" w:fill="CCEEFF"/>
          </w:tcPr>
          <w:p>
            <w:pPr>
              <w:spacing w:after="0"/>
              <w:rPr>
                <w:sz w:val="12"/>
                <w:szCs w:val="12"/>
                <w:color w:val="auto"/>
              </w:rPr>
            </w:pPr>
          </w:p>
        </w:tc>
      </w:tr>
      <w:tr>
        <w:trPr>
          <w:trHeight w:val="156"/>
        </w:trPr>
        <w:tc>
          <w:tcPr>
            <w:tcW w:w="5120" w:type="dxa"/>
            <w:vAlign w:val="bottom"/>
          </w:tcPr>
          <w:p>
            <w:pPr>
              <w:spacing w:after="0"/>
              <w:rPr>
                <w:sz w:val="20"/>
                <w:szCs w:val="20"/>
                <w:color w:val="auto"/>
              </w:rPr>
            </w:pPr>
            <w:r>
              <w:rPr>
                <w:rFonts w:ascii="Arial" w:cs="Arial" w:eastAsia="Arial" w:hAnsi="Arial"/>
                <w:sz w:val="13"/>
                <w:szCs w:val="13"/>
                <w:color w:val="auto"/>
              </w:rPr>
              <w:t>Series B Preferred Stock</w:t>
            </w:r>
          </w:p>
        </w:tc>
        <w:tc>
          <w:tcPr>
            <w:tcW w:w="6060" w:type="dxa"/>
            <w:vAlign w:val="bottom"/>
            <w:gridSpan w:val="2"/>
          </w:tcPr>
          <w:p>
            <w:pPr>
              <w:jc w:val="right"/>
              <w:spacing w:after="0"/>
              <w:rPr>
                <w:sz w:val="20"/>
                <w:szCs w:val="20"/>
                <w:color w:val="auto"/>
              </w:rPr>
            </w:pPr>
            <w:r>
              <w:rPr>
                <w:rFonts w:ascii="Arial" w:cs="Arial" w:eastAsia="Arial" w:hAnsi="Arial"/>
                <w:sz w:val="13"/>
                <w:szCs w:val="13"/>
                <w:color w:val="auto"/>
              </w:rPr>
              <w:t>4,653,583</w:t>
            </w:r>
          </w:p>
        </w:tc>
        <w:tc>
          <w:tcPr>
            <w:tcW w:w="100" w:type="dxa"/>
            <w:vAlign w:val="bottom"/>
          </w:tcPr>
          <w:p>
            <w:pPr>
              <w:spacing w:after="0"/>
              <w:rPr>
                <w:sz w:val="13"/>
                <w:szCs w:val="13"/>
                <w:color w:val="auto"/>
              </w:rPr>
            </w:pPr>
          </w:p>
        </w:tc>
      </w:tr>
      <w:tr>
        <w:trPr>
          <w:trHeight w:val="156"/>
        </w:trPr>
        <w:tc>
          <w:tcPr>
            <w:tcW w:w="5120" w:type="dxa"/>
            <w:vAlign w:val="bottom"/>
            <w:shd w:val="clear" w:color="auto" w:fill="CCEEFF"/>
          </w:tcPr>
          <w:p>
            <w:pPr>
              <w:spacing w:after="0"/>
              <w:rPr>
                <w:sz w:val="20"/>
                <w:szCs w:val="20"/>
                <w:color w:val="auto"/>
              </w:rPr>
            </w:pPr>
            <w:r>
              <w:rPr>
                <w:rFonts w:ascii="Arial" w:cs="Arial" w:eastAsia="Arial" w:hAnsi="Arial"/>
                <w:sz w:val="13"/>
                <w:szCs w:val="13"/>
                <w:color w:val="auto"/>
              </w:rPr>
              <w:t>Series m Preferred Stock</w:t>
            </w:r>
          </w:p>
        </w:tc>
        <w:tc>
          <w:tcPr>
            <w:tcW w:w="6060" w:type="dxa"/>
            <w:vAlign w:val="bottom"/>
            <w:gridSpan w:val="2"/>
            <w:shd w:val="clear" w:color="auto" w:fill="CCEEFF"/>
          </w:tcPr>
          <w:p>
            <w:pPr>
              <w:jc w:val="right"/>
              <w:spacing w:after="0"/>
              <w:rPr>
                <w:sz w:val="20"/>
                <w:szCs w:val="20"/>
                <w:color w:val="auto"/>
              </w:rPr>
            </w:pPr>
            <w:r>
              <w:rPr>
                <w:rFonts w:ascii="Arial" w:cs="Arial" w:eastAsia="Arial" w:hAnsi="Arial"/>
                <w:sz w:val="13"/>
                <w:szCs w:val="13"/>
                <w:color w:val="auto"/>
              </w:rPr>
              <w:t>5,339,215</w:t>
            </w:r>
          </w:p>
        </w:tc>
        <w:tc>
          <w:tcPr>
            <w:tcW w:w="100" w:type="dxa"/>
            <w:vAlign w:val="bottom"/>
            <w:shd w:val="clear" w:color="auto" w:fill="CCEEFF"/>
          </w:tcPr>
          <w:p>
            <w:pPr>
              <w:spacing w:after="0"/>
              <w:rPr>
                <w:sz w:val="13"/>
                <w:szCs w:val="13"/>
                <w:color w:val="auto"/>
              </w:rPr>
            </w:pPr>
          </w:p>
        </w:tc>
      </w:tr>
      <w:tr>
        <w:trPr>
          <w:trHeight w:val="156"/>
        </w:trPr>
        <w:tc>
          <w:tcPr>
            <w:tcW w:w="5120" w:type="dxa"/>
            <w:vAlign w:val="bottom"/>
          </w:tcPr>
          <w:p>
            <w:pPr>
              <w:spacing w:after="0"/>
              <w:rPr>
                <w:sz w:val="20"/>
                <w:szCs w:val="20"/>
                <w:color w:val="auto"/>
              </w:rPr>
            </w:pPr>
            <w:r>
              <w:rPr>
                <w:rFonts w:ascii="Arial" w:cs="Arial" w:eastAsia="Arial" w:hAnsi="Arial"/>
                <w:sz w:val="13"/>
                <w:szCs w:val="13"/>
                <w:color w:val="auto"/>
              </w:rPr>
              <w:t>Series m-2 Preferred Stock</w:t>
            </w:r>
          </w:p>
        </w:tc>
        <w:tc>
          <w:tcPr>
            <w:tcW w:w="6060" w:type="dxa"/>
            <w:vAlign w:val="bottom"/>
            <w:gridSpan w:val="2"/>
          </w:tcPr>
          <w:p>
            <w:pPr>
              <w:jc w:val="right"/>
              <w:spacing w:after="0"/>
              <w:rPr>
                <w:sz w:val="20"/>
                <w:szCs w:val="20"/>
                <w:color w:val="auto"/>
              </w:rPr>
            </w:pPr>
            <w:r>
              <w:rPr>
                <w:rFonts w:ascii="Arial" w:cs="Arial" w:eastAsia="Arial" w:hAnsi="Arial"/>
                <w:sz w:val="13"/>
                <w:szCs w:val="13"/>
                <w:color w:val="auto"/>
              </w:rPr>
              <w:t>1,660,756</w:t>
            </w:r>
          </w:p>
        </w:tc>
        <w:tc>
          <w:tcPr>
            <w:tcW w:w="100" w:type="dxa"/>
            <w:vAlign w:val="bottom"/>
          </w:tcPr>
          <w:p>
            <w:pPr>
              <w:spacing w:after="0"/>
              <w:rPr>
                <w:sz w:val="13"/>
                <w:szCs w:val="13"/>
                <w:color w:val="auto"/>
              </w:rPr>
            </w:pPr>
          </w:p>
        </w:tc>
      </w:tr>
      <w:tr>
        <w:trPr>
          <w:trHeight w:val="156"/>
        </w:trPr>
        <w:tc>
          <w:tcPr>
            <w:tcW w:w="5120" w:type="dxa"/>
            <w:vAlign w:val="bottom"/>
            <w:shd w:val="clear" w:color="auto" w:fill="CCEEFF"/>
          </w:tcPr>
          <w:p>
            <w:pPr>
              <w:spacing w:after="0"/>
              <w:rPr>
                <w:sz w:val="20"/>
                <w:szCs w:val="20"/>
                <w:color w:val="auto"/>
              </w:rPr>
            </w:pPr>
            <w:r>
              <w:rPr>
                <w:rFonts w:ascii="Arial" w:cs="Arial" w:eastAsia="Arial" w:hAnsi="Arial"/>
                <w:sz w:val="13"/>
                <w:szCs w:val="13"/>
                <w:color w:val="auto"/>
              </w:rPr>
              <w:t>Series m-3 Preferred Stock</w:t>
            </w:r>
          </w:p>
        </w:tc>
        <w:tc>
          <w:tcPr>
            <w:tcW w:w="6160" w:type="dxa"/>
            <w:vAlign w:val="bottom"/>
            <w:gridSpan w:val="3"/>
            <w:shd w:val="clear" w:color="auto" w:fill="CCEEFF"/>
          </w:tcPr>
          <w:p>
            <w:pPr>
              <w:jc w:val="right"/>
              <w:ind w:right="100"/>
              <w:spacing w:after="0"/>
              <w:rPr>
                <w:sz w:val="20"/>
                <w:szCs w:val="20"/>
                <w:color w:val="auto"/>
              </w:rPr>
            </w:pPr>
            <w:r>
              <w:rPr>
                <w:rFonts w:ascii="Arial" w:cs="Arial" w:eastAsia="Arial" w:hAnsi="Arial"/>
                <w:sz w:val="13"/>
                <w:szCs w:val="13"/>
                <w:color w:val="auto"/>
              </w:rPr>
              <w:t>16,757</w:t>
            </w:r>
          </w:p>
        </w:tc>
      </w:tr>
      <w:tr>
        <w:trPr>
          <w:trHeight w:val="156"/>
        </w:trPr>
        <w:tc>
          <w:tcPr>
            <w:tcW w:w="5120" w:type="dxa"/>
            <w:vAlign w:val="bottom"/>
          </w:tcPr>
          <w:p>
            <w:pPr>
              <w:spacing w:after="0"/>
              <w:rPr>
                <w:sz w:val="20"/>
                <w:szCs w:val="20"/>
                <w:color w:val="auto"/>
              </w:rPr>
            </w:pPr>
            <w:r>
              <w:rPr>
                <w:rFonts w:ascii="Arial" w:cs="Arial" w:eastAsia="Arial" w:hAnsi="Arial"/>
                <w:sz w:val="13"/>
                <w:szCs w:val="13"/>
                <w:color w:val="auto"/>
              </w:rPr>
              <w:t>Series m-4 Preferred Stock</w:t>
            </w:r>
          </w:p>
        </w:tc>
        <w:tc>
          <w:tcPr>
            <w:tcW w:w="6060" w:type="dxa"/>
            <w:vAlign w:val="bottom"/>
            <w:gridSpan w:val="2"/>
          </w:tcPr>
          <w:p>
            <w:pPr>
              <w:jc w:val="right"/>
              <w:spacing w:after="0"/>
              <w:rPr>
                <w:sz w:val="20"/>
                <w:szCs w:val="20"/>
                <w:color w:val="auto"/>
              </w:rPr>
            </w:pPr>
            <w:r>
              <w:rPr>
                <w:rFonts w:ascii="Arial" w:cs="Arial" w:eastAsia="Arial" w:hAnsi="Arial"/>
                <w:sz w:val="13"/>
                <w:szCs w:val="13"/>
                <w:color w:val="auto"/>
              </w:rPr>
              <w:t>1,432,786</w:t>
            </w:r>
          </w:p>
        </w:tc>
        <w:tc>
          <w:tcPr>
            <w:tcW w:w="100" w:type="dxa"/>
            <w:vAlign w:val="bottom"/>
          </w:tcPr>
          <w:p>
            <w:pPr>
              <w:spacing w:after="0"/>
              <w:rPr>
                <w:sz w:val="13"/>
                <w:szCs w:val="13"/>
                <w:color w:val="auto"/>
              </w:rPr>
            </w:pPr>
          </w:p>
        </w:tc>
      </w:tr>
      <w:tr>
        <w:trPr>
          <w:trHeight w:val="156"/>
        </w:trPr>
        <w:tc>
          <w:tcPr>
            <w:tcW w:w="5120" w:type="dxa"/>
            <w:vAlign w:val="bottom"/>
            <w:shd w:val="clear" w:color="auto" w:fill="CCEEFF"/>
          </w:tcPr>
          <w:p>
            <w:pPr>
              <w:spacing w:after="0"/>
              <w:rPr>
                <w:sz w:val="20"/>
                <w:szCs w:val="20"/>
                <w:color w:val="auto"/>
              </w:rPr>
            </w:pPr>
            <w:r>
              <w:rPr>
                <w:rFonts w:ascii="Arial" w:cs="Arial" w:eastAsia="Arial" w:hAnsi="Arial"/>
                <w:sz w:val="13"/>
                <w:szCs w:val="13"/>
                <w:color w:val="auto"/>
              </w:rPr>
              <w:t>Series S Preferred Stock</w:t>
            </w:r>
          </w:p>
        </w:tc>
        <w:tc>
          <w:tcPr>
            <w:tcW w:w="6060" w:type="dxa"/>
            <w:vAlign w:val="bottom"/>
            <w:gridSpan w:val="2"/>
            <w:shd w:val="clear" w:color="auto" w:fill="CCEEFF"/>
          </w:tcPr>
          <w:p>
            <w:pPr>
              <w:jc w:val="right"/>
              <w:spacing w:after="0"/>
              <w:rPr>
                <w:sz w:val="20"/>
                <w:szCs w:val="20"/>
                <w:color w:val="auto"/>
              </w:rPr>
            </w:pPr>
            <w:r>
              <w:rPr>
                <w:rFonts w:ascii="Arial" w:cs="Arial" w:eastAsia="Arial" w:hAnsi="Arial"/>
                <w:sz w:val="13"/>
                <w:szCs w:val="13"/>
                <w:color w:val="auto"/>
              </w:rPr>
              <w:t>3,731,248</w:t>
            </w:r>
          </w:p>
        </w:tc>
        <w:tc>
          <w:tcPr>
            <w:tcW w:w="100" w:type="dxa"/>
            <w:vAlign w:val="bottom"/>
            <w:shd w:val="clear" w:color="auto" w:fill="CCEEFF"/>
          </w:tcPr>
          <w:p>
            <w:pPr>
              <w:spacing w:after="0"/>
              <w:rPr>
                <w:sz w:val="13"/>
                <w:szCs w:val="13"/>
                <w:color w:val="auto"/>
              </w:rPr>
            </w:pPr>
          </w:p>
        </w:tc>
      </w:tr>
      <w:tr>
        <w:trPr>
          <w:trHeight w:val="156"/>
        </w:trPr>
        <w:tc>
          <w:tcPr>
            <w:tcW w:w="5120" w:type="dxa"/>
            <w:vAlign w:val="bottom"/>
          </w:tcPr>
          <w:p>
            <w:pPr>
              <w:spacing w:after="0"/>
              <w:rPr>
                <w:sz w:val="20"/>
                <w:szCs w:val="20"/>
                <w:color w:val="auto"/>
              </w:rPr>
            </w:pPr>
            <w:r>
              <w:rPr>
                <w:rFonts w:ascii="Arial" w:cs="Arial" w:eastAsia="Arial" w:hAnsi="Arial"/>
                <w:sz w:val="13"/>
                <w:szCs w:val="13"/>
                <w:color w:val="auto"/>
              </w:rPr>
              <w:t>Stock options to purchase common stock</w:t>
            </w:r>
          </w:p>
        </w:tc>
        <w:tc>
          <w:tcPr>
            <w:tcW w:w="6060" w:type="dxa"/>
            <w:vAlign w:val="bottom"/>
            <w:gridSpan w:val="2"/>
          </w:tcPr>
          <w:p>
            <w:pPr>
              <w:jc w:val="right"/>
              <w:spacing w:after="0"/>
              <w:rPr>
                <w:sz w:val="20"/>
                <w:szCs w:val="20"/>
                <w:color w:val="auto"/>
              </w:rPr>
            </w:pPr>
            <w:r>
              <w:rPr>
                <w:rFonts w:ascii="Arial" w:cs="Arial" w:eastAsia="Arial" w:hAnsi="Arial"/>
                <w:sz w:val="13"/>
                <w:szCs w:val="13"/>
                <w:color w:val="auto"/>
              </w:rPr>
              <w:t>7,056,000</w:t>
            </w:r>
          </w:p>
        </w:tc>
        <w:tc>
          <w:tcPr>
            <w:tcW w:w="100" w:type="dxa"/>
            <w:vAlign w:val="bottom"/>
          </w:tcPr>
          <w:p>
            <w:pPr>
              <w:spacing w:after="0"/>
              <w:rPr>
                <w:sz w:val="13"/>
                <w:szCs w:val="13"/>
                <w:color w:val="auto"/>
              </w:rPr>
            </w:pPr>
          </w:p>
        </w:tc>
      </w:tr>
      <w:tr>
        <w:trPr>
          <w:trHeight w:val="156"/>
        </w:trPr>
        <w:tc>
          <w:tcPr>
            <w:tcW w:w="5120" w:type="dxa"/>
            <w:vAlign w:val="bottom"/>
            <w:shd w:val="clear" w:color="auto" w:fill="CCEEFF"/>
          </w:tcPr>
          <w:p>
            <w:pPr>
              <w:spacing w:after="0"/>
              <w:rPr>
                <w:sz w:val="20"/>
                <w:szCs w:val="20"/>
                <w:color w:val="auto"/>
              </w:rPr>
            </w:pPr>
            <w:r>
              <w:rPr>
                <w:rFonts w:ascii="Arial" w:cs="Arial" w:eastAsia="Arial" w:hAnsi="Arial"/>
                <w:sz w:val="13"/>
                <w:szCs w:val="13"/>
                <w:color w:val="auto"/>
                <w:w w:val="98"/>
              </w:rPr>
              <w:t>Warrants outstanding for future issuance of convertible preferred stock and common stock</w:t>
            </w:r>
          </w:p>
        </w:tc>
        <w:tc>
          <w:tcPr>
            <w:tcW w:w="6060" w:type="dxa"/>
            <w:vAlign w:val="bottom"/>
            <w:gridSpan w:val="2"/>
            <w:shd w:val="clear" w:color="auto" w:fill="CCEEFF"/>
          </w:tcPr>
          <w:p>
            <w:pPr>
              <w:jc w:val="right"/>
              <w:spacing w:after="0"/>
              <w:rPr>
                <w:sz w:val="20"/>
                <w:szCs w:val="20"/>
                <w:color w:val="auto"/>
              </w:rPr>
            </w:pPr>
            <w:r>
              <w:rPr>
                <w:rFonts w:ascii="Arial" w:cs="Arial" w:eastAsia="Arial" w:hAnsi="Arial"/>
                <w:sz w:val="13"/>
                <w:szCs w:val="13"/>
                <w:color w:val="auto"/>
              </w:rPr>
              <w:t>4,401,292</w:t>
            </w:r>
          </w:p>
        </w:tc>
        <w:tc>
          <w:tcPr>
            <w:tcW w:w="100" w:type="dxa"/>
            <w:vAlign w:val="bottom"/>
            <w:shd w:val="clear" w:color="auto" w:fill="CCEEFF"/>
          </w:tcPr>
          <w:p>
            <w:pPr>
              <w:spacing w:after="0"/>
              <w:rPr>
                <w:sz w:val="13"/>
                <w:szCs w:val="13"/>
                <w:color w:val="auto"/>
              </w:rPr>
            </w:pPr>
          </w:p>
        </w:tc>
      </w:tr>
      <w:tr>
        <w:trPr>
          <w:trHeight w:val="166"/>
        </w:trPr>
        <w:tc>
          <w:tcPr>
            <w:tcW w:w="5120" w:type="dxa"/>
            <w:vAlign w:val="bottom"/>
            <w:tcBorders>
              <w:bottom w:val="single" w:sz="8" w:color="CCEEFF"/>
            </w:tcBorders>
          </w:tcPr>
          <w:p>
            <w:pPr>
              <w:spacing w:after="0"/>
              <w:rPr>
                <w:sz w:val="20"/>
                <w:szCs w:val="20"/>
                <w:color w:val="auto"/>
              </w:rPr>
            </w:pPr>
            <w:r>
              <w:rPr>
                <w:rFonts w:ascii="Arial" w:cs="Arial" w:eastAsia="Arial" w:hAnsi="Arial"/>
                <w:sz w:val="13"/>
                <w:szCs w:val="13"/>
                <w:color w:val="auto"/>
              </w:rPr>
              <w:t>Stock options available for future issuance</w:t>
            </w:r>
          </w:p>
        </w:tc>
        <w:tc>
          <w:tcPr>
            <w:tcW w:w="4820" w:type="dxa"/>
            <w:vAlign w:val="bottom"/>
            <w:tcBorders>
              <w:bottom w:val="single" w:sz="8" w:color="CCEEFF"/>
            </w:tcBorders>
          </w:tcPr>
          <w:p>
            <w:pPr>
              <w:spacing w:after="0"/>
              <w:rPr>
                <w:sz w:val="14"/>
                <w:szCs w:val="14"/>
                <w:color w:val="auto"/>
              </w:rPr>
            </w:pPr>
          </w:p>
        </w:tc>
        <w:tc>
          <w:tcPr>
            <w:tcW w:w="124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1,963,814</w:t>
            </w:r>
          </w:p>
        </w:tc>
        <w:tc>
          <w:tcPr>
            <w:tcW w:w="100" w:type="dxa"/>
            <w:vAlign w:val="bottom"/>
            <w:tcBorders>
              <w:bottom w:val="single" w:sz="8" w:color="CCEEFF"/>
            </w:tcBorders>
          </w:tcPr>
          <w:p>
            <w:pPr>
              <w:spacing w:after="0"/>
              <w:rPr>
                <w:sz w:val="14"/>
                <w:szCs w:val="14"/>
                <w:color w:val="auto"/>
              </w:rPr>
            </w:pPr>
          </w:p>
        </w:tc>
      </w:tr>
      <w:tr>
        <w:trPr>
          <w:trHeight w:val="176"/>
        </w:trPr>
        <w:tc>
          <w:tcPr>
            <w:tcW w:w="5120" w:type="dxa"/>
            <w:vAlign w:val="bottom"/>
            <w:tcBorders>
              <w:bottom w:val="single" w:sz="8" w:color="CCEEFF"/>
            </w:tcBorders>
            <w:shd w:val="clear" w:color="auto" w:fill="CCEEFF"/>
          </w:tcPr>
          <w:p>
            <w:pPr>
              <w:ind w:left="120"/>
              <w:spacing w:after="0" w:line="145" w:lineRule="exact"/>
              <w:rPr>
                <w:sz w:val="20"/>
                <w:szCs w:val="20"/>
                <w:color w:val="auto"/>
              </w:rPr>
            </w:pPr>
            <w:r>
              <w:rPr>
                <w:rFonts w:ascii="Arial" w:cs="Arial" w:eastAsia="Arial" w:hAnsi="Arial"/>
                <w:sz w:val="13"/>
                <w:szCs w:val="13"/>
                <w:color w:val="auto"/>
              </w:rPr>
              <w:t>Total shares of common stock reserved</w:t>
            </w:r>
          </w:p>
        </w:tc>
        <w:tc>
          <w:tcPr>
            <w:tcW w:w="4820" w:type="dxa"/>
            <w:vAlign w:val="bottom"/>
            <w:tcBorders>
              <w:bottom w:val="single" w:sz="8" w:color="CCEEFF"/>
            </w:tcBorders>
            <w:shd w:val="clear" w:color="auto" w:fill="CCEEFF"/>
          </w:tcPr>
          <w:p>
            <w:pPr>
              <w:spacing w:after="0"/>
              <w:rPr>
                <w:sz w:val="15"/>
                <w:szCs w:val="15"/>
                <w:color w:val="auto"/>
              </w:rPr>
            </w:pPr>
          </w:p>
        </w:tc>
        <w:tc>
          <w:tcPr>
            <w:tcW w:w="1340" w:type="dxa"/>
            <w:vAlign w:val="bottom"/>
            <w:tcBorders>
              <w:bottom w:val="single" w:sz="8" w:color="CCEEFF"/>
            </w:tcBorders>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39,191,466</w:t>
            </w:r>
          </w:p>
        </w:tc>
      </w:tr>
      <w:tr>
        <w:trPr>
          <w:trHeight w:val="458"/>
        </w:trPr>
        <w:tc>
          <w:tcPr>
            <w:tcW w:w="5120" w:type="dxa"/>
            <w:vAlign w:val="bottom"/>
            <w:tcBorders>
              <w:bottom w:val="single" w:sz="8" w:color="auto"/>
            </w:tcBorders>
          </w:tcPr>
          <w:p>
            <w:pPr>
              <w:spacing w:after="0"/>
              <w:rPr>
                <w:sz w:val="24"/>
                <w:szCs w:val="24"/>
                <w:color w:val="auto"/>
              </w:rPr>
            </w:pPr>
          </w:p>
        </w:tc>
        <w:tc>
          <w:tcPr>
            <w:tcW w:w="4820" w:type="dxa"/>
            <w:vAlign w:val="bottom"/>
            <w:tcBorders>
              <w:bottom w:val="single" w:sz="8" w:color="auto"/>
            </w:tcBorders>
          </w:tcPr>
          <w:p>
            <w:pPr>
              <w:ind w:left="400"/>
              <w:spacing w:after="0"/>
              <w:rPr>
                <w:sz w:val="20"/>
                <w:szCs w:val="20"/>
                <w:color w:val="auto"/>
              </w:rPr>
            </w:pPr>
            <w:r>
              <w:rPr>
                <w:rFonts w:ascii="Arial" w:cs="Arial" w:eastAsia="Arial" w:hAnsi="Arial"/>
                <w:sz w:val="13"/>
                <w:szCs w:val="13"/>
                <w:color w:val="auto"/>
              </w:rPr>
              <w:t>F-23</w:t>
            </w:r>
          </w:p>
        </w:tc>
        <w:tc>
          <w:tcPr>
            <w:tcW w:w="1240" w:type="dxa"/>
            <w:vAlign w:val="bottom"/>
            <w:tcBorders>
              <w:top w:val="single" w:sz="8" w:color="auto"/>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r>
    </w:tbl>
    <w:p>
      <w:pPr>
        <w:sectPr>
          <w:pgSz w:w="11900" w:h="16838" w:orient="portrait"/>
          <w:cols w:equalWidth="0" w:num="1">
            <w:col w:w="11280"/>
          </w:cols>
          <w:pgMar w:left="300" w:top="694" w:right="319" w:bottom="1440" w:gutter="0" w:footer="0" w:header="0"/>
        </w:sectPr>
      </w:pPr>
    </w:p>
    <w:bookmarkStart w:id="85" w:name="page86"/>
    <w:bookmarkEnd w:id="85"/>
    <w:p>
      <w:pPr>
        <w:spacing w:after="0"/>
        <w:rPr>
          <w:sz w:val="20"/>
          <w:szCs w:val="20"/>
          <w:color w:val="auto"/>
        </w:rPr>
      </w:pPr>
      <w:r>
        <w:rPr>
          <w:rFonts w:ascii="Arial" w:cs="Arial" w:eastAsia="Arial" w:hAnsi="Arial"/>
          <w:sz w:val="13"/>
          <w:szCs w:val="13"/>
          <w:b w:val="1"/>
          <w:bCs w:val="1"/>
          <w:color w:val="auto"/>
        </w:rPr>
        <w:t>NOTE 5: Share-Based Compensation</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Equity Incentive Plans</w:t>
      </w:r>
    </w:p>
    <w:p>
      <w:pPr>
        <w:spacing w:after="0" w:line="163" w:lineRule="exact"/>
        <w:rPr>
          <w:sz w:val="20"/>
          <w:szCs w:val="20"/>
          <w:color w:val="auto"/>
        </w:rPr>
      </w:pPr>
    </w:p>
    <w:p>
      <w:pPr>
        <w:jc w:val="both"/>
        <w:spacing w:after="0" w:line="279" w:lineRule="auto"/>
        <w:rPr>
          <w:sz w:val="20"/>
          <w:szCs w:val="20"/>
          <w:color w:val="auto"/>
        </w:rPr>
      </w:pPr>
      <w:r>
        <w:rPr>
          <w:rFonts w:ascii="Arial" w:cs="Arial" w:eastAsia="Arial" w:hAnsi="Arial"/>
          <w:sz w:val="12"/>
          <w:szCs w:val="12"/>
          <w:color w:val="auto"/>
        </w:rPr>
        <w:t>In April 2014, the Board of Directors adopted the 2014 Equity Incentive Plan (the “2014 Plan”) allowing for the issuance of up to 2,000,000 shares of common stock through grants of options, stock appreciation rights, restricted stock or restricted stock units. In December 2016, the 2014 Plan was terminated, and the Company’s Board of Directors adopted a new equity incentive plan defined as the 2016 Equity Incentive Plan (the “2016 Plan”) in which the remaining 1,936,014 shares available for issuance under the 2014 Plan at that time were transferred to the Company’s 2016 Plan. Awards outstanding under the 2014 Plan at the time of the 2014 Plan’s termination will continue to be governed by their existing terms. The shares underlying any awards that are forfeited, canceled, repurchased or are otherwise terminated by the Company under the 2014 Plan will be added back to the shares of common stock available for issuance under the Company’s 2016 Plan. The 2016 Plan provides for the granting of stock awards such as incentive stock options, nonstatutory stock options, stock appreciation rights, restricted stock or restricted stock units to employees, directors and outside consultants as determined by the Board of Directors. Upon the termination of the 2014 Plan, all shares granted revert to the 2016 Plan. As of December 31, 2020, 1,963,814 shares were available for future grants under the 2016 Plan.</w:t>
      </w:r>
    </w:p>
    <w:p>
      <w:pPr>
        <w:spacing w:after="0" w:line="128" w:lineRule="exact"/>
        <w:rPr>
          <w:sz w:val="20"/>
          <w:szCs w:val="20"/>
          <w:color w:val="auto"/>
        </w:rPr>
      </w:pPr>
    </w:p>
    <w:p>
      <w:pPr>
        <w:jc w:val="both"/>
        <w:spacing w:after="0" w:line="307" w:lineRule="auto"/>
        <w:rPr>
          <w:sz w:val="20"/>
          <w:szCs w:val="20"/>
          <w:color w:val="auto"/>
        </w:rPr>
      </w:pPr>
      <w:r>
        <w:rPr>
          <w:rFonts w:ascii="Arial" w:cs="Arial" w:eastAsia="Arial" w:hAnsi="Arial"/>
          <w:sz w:val="11"/>
          <w:szCs w:val="11"/>
          <w:color w:val="auto"/>
        </w:rPr>
        <w:t>The Board may grant stock options under the 2016 Plan at a price of not less than 100% of the fair market value of the Company’s common stock on the date the option is granted. The option exercise price generally may not be less than the underlying stock’s fair market value at the date of grant and generally have a term of ten years. Incentive stock options granted to employees who, on the date of grant, own stock representing more than 10% of the voting power of all of the Company’s classes of stock, are granted at an exercise price of not less than 110% of the fair market value of the Company’s common stock. The maximum term of incentive stock options granted to employees who, on the date of grant, own stock having more than 10% of the voting power of all the Company’s classes of stock, may not exceed five years. The Board of Directors also determines the terms and conditions of awards, including the vesting schedule and any forfeiture provisions. Options granted under the 2016 Plan may vest upon the passage of time, generally four years, or upon the attainment of certain performance criteria established by the Board of Directors. The Company may from time-to-time grant options to purchase common stock to nonemployees for advisory and consulting services. At each measurement date, the Company will remeasure the fair value of these stock options using the Black-Scholes option pricing model and recognize the expense ratably over the vesting period of each stock option award. The amounts granted each calendar year to an employee or non-employee is limited depending on the type of award. Stock options comprise all of the awards granted since the Plan’s inception.</w:t>
      </w:r>
    </w:p>
    <w:p>
      <w:pPr>
        <w:spacing w:after="0" w:line="113" w:lineRule="exact"/>
        <w:rPr>
          <w:sz w:val="20"/>
          <w:szCs w:val="20"/>
          <w:color w:val="auto"/>
        </w:rPr>
      </w:pPr>
    </w:p>
    <w:p>
      <w:pPr>
        <w:spacing w:after="0"/>
        <w:rPr>
          <w:sz w:val="20"/>
          <w:szCs w:val="20"/>
          <w:color w:val="auto"/>
        </w:rPr>
      </w:pPr>
      <w:r>
        <w:rPr>
          <w:rFonts w:ascii="Arial" w:cs="Arial" w:eastAsia="Arial" w:hAnsi="Arial"/>
          <w:sz w:val="13"/>
          <w:szCs w:val="13"/>
          <w:color w:val="auto"/>
        </w:rPr>
        <w:t>Stock option activity under all of the Company’s equity incentive plans as of December 31, 2020 is as follows:</w:t>
      </w:r>
    </w:p>
    <w:p>
      <w:pPr>
        <w:spacing w:after="0" w:line="159" w:lineRule="exact"/>
        <w:rPr>
          <w:sz w:val="20"/>
          <w:szCs w:val="20"/>
          <w:color w:val="auto"/>
        </w:rPr>
      </w:pPr>
    </w:p>
    <w:tbl>
      <w:tblPr>
        <w:tblLayout w:type="fixed"/>
        <w:tblInd w:w="0" w:type="dxa"/>
        <w:tblCellMar>
          <w:top w:w="0" w:type="dxa"/>
          <w:left w:w="0" w:type="dxa"/>
          <w:bottom w:w="0" w:type="dxa"/>
          <w:right w:w="0" w:type="dxa"/>
        </w:tblCellMar>
      </w:tblPr>
      <w:tr>
        <w:trPr>
          <w:trHeight w:val="156"/>
        </w:trPr>
        <w:tc>
          <w:tcPr>
            <w:tcW w:w="20" w:type="dxa"/>
            <w:vAlign w:val="bottom"/>
          </w:tcPr>
          <w:p>
            <w:pPr>
              <w:spacing w:after="0"/>
              <w:rPr>
                <w:sz w:val="13"/>
                <w:szCs w:val="13"/>
                <w:color w:val="auto"/>
              </w:rPr>
            </w:pPr>
          </w:p>
        </w:tc>
        <w:tc>
          <w:tcPr>
            <w:tcW w:w="4060" w:type="dxa"/>
            <w:vAlign w:val="bottom"/>
          </w:tcPr>
          <w:p>
            <w:pPr>
              <w:spacing w:after="0"/>
              <w:rPr>
                <w:sz w:val="13"/>
                <w:szCs w:val="13"/>
                <w:color w:val="auto"/>
              </w:rPr>
            </w:pPr>
          </w:p>
        </w:tc>
        <w:tc>
          <w:tcPr>
            <w:tcW w:w="124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2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920" w:type="dxa"/>
            <w:vAlign w:val="bottom"/>
          </w:tcPr>
          <w:p>
            <w:pPr>
              <w:jc w:val="center"/>
              <w:ind w:left="235"/>
              <w:spacing w:after="0"/>
              <w:rPr>
                <w:sz w:val="20"/>
                <w:szCs w:val="20"/>
                <w:color w:val="auto"/>
              </w:rPr>
            </w:pPr>
            <w:r>
              <w:rPr>
                <w:rFonts w:ascii="Arial" w:cs="Arial" w:eastAsia="Arial" w:hAnsi="Arial"/>
                <w:sz w:val="13"/>
                <w:szCs w:val="13"/>
                <w:b w:val="1"/>
                <w:bCs w:val="1"/>
                <w:color w:val="auto"/>
                <w:w w:val="92"/>
              </w:rPr>
              <w:t>Weighted</w:t>
            </w:r>
          </w:p>
        </w:tc>
        <w:tc>
          <w:tcPr>
            <w:tcW w:w="3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tcPr>
          <w:p>
            <w:pPr>
              <w:jc w:val="center"/>
              <w:spacing w:after="0"/>
              <w:rPr>
                <w:sz w:val="20"/>
                <w:szCs w:val="20"/>
                <w:color w:val="auto"/>
              </w:rPr>
            </w:pPr>
            <w:r>
              <w:rPr>
                <w:rFonts w:ascii="Arial" w:cs="Arial" w:eastAsia="Arial" w:hAnsi="Arial"/>
                <w:sz w:val="13"/>
                <w:szCs w:val="13"/>
                <w:b w:val="1"/>
                <w:bCs w:val="1"/>
                <w:color w:val="auto"/>
                <w:w w:val="88"/>
              </w:rPr>
              <w:t>Weighted</w:t>
            </w:r>
          </w:p>
        </w:tc>
        <w:tc>
          <w:tcPr>
            <w:tcW w:w="20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tcPr>
          <w:p>
            <w:pPr>
              <w:spacing w:after="0"/>
              <w:rPr>
                <w:sz w:val="13"/>
                <w:szCs w:val="13"/>
                <w:color w:val="auto"/>
              </w:rPr>
            </w:pPr>
          </w:p>
        </w:tc>
        <w:tc>
          <w:tcPr>
            <w:tcW w:w="148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87"/>
              </w:rPr>
              <w:t>Shares</w:t>
            </w:r>
          </w:p>
        </w:tc>
        <w:tc>
          <w:tcPr>
            <w:tcW w:w="1400" w:type="dxa"/>
            <w:vAlign w:val="bottom"/>
            <w:gridSpan w:val="2"/>
          </w:tcPr>
          <w:p>
            <w:pPr>
              <w:jc w:val="center"/>
              <w:ind w:right="180"/>
              <w:spacing w:after="0"/>
              <w:rPr>
                <w:sz w:val="20"/>
                <w:szCs w:val="20"/>
                <w:color w:val="auto"/>
              </w:rPr>
            </w:pPr>
            <w:r>
              <w:rPr>
                <w:rFonts w:ascii="Arial" w:cs="Arial" w:eastAsia="Arial" w:hAnsi="Arial"/>
                <w:sz w:val="13"/>
                <w:szCs w:val="13"/>
                <w:b w:val="1"/>
                <w:bCs w:val="1"/>
                <w:color w:val="auto"/>
                <w:w w:val="95"/>
              </w:rPr>
              <w:t>Number of</w:t>
            </w:r>
          </w:p>
        </w:tc>
        <w:tc>
          <w:tcPr>
            <w:tcW w:w="80" w:type="dxa"/>
            <w:vAlign w:val="bottom"/>
          </w:tcPr>
          <w:p>
            <w:pPr>
              <w:spacing w:after="0"/>
              <w:rPr>
                <w:sz w:val="13"/>
                <w:szCs w:val="13"/>
                <w:color w:val="auto"/>
              </w:rPr>
            </w:pPr>
          </w:p>
        </w:tc>
        <w:tc>
          <w:tcPr>
            <w:tcW w:w="920" w:type="dxa"/>
            <w:vAlign w:val="bottom"/>
          </w:tcPr>
          <w:p>
            <w:pPr>
              <w:jc w:val="center"/>
              <w:ind w:left="275"/>
              <w:spacing w:after="0"/>
              <w:rPr>
                <w:sz w:val="20"/>
                <w:szCs w:val="20"/>
                <w:color w:val="auto"/>
              </w:rPr>
            </w:pPr>
            <w:r>
              <w:rPr>
                <w:rFonts w:ascii="Arial" w:cs="Arial" w:eastAsia="Arial" w:hAnsi="Arial"/>
                <w:sz w:val="13"/>
                <w:szCs w:val="13"/>
                <w:b w:val="1"/>
                <w:bCs w:val="1"/>
                <w:color w:val="auto"/>
                <w:w w:val="89"/>
              </w:rPr>
              <w:t>Average</w:t>
            </w:r>
          </w:p>
        </w:tc>
        <w:tc>
          <w:tcPr>
            <w:tcW w:w="3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tcPr>
          <w:p>
            <w:pPr>
              <w:jc w:val="center"/>
              <w:spacing w:after="0"/>
              <w:rPr>
                <w:sz w:val="20"/>
                <w:szCs w:val="20"/>
                <w:color w:val="auto"/>
              </w:rPr>
            </w:pPr>
            <w:r>
              <w:rPr>
                <w:rFonts w:ascii="Arial" w:cs="Arial" w:eastAsia="Arial" w:hAnsi="Arial"/>
                <w:sz w:val="13"/>
                <w:szCs w:val="13"/>
                <w:b w:val="1"/>
                <w:bCs w:val="1"/>
                <w:color w:val="auto"/>
                <w:w w:val="88"/>
              </w:rPr>
              <w:t>Average Remaining</w:t>
            </w:r>
          </w:p>
        </w:tc>
        <w:tc>
          <w:tcPr>
            <w:tcW w:w="20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120" w:type="dxa"/>
            <w:vAlign w:val="bottom"/>
            <w:gridSpan w:val="2"/>
          </w:tcPr>
          <w:p>
            <w:pPr>
              <w:jc w:val="center"/>
              <w:ind w:right="340"/>
              <w:spacing w:after="0"/>
              <w:rPr>
                <w:sz w:val="20"/>
                <w:szCs w:val="20"/>
                <w:color w:val="auto"/>
              </w:rPr>
            </w:pPr>
            <w:r>
              <w:rPr>
                <w:rFonts w:ascii="Arial" w:cs="Arial" w:eastAsia="Arial" w:hAnsi="Arial"/>
                <w:sz w:val="13"/>
                <w:szCs w:val="13"/>
                <w:b w:val="1"/>
                <w:bCs w:val="1"/>
                <w:color w:val="auto"/>
                <w:w w:val="90"/>
              </w:rPr>
              <w:t>Aggregate</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tcPr>
          <w:p>
            <w:pPr>
              <w:spacing w:after="0"/>
              <w:rPr>
                <w:sz w:val="13"/>
                <w:szCs w:val="13"/>
                <w:color w:val="auto"/>
              </w:rPr>
            </w:pPr>
          </w:p>
        </w:tc>
        <w:tc>
          <w:tcPr>
            <w:tcW w:w="1480" w:type="dxa"/>
            <w:vAlign w:val="bottom"/>
            <w:gridSpan w:val="2"/>
          </w:tcPr>
          <w:p>
            <w:pPr>
              <w:jc w:val="center"/>
              <w:ind w:right="280"/>
              <w:spacing w:after="0"/>
              <w:rPr>
                <w:sz w:val="20"/>
                <w:szCs w:val="20"/>
                <w:color w:val="auto"/>
              </w:rPr>
            </w:pPr>
            <w:r>
              <w:rPr>
                <w:rFonts w:ascii="Arial" w:cs="Arial" w:eastAsia="Arial" w:hAnsi="Arial"/>
                <w:sz w:val="13"/>
                <w:szCs w:val="13"/>
                <w:b w:val="1"/>
                <w:bCs w:val="1"/>
                <w:color w:val="auto"/>
                <w:w w:val="91"/>
              </w:rPr>
              <w:t>Available</w:t>
            </w:r>
          </w:p>
        </w:tc>
        <w:tc>
          <w:tcPr>
            <w:tcW w:w="1400" w:type="dxa"/>
            <w:vAlign w:val="bottom"/>
            <w:gridSpan w:val="2"/>
          </w:tcPr>
          <w:p>
            <w:pPr>
              <w:jc w:val="center"/>
              <w:ind w:right="140"/>
              <w:spacing w:after="0"/>
              <w:rPr>
                <w:sz w:val="20"/>
                <w:szCs w:val="20"/>
                <w:color w:val="auto"/>
              </w:rPr>
            </w:pPr>
            <w:r>
              <w:rPr>
                <w:rFonts w:ascii="Arial" w:cs="Arial" w:eastAsia="Arial" w:hAnsi="Arial"/>
                <w:sz w:val="13"/>
                <w:szCs w:val="13"/>
                <w:b w:val="1"/>
                <w:bCs w:val="1"/>
                <w:color w:val="auto"/>
                <w:w w:val="87"/>
              </w:rPr>
              <w:t>Shares</w:t>
            </w:r>
          </w:p>
        </w:tc>
        <w:tc>
          <w:tcPr>
            <w:tcW w:w="80" w:type="dxa"/>
            <w:vAlign w:val="bottom"/>
          </w:tcPr>
          <w:p>
            <w:pPr>
              <w:spacing w:after="0"/>
              <w:rPr>
                <w:sz w:val="13"/>
                <w:szCs w:val="13"/>
                <w:color w:val="auto"/>
              </w:rPr>
            </w:pPr>
          </w:p>
        </w:tc>
        <w:tc>
          <w:tcPr>
            <w:tcW w:w="920" w:type="dxa"/>
            <w:vAlign w:val="bottom"/>
          </w:tcPr>
          <w:p>
            <w:pPr>
              <w:jc w:val="center"/>
              <w:ind w:left="275"/>
              <w:spacing w:after="0"/>
              <w:rPr>
                <w:sz w:val="20"/>
                <w:szCs w:val="20"/>
                <w:color w:val="auto"/>
              </w:rPr>
            </w:pPr>
            <w:r>
              <w:rPr>
                <w:rFonts w:ascii="Arial" w:cs="Arial" w:eastAsia="Arial" w:hAnsi="Arial"/>
                <w:sz w:val="13"/>
                <w:szCs w:val="13"/>
                <w:b w:val="1"/>
                <w:bCs w:val="1"/>
                <w:color w:val="auto"/>
                <w:w w:val="85"/>
              </w:rPr>
              <w:t>Exercise</w:t>
            </w:r>
          </w:p>
        </w:tc>
        <w:tc>
          <w:tcPr>
            <w:tcW w:w="32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tcPr>
          <w:p>
            <w:pPr>
              <w:jc w:val="center"/>
              <w:spacing w:after="0"/>
              <w:rPr>
                <w:sz w:val="20"/>
                <w:szCs w:val="20"/>
                <w:color w:val="auto"/>
              </w:rPr>
            </w:pPr>
            <w:r>
              <w:rPr>
                <w:rFonts w:ascii="Arial" w:cs="Arial" w:eastAsia="Arial" w:hAnsi="Arial"/>
                <w:sz w:val="13"/>
                <w:szCs w:val="13"/>
                <w:b w:val="1"/>
                <w:bCs w:val="1"/>
                <w:color w:val="auto"/>
                <w:w w:val="94"/>
              </w:rPr>
              <w:t>Contractual</w:t>
            </w:r>
          </w:p>
        </w:tc>
        <w:tc>
          <w:tcPr>
            <w:tcW w:w="20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120" w:type="dxa"/>
            <w:vAlign w:val="bottom"/>
            <w:gridSpan w:val="2"/>
          </w:tcPr>
          <w:p>
            <w:pPr>
              <w:jc w:val="center"/>
              <w:ind w:right="340"/>
              <w:spacing w:after="0"/>
              <w:rPr>
                <w:sz w:val="20"/>
                <w:szCs w:val="20"/>
                <w:color w:val="auto"/>
              </w:rPr>
            </w:pPr>
            <w:r>
              <w:rPr>
                <w:rFonts w:ascii="Arial" w:cs="Arial" w:eastAsia="Arial" w:hAnsi="Arial"/>
                <w:sz w:val="13"/>
                <w:szCs w:val="13"/>
                <w:b w:val="1"/>
                <w:bCs w:val="1"/>
                <w:color w:val="auto"/>
                <w:w w:val="90"/>
              </w:rPr>
              <w:t>Intrinsic</w:t>
            </w: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4060" w:type="dxa"/>
            <w:vAlign w:val="bottom"/>
          </w:tcPr>
          <w:p>
            <w:pPr>
              <w:spacing w:after="0"/>
              <w:rPr>
                <w:sz w:val="14"/>
                <w:szCs w:val="14"/>
                <w:color w:val="auto"/>
              </w:rPr>
            </w:pPr>
          </w:p>
        </w:tc>
        <w:tc>
          <w:tcPr>
            <w:tcW w:w="148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97"/>
              </w:rPr>
              <w:t>for Grant</w:t>
            </w:r>
          </w:p>
        </w:tc>
        <w:tc>
          <w:tcPr>
            <w:tcW w:w="1400" w:type="dxa"/>
            <w:vAlign w:val="bottom"/>
            <w:gridSpan w:val="2"/>
          </w:tcPr>
          <w:p>
            <w:pPr>
              <w:jc w:val="center"/>
              <w:ind w:right="140"/>
              <w:spacing w:after="0"/>
              <w:rPr>
                <w:sz w:val="20"/>
                <w:szCs w:val="20"/>
                <w:color w:val="auto"/>
              </w:rPr>
            </w:pPr>
            <w:r>
              <w:rPr>
                <w:rFonts w:ascii="Arial" w:cs="Arial" w:eastAsia="Arial" w:hAnsi="Arial"/>
                <w:sz w:val="13"/>
                <w:szCs w:val="13"/>
                <w:b w:val="1"/>
                <w:bCs w:val="1"/>
                <w:color w:val="auto"/>
                <w:w w:val="91"/>
              </w:rPr>
              <w:t>Outstanding</w:t>
            </w:r>
          </w:p>
        </w:tc>
        <w:tc>
          <w:tcPr>
            <w:tcW w:w="80" w:type="dxa"/>
            <w:vAlign w:val="bottom"/>
          </w:tcPr>
          <w:p>
            <w:pPr>
              <w:spacing w:after="0"/>
              <w:rPr>
                <w:sz w:val="14"/>
                <w:szCs w:val="14"/>
                <w:color w:val="auto"/>
              </w:rPr>
            </w:pPr>
          </w:p>
        </w:tc>
        <w:tc>
          <w:tcPr>
            <w:tcW w:w="920" w:type="dxa"/>
            <w:vAlign w:val="bottom"/>
          </w:tcPr>
          <w:p>
            <w:pPr>
              <w:jc w:val="center"/>
              <w:ind w:left="275"/>
              <w:spacing w:after="0"/>
              <w:rPr>
                <w:sz w:val="20"/>
                <w:szCs w:val="20"/>
                <w:color w:val="auto"/>
              </w:rPr>
            </w:pPr>
            <w:r>
              <w:rPr>
                <w:rFonts w:ascii="Arial" w:cs="Arial" w:eastAsia="Arial" w:hAnsi="Arial"/>
                <w:sz w:val="13"/>
                <w:szCs w:val="13"/>
                <w:b w:val="1"/>
                <w:bCs w:val="1"/>
                <w:color w:val="auto"/>
                <w:w w:val="94"/>
              </w:rPr>
              <w:t>Price</w:t>
            </w:r>
          </w:p>
        </w:tc>
        <w:tc>
          <w:tcPr>
            <w:tcW w:w="32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60" w:type="dxa"/>
            <w:vAlign w:val="bottom"/>
          </w:tcPr>
          <w:p>
            <w:pPr>
              <w:jc w:val="center"/>
              <w:spacing w:after="0"/>
              <w:rPr>
                <w:sz w:val="20"/>
                <w:szCs w:val="20"/>
                <w:color w:val="auto"/>
              </w:rPr>
            </w:pPr>
            <w:r>
              <w:rPr>
                <w:rFonts w:ascii="Arial" w:cs="Arial" w:eastAsia="Arial" w:hAnsi="Arial"/>
                <w:sz w:val="13"/>
                <w:szCs w:val="13"/>
                <w:b w:val="1"/>
                <w:bCs w:val="1"/>
                <w:color w:val="auto"/>
                <w:w w:val="90"/>
              </w:rPr>
              <w:t>Life (Years)</w:t>
            </w:r>
          </w:p>
        </w:tc>
        <w:tc>
          <w:tcPr>
            <w:tcW w:w="20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120" w:type="dxa"/>
            <w:vAlign w:val="bottom"/>
            <w:gridSpan w:val="2"/>
          </w:tcPr>
          <w:p>
            <w:pPr>
              <w:jc w:val="center"/>
              <w:ind w:right="320"/>
              <w:spacing w:after="0"/>
              <w:rPr>
                <w:sz w:val="20"/>
                <w:szCs w:val="20"/>
                <w:color w:val="auto"/>
              </w:rPr>
            </w:pPr>
            <w:r>
              <w:rPr>
                <w:rFonts w:ascii="Arial" w:cs="Arial" w:eastAsia="Arial" w:hAnsi="Arial"/>
                <w:sz w:val="13"/>
                <w:szCs w:val="13"/>
                <w:b w:val="1"/>
                <w:bCs w:val="1"/>
                <w:color w:val="auto"/>
                <w:w w:val="92"/>
              </w:rPr>
              <w:t>Value</w:t>
            </w: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4060" w:type="dxa"/>
            <w:vAlign w:val="bottom"/>
            <w:tcBorders>
              <w:top w:val="single" w:sz="8" w:color="CCEEFF"/>
            </w:tcBorders>
            <w:shd w:val="clear" w:color="auto" w:fill="CCEEFF"/>
          </w:tcPr>
          <w:p>
            <w:pPr>
              <w:spacing w:after="0" w:line="146" w:lineRule="exact"/>
              <w:rPr>
                <w:sz w:val="20"/>
                <w:szCs w:val="20"/>
                <w:color w:val="auto"/>
              </w:rPr>
            </w:pPr>
            <w:r>
              <w:rPr>
                <w:rFonts w:ascii="Arial" w:cs="Arial" w:eastAsia="Arial" w:hAnsi="Arial"/>
                <w:sz w:val="13"/>
                <w:szCs w:val="13"/>
                <w:color w:val="auto"/>
              </w:rPr>
              <w:t>Outstanding as of December 31, 2018</w:t>
            </w:r>
          </w:p>
        </w:tc>
        <w:tc>
          <w:tcPr>
            <w:tcW w:w="124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4,861,890</w:t>
            </w:r>
          </w:p>
        </w:tc>
        <w:tc>
          <w:tcPr>
            <w:tcW w:w="240" w:type="dxa"/>
            <w:vAlign w:val="bottom"/>
            <w:tcBorders>
              <w:top w:val="single" w:sz="8" w:color="CCEEFF"/>
            </w:tcBorders>
            <w:shd w:val="clear" w:color="auto" w:fill="CCEEFF"/>
          </w:tcPr>
          <w:p>
            <w:pPr>
              <w:spacing w:after="0"/>
              <w:rPr>
                <w:sz w:val="12"/>
                <w:szCs w:val="12"/>
                <w:color w:val="auto"/>
              </w:rPr>
            </w:pPr>
          </w:p>
        </w:tc>
        <w:tc>
          <w:tcPr>
            <w:tcW w:w="12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4,167,924</w:t>
            </w:r>
          </w:p>
        </w:tc>
        <w:tc>
          <w:tcPr>
            <w:tcW w:w="140" w:type="dxa"/>
            <w:vAlign w:val="bottom"/>
            <w:tcBorders>
              <w:top w:val="single" w:sz="8" w:color="CCEEFF"/>
            </w:tcBorders>
            <w:shd w:val="clear" w:color="auto" w:fill="CCEEFF"/>
          </w:tcPr>
          <w:p>
            <w:pPr>
              <w:spacing w:after="0"/>
              <w:rPr>
                <w:sz w:val="12"/>
                <w:szCs w:val="12"/>
                <w:color w:val="auto"/>
              </w:rPr>
            </w:pPr>
          </w:p>
        </w:tc>
        <w:tc>
          <w:tcPr>
            <w:tcW w:w="80" w:type="dxa"/>
            <w:vAlign w:val="bottom"/>
            <w:tcBorders>
              <w:top w:val="single" w:sz="8" w:color="CCEEFF"/>
            </w:tcBorders>
            <w:shd w:val="clear" w:color="auto" w:fill="CCEEFF"/>
          </w:tcPr>
          <w:p>
            <w:pPr>
              <w:spacing w:after="0"/>
              <w:rPr>
                <w:sz w:val="12"/>
                <w:szCs w:val="12"/>
                <w:color w:val="auto"/>
              </w:rPr>
            </w:pPr>
          </w:p>
        </w:tc>
        <w:tc>
          <w:tcPr>
            <w:tcW w:w="920" w:type="dxa"/>
            <w:vAlign w:val="bottom"/>
            <w:tcBorders>
              <w:top w:val="single" w:sz="8" w:color="auto"/>
            </w:tcBorders>
            <w:shd w:val="clear" w:color="auto" w:fill="CCEEFF"/>
          </w:tcPr>
          <w:p>
            <w:pPr>
              <w:jc w:val="right"/>
              <w:ind w:right="775"/>
              <w:spacing w:after="0" w:line="147" w:lineRule="exact"/>
              <w:rPr>
                <w:sz w:val="20"/>
                <w:szCs w:val="20"/>
                <w:color w:val="auto"/>
              </w:rPr>
            </w:pPr>
            <w:r>
              <w:rPr>
                <w:rFonts w:ascii="Arial" w:cs="Arial" w:eastAsia="Arial" w:hAnsi="Arial"/>
                <w:sz w:val="13"/>
                <w:szCs w:val="13"/>
                <w:color w:val="auto"/>
                <w:w w:val="82"/>
              </w:rPr>
              <w:t>$</w:t>
            </w:r>
          </w:p>
        </w:tc>
        <w:tc>
          <w:tcPr>
            <w:tcW w:w="320" w:type="dxa"/>
            <w:vAlign w:val="bottom"/>
            <w:tcBorders>
              <w:top w:val="single" w:sz="8" w:color="auto"/>
            </w:tcBorders>
            <w:shd w:val="clear" w:color="auto" w:fill="CCEEFF"/>
          </w:tcPr>
          <w:p>
            <w:pPr>
              <w:ind w:left="40"/>
              <w:spacing w:after="0" w:line="147" w:lineRule="exact"/>
              <w:rPr>
                <w:sz w:val="20"/>
                <w:szCs w:val="20"/>
                <w:color w:val="auto"/>
              </w:rPr>
            </w:pPr>
            <w:r>
              <w:rPr>
                <w:rFonts w:ascii="Arial" w:cs="Arial" w:eastAsia="Arial" w:hAnsi="Arial"/>
                <w:sz w:val="13"/>
                <w:szCs w:val="13"/>
                <w:color w:val="auto"/>
                <w:w w:val="79"/>
              </w:rPr>
              <w:t>0.780</w:t>
            </w:r>
          </w:p>
        </w:tc>
        <w:tc>
          <w:tcPr>
            <w:tcW w:w="220" w:type="dxa"/>
            <w:vAlign w:val="bottom"/>
            <w:tcBorders>
              <w:top w:val="single" w:sz="8" w:color="CCEEFF"/>
            </w:tcBorders>
            <w:shd w:val="clear" w:color="auto" w:fill="CCEEFF"/>
          </w:tcPr>
          <w:p>
            <w:pPr>
              <w:spacing w:after="0"/>
              <w:rPr>
                <w:sz w:val="12"/>
                <w:szCs w:val="12"/>
                <w:color w:val="auto"/>
              </w:rPr>
            </w:pPr>
          </w:p>
        </w:tc>
        <w:tc>
          <w:tcPr>
            <w:tcW w:w="1260" w:type="dxa"/>
            <w:vAlign w:val="bottom"/>
            <w:tcBorders>
              <w:top w:val="single" w:sz="8" w:color="auto"/>
              <w:right w:val="single" w:sz="8" w:color="CCEEFF"/>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6.61</w:t>
            </w:r>
          </w:p>
        </w:tc>
        <w:tc>
          <w:tcPr>
            <w:tcW w:w="200" w:type="dxa"/>
            <w:vAlign w:val="bottom"/>
            <w:tcBorders>
              <w:top w:val="single" w:sz="8" w:color="CCEEFF"/>
            </w:tcBorders>
            <w:shd w:val="clear" w:color="auto" w:fill="CCEEFF"/>
          </w:tcPr>
          <w:p>
            <w:pPr>
              <w:spacing w:after="0"/>
              <w:rPr>
                <w:sz w:val="12"/>
                <w:szCs w:val="12"/>
                <w:color w:val="auto"/>
              </w:rPr>
            </w:pPr>
          </w:p>
        </w:tc>
        <w:tc>
          <w:tcPr>
            <w:tcW w:w="200" w:type="dxa"/>
            <w:vAlign w:val="bottom"/>
            <w:tcBorders>
              <w:top w:val="single" w:sz="8" w:color="auto"/>
            </w:tcBorders>
            <w:shd w:val="clear" w:color="auto" w:fill="CCEEFF"/>
          </w:tcPr>
          <w:p>
            <w:pPr>
              <w:jc w:val="right"/>
              <w:ind w:right="63"/>
              <w:spacing w:after="0" w:line="147" w:lineRule="exact"/>
              <w:rPr>
                <w:sz w:val="20"/>
                <w:szCs w:val="20"/>
                <w:color w:val="auto"/>
              </w:rPr>
            </w:pPr>
            <w:r>
              <w:rPr>
                <w:rFonts w:ascii="Arial" w:cs="Arial" w:eastAsia="Arial" w:hAnsi="Arial"/>
                <w:sz w:val="13"/>
                <w:szCs w:val="13"/>
                <w:color w:val="auto"/>
                <w:w w:val="82"/>
              </w:rPr>
              <w:t>$</w:t>
            </w:r>
          </w:p>
        </w:tc>
        <w:tc>
          <w:tcPr>
            <w:tcW w:w="102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1,911,709</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tcPr>
          <w:p>
            <w:pPr>
              <w:ind w:left="100"/>
              <w:spacing w:after="0"/>
              <w:rPr>
                <w:sz w:val="20"/>
                <w:szCs w:val="20"/>
                <w:color w:val="auto"/>
              </w:rPr>
            </w:pPr>
            <w:r>
              <w:rPr>
                <w:rFonts w:ascii="Arial" w:cs="Arial" w:eastAsia="Arial" w:hAnsi="Arial"/>
                <w:sz w:val="13"/>
                <w:szCs w:val="13"/>
                <w:color w:val="auto"/>
              </w:rPr>
              <w:t>Granted</w:t>
            </w:r>
          </w:p>
        </w:tc>
        <w:tc>
          <w:tcPr>
            <w:tcW w:w="1480" w:type="dxa"/>
            <w:vAlign w:val="bottom"/>
            <w:gridSpan w:val="2"/>
          </w:tcPr>
          <w:p>
            <w:pPr>
              <w:jc w:val="right"/>
              <w:ind w:right="200"/>
              <w:spacing w:after="0"/>
              <w:rPr>
                <w:sz w:val="20"/>
                <w:szCs w:val="20"/>
                <w:color w:val="auto"/>
              </w:rPr>
            </w:pPr>
            <w:r>
              <w:rPr>
                <w:rFonts w:ascii="Arial" w:cs="Arial" w:eastAsia="Arial" w:hAnsi="Arial"/>
                <w:sz w:val="13"/>
                <w:szCs w:val="13"/>
                <w:color w:val="auto"/>
              </w:rPr>
              <w:t>(4,308,500)</w:t>
            </w:r>
          </w:p>
        </w:tc>
        <w:tc>
          <w:tcPr>
            <w:tcW w:w="1260" w:type="dxa"/>
            <w:vAlign w:val="bottom"/>
          </w:tcPr>
          <w:p>
            <w:pPr>
              <w:jc w:val="right"/>
              <w:spacing w:after="0"/>
              <w:rPr>
                <w:sz w:val="20"/>
                <w:szCs w:val="20"/>
                <w:color w:val="auto"/>
              </w:rPr>
            </w:pPr>
            <w:r>
              <w:rPr>
                <w:rFonts w:ascii="Arial" w:cs="Arial" w:eastAsia="Arial" w:hAnsi="Arial"/>
                <w:sz w:val="13"/>
                <w:szCs w:val="13"/>
                <w:color w:val="auto"/>
              </w:rPr>
              <w:t>4,308,500</w:t>
            </w: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920" w:type="dxa"/>
            <w:vAlign w:val="bottom"/>
          </w:tcPr>
          <w:p>
            <w:pPr>
              <w:spacing w:after="0"/>
              <w:rPr>
                <w:sz w:val="13"/>
                <w:szCs w:val="13"/>
                <w:color w:val="auto"/>
              </w:rPr>
            </w:pPr>
          </w:p>
        </w:tc>
        <w:tc>
          <w:tcPr>
            <w:tcW w:w="540" w:type="dxa"/>
            <w:vAlign w:val="bottom"/>
            <w:gridSpan w:val="2"/>
          </w:tcPr>
          <w:p>
            <w:pPr>
              <w:ind w:left="40"/>
              <w:spacing w:after="0"/>
              <w:rPr>
                <w:sz w:val="20"/>
                <w:szCs w:val="20"/>
                <w:color w:val="auto"/>
              </w:rPr>
            </w:pPr>
            <w:r>
              <w:rPr>
                <w:rFonts w:ascii="Arial" w:cs="Arial" w:eastAsia="Arial" w:hAnsi="Arial"/>
                <w:sz w:val="13"/>
                <w:szCs w:val="13"/>
                <w:color w:val="auto"/>
              </w:rPr>
              <w:t>1.208</w:t>
            </w:r>
          </w:p>
        </w:tc>
        <w:tc>
          <w:tcPr>
            <w:tcW w:w="126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4060" w:type="dxa"/>
            <w:vAlign w:val="bottom"/>
            <w:shd w:val="clear" w:color="auto" w:fill="CCEEFF"/>
          </w:tcPr>
          <w:p>
            <w:pPr>
              <w:ind w:left="100"/>
              <w:spacing w:after="0"/>
              <w:rPr>
                <w:sz w:val="20"/>
                <w:szCs w:val="20"/>
                <w:color w:val="auto"/>
              </w:rPr>
            </w:pPr>
            <w:r>
              <w:rPr>
                <w:rFonts w:ascii="Arial" w:cs="Arial" w:eastAsia="Arial" w:hAnsi="Arial"/>
                <w:sz w:val="13"/>
                <w:szCs w:val="13"/>
                <w:color w:val="auto"/>
              </w:rPr>
              <w:t>Forfeited</w:t>
            </w:r>
          </w:p>
        </w:tc>
        <w:tc>
          <w:tcPr>
            <w:tcW w:w="12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4,206,176</w:t>
            </w:r>
          </w:p>
        </w:tc>
        <w:tc>
          <w:tcPr>
            <w:tcW w:w="240" w:type="dxa"/>
            <w:vAlign w:val="bottom"/>
            <w:shd w:val="clear" w:color="auto" w:fill="CCEEFF"/>
          </w:tcPr>
          <w:p>
            <w:pPr>
              <w:spacing w:after="0"/>
              <w:rPr>
                <w:sz w:val="14"/>
                <w:szCs w:val="14"/>
                <w:color w:val="auto"/>
              </w:rPr>
            </w:pPr>
          </w:p>
        </w:tc>
        <w:tc>
          <w:tcPr>
            <w:tcW w:w="140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(4,206,176)</w:t>
            </w:r>
          </w:p>
        </w:tc>
        <w:tc>
          <w:tcPr>
            <w:tcW w:w="80" w:type="dxa"/>
            <w:vAlign w:val="bottom"/>
            <w:shd w:val="clear" w:color="auto" w:fill="CCEEFF"/>
          </w:tcPr>
          <w:p>
            <w:pPr>
              <w:spacing w:after="0"/>
              <w:rPr>
                <w:sz w:val="14"/>
                <w:szCs w:val="14"/>
                <w:color w:val="auto"/>
              </w:rPr>
            </w:pPr>
          </w:p>
        </w:tc>
        <w:tc>
          <w:tcPr>
            <w:tcW w:w="920" w:type="dxa"/>
            <w:vAlign w:val="bottom"/>
            <w:shd w:val="clear" w:color="auto" w:fill="CCEEFF"/>
          </w:tcPr>
          <w:p>
            <w:pPr>
              <w:spacing w:after="0"/>
              <w:rPr>
                <w:sz w:val="14"/>
                <w:szCs w:val="14"/>
                <w:color w:val="auto"/>
              </w:rPr>
            </w:pPr>
          </w:p>
        </w:tc>
        <w:tc>
          <w:tcPr>
            <w:tcW w:w="540" w:type="dxa"/>
            <w:vAlign w:val="bottom"/>
            <w:gridSpan w:val="2"/>
            <w:shd w:val="clear" w:color="auto" w:fill="CCEEFF"/>
          </w:tcPr>
          <w:p>
            <w:pPr>
              <w:ind w:left="40"/>
              <w:spacing w:after="0"/>
              <w:rPr>
                <w:sz w:val="20"/>
                <w:szCs w:val="20"/>
                <w:color w:val="auto"/>
              </w:rPr>
            </w:pPr>
            <w:r>
              <w:rPr>
                <w:rFonts w:ascii="Arial" w:cs="Arial" w:eastAsia="Arial" w:hAnsi="Arial"/>
                <w:sz w:val="13"/>
                <w:szCs w:val="13"/>
                <w:color w:val="auto"/>
              </w:rPr>
              <w:t>0.942</w:t>
            </w:r>
          </w:p>
        </w:tc>
        <w:tc>
          <w:tcPr>
            <w:tcW w:w="1260" w:type="dxa"/>
            <w:vAlign w:val="bottom"/>
            <w:tcBorders>
              <w:right w:val="single" w:sz="8" w:color="CCEEFF"/>
            </w:tcBorders>
            <w:shd w:val="clear" w:color="auto" w:fill="CCEEFF"/>
          </w:tcPr>
          <w:p>
            <w:pPr>
              <w:spacing w:after="0"/>
              <w:rPr>
                <w:sz w:val="14"/>
                <w:szCs w:val="14"/>
                <w:color w:val="auto"/>
              </w:rPr>
            </w:pPr>
          </w:p>
        </w:tc>
        <w:tc>
          <w:tcPr>
            <w:tcW w:w="200" w:type="dxa"/>
            <w:vAlign w:val="bottom"/>
            <w:shd w:val="clear" w:color="auto" w:fill="CCEEFF"/>
          </w:tcPr>
          <w:p>
            <w:pPr>
              <w:spacing w:after="0"/>
              <w:rPr>
                <w:sz w:val="14"/>
                <w:szCs w:val="14"/>
                <w:color w:val="auto"/>
              </w:rPr>
            </w:pPr>
          </w:p>
        </w:tc>
        <w:tc>
          <w:tcPr>
            <w:tcW w:w="200" w:type="dxa"/>
            <w:vAlign w:val="bottom"/>
            <w:shd w:val="clear" w:color="auto" w:fill="CCEEFF"/>
          </w:tcPr>
          <w:p>
            <w:pPr>
              <w:spacing w:after="0"/>
              <w:rPr>
                <w:sz w:val="14"/>
                <w:szCs w:val="14"/>
                <w:color w:val="auto"/>
              </w:rPr>
            </w:pPr>
          </w:p>
        </w:tc>
        <w:tc>
          <w:tcPr>
            <w:tcW w:w="1020" w:type="dxa"/>
            <w:vAlign w:val="bottom"/>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6"/>
        </w:trPr>
        <w:tc>
          <w:tcPr>
            <w:tcW w:w="4080" w:type="dxa"/>
            <w:vAlign w:val="bottom"/>
            <w:gridSpan w:val="2"/>
          </w:tcPr>
          <w:p>
            <w:pPr>
              <w:spacing w:after="0" w:line="145" w:lineRule="exact"/>
              <w:rPr>
                <w:sz w:val="20"/>
                <w:szCs w:val="20"/>
                <w:color w:val="auto"/>
              </w:rPr>
            </w:pPr>
            <w:r>
              <w:rPr>
                <w:rFonts w:ascii="Arial" w:cs="Arial" w:eastAsia="Arial" w:hAnsi="Arial"/>
                <w:sz w:val="13"/>
                <w:szCs w:val="13"/>
                <w:color w:val="auto"/>
              </w:rPr>
              <w:t>Outstanding as of December 31, 2019</w:t>
            </w:r>
          </w:p>
        </w:tc>
        <w:tc>
          <w:tcPr>
            <w:tcW w:w="1240" w:type="dxa"/>
            <w:vAlign w:val="bottom"/>
            <w:tcBorders>
              <w:top w:val="single" w:sz="8" w:color="auto"/>
            </w:tcBorders>
          </w:tcPr>
          <w:p>
            <w:pPr>
              <w:jc w:val="right"/>
              <w:spacing w:after="0" w:line="146" w:lineRule="exact"/>
              <w:rPr>
                <w:sz w:val="20"/>
                <w:szCs w:val="20"/>
                <w:color w:val="auto"/>
              </w:rPr>
            </w:pPr>
            <w:r>
              <w:rPr>
                <w:rFonts w:ascii="Arial" w:cs="Arial" w:eastAsia="Arial" w:hAnsi="Arial"/>
                <w:sz w:val="13"/>
                <w:szCs w:val="13"/>
                <w:color w:val="auto"/>
              </w:rPr>
              <w:t>4,759,566</w:t>
            </w:r>
          </w:p>
        </w:tc>
        <w:tc>
          <w:tcPr>
            <w:tcW w:w="240" w:type="dxa"/>
            <w:vAlign w:val="bottom"/>
          </w:tcPr>
          <w:p>
            <w:pPr>
              <w:spacing w:after="0"/>
              <w:rPr>
                <w:sz w:val="12"/>
                <w:szCs w:val="12"/>
                <w:color w:val="auto"/>
              </w:rPr>
            </w:pPr>
          </w:p>
        </w:tc>
        <w:tc>
          <w:tcPr>
            <w:tcW w:w="1260" w:type="dxa"/>
            <w:vAlign w:val="bottom"/>
            <w:tcBorders>
              <w:top w:val="single" w:sz="8" w:color="auto"/>
            </w:tcBorders>
          </w:tcPr>
          <w:p>
            <w:pPr>
              <w:jc w:val="right"/>
              <w:spacing w:after="0" w:line="146" w:lineRule="exact"/>
              <w:rPr>
                <w:sz w:val="20"/>
                <w:szCs w:val="20"/>
                <w:color w:val="auto"/>
              </w:rPr>
            </w:pPr>
            <w:r>
              <w:rPr>
                <w:rFonts w:ascii="Arial" w:cs="Arial" w:eastAsia="Arial" w:hAnsi="Arial"/>
                <w:sz w:val="13"/>
                <w:szCs w:val="13"/>
                <w:color w:val="auto"/>
              </w:rPr>
              <w:t>4,270,248</w:t>
            </w:r>
          </w:p>
        </w:tc>
        <w:tc>
          <w:tcPr>
            <w:tcW w:w="1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920" w:type="dxa"/>
            <w:vAlign w:val="bottom"/>
            <w:tcBorders>
              <w:top w:val="single" w:sz="8" w:color="auto"/>
            </w:tcBorders>
          </w:tcPr>
          <w:p>
            <w:pPr>
              <w:spacing w:after="0"/>
              <w:rPr>
                <w:sz w:val="12"/>
                <w:szCs w:val="12"/>
                <w:color w:val="auto"/>
              </w:rPr>
            </w:pPr>
          </w:p>
        </w:tc>
        <w:tc>
          <w:tcPr>
            <w:tcW w:w="320" w:type="dxa"/>
            <w:vAlign w:val="bottom"/>
            <w:tcBorders>
              <w:top w:val="single" w:sz="8" w:color="auto"/>
            </w:tcBorders>
          </w:tcPr>
          <w:p>
            <w:pPr>
              <w:ind w:left="40"/>
              <w:spacing w:after="0" w:line="146" w:lineRule="exact"/>
              <w:rPr>
                <w:sz w:val="20"/>
                <w:szCs w:val="20"/>
                <w:color w:val="auto"/>
              </w:rPr>
            </w:pPr>
            <w:r>
              <w:rPr>
                <w:rFonts w:ascii="Arial" w:cs="Arial" w:eastAsia="Arial" w:hAnsi="Arial"/>
                <w:sz w:val="13"/>
                <w:szCs w:val="13"/>
                <w:color w:val="auto"/>
                <w:w w:val="79"/>
              </w:rPr>
              <w:t>1.054</w:t>
            </w:r>
          </w:p>
        </w:tc>
        <w:tc>
          <w:tcPr>
            <w:tcW w:w="220" w:type="dxa"/>
            <w:vAlign w:val="bottom"/>
          </w:tcPr>
          <w:p>
            <w:pPr>
              <w:spacing w:after="0"/>
              <w:rPr>
                <w:sz w:val="12"/>
                <w:szCs w:val="12"/>
                <w:color w:val="auto"/>
              </w:rPr>
            </w:pPr>
          </w:p>
        </w:tc>
        <w:tc>
          <w:tcPr>
            <w:tcW w:w="1260" w:type="dxa"/>
            <w:vAlign w:val="bottom"/>
            <w:tcBorders>
              <w:top w:val="single" w:sz="8" w:color="auto"/>
            </w:tcBorders>
          </w:tcPr>
          <w:p>
            <w:pPr>
              <w:jc w:val="right"/>
              <w:spacing w:after="0" w:line="146" w:lineRule="exact"/>
              <w:rPr>
                <w:sz w:val="20"/>
                <w:szCs w:val="20"/>
                <w:color w:val="auto"/>
              </w:rPr>
            </w:pPr>
            <w:r>
              <w:rPr>
                <w:rFonts w:ascii="Arial" w:cs="Arial" w:eastAsia="Arial" w:hAnsi="Arial"/>
                <w:sz w:val="13"/>
                <w:szCs w:val="13"/>
                <w:color w:val="auto"/>
              </w:rPr>
              <w:t>7.92</w:t>
            </w:r>
          </w:p>
        </w:tc>
        <w:tc>
          <w:tcPr>
            <w:tcW w:w="200" w:type="dxa"/>
            <w:vAlign w:val="bottom"/>
          </w:tcPr>
          <w:p>
            <w:pPr>
              <w:spacing w:after="0"/>
              <w:rPr>
                <w:sz w:val="12"/>
                <w:szCs w:val="12"/>
                <w:color w:val="auto"/>
              </w:rPr>
            </w:pPr>
          </w:p>
        </w:tc>
        <w:tc>
          <w:tcPr>
            <w:tcW w:w="200" w:type="dxa"/>
            <w:vAlign w:val="bottom"/>
            <w:tcBorders>
              <w:top w:val="single" w:sz="8" w:color="auto"/>
            </w:tcBorders>
          </w:tcPr>
          <w:p>
            <w:pPr>
              <w:spacing w:after="0"/>
              <w:rPr>
                <w:sz w:val="12"/>
                <w:szCs w:val="12"/>
                <w:color w:val="auto"/>
              </w:rPr>
            </w:pPr>
          </w:p>
        </w:tc>
        <w:tc>
          <w:tcPr>
            <w:tcW w:w="1020" w:type="dxa"/>
            <w:vAlign w:val="bottom"/>
            <w:tcBorders>
              <w:top w:val="single" w:sz="8" w:color="auto"/>
            </w:tcBorders>
          </w:tcPr>
          <w:p>
            <w:pPr>
              <w:jc w:val="right"/>
              <w:spacing w:after="0" w:line="146" w:lineRule="exact"/>
              <w:rPr>
                <w:sz w:val="20"/>
                <w:szCs w:val="20"/>
                <w:color w:val="auto"/>
              </w:rPr>
            </w:pPr>
            <w:r>
              <w:rPr>
                <w:rFonts w:ascii="Arial" w:cs="Arial" w:eastAsia="Arial" w:hAnsi="Arial"/>
                <w:sz w:val="13"/>
                <w:szCs w:val="13"/>
                <w:color w:val="auto"/>
              </w:rPr>
              <w:t>178,469</w:t>
            </w: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shd w:val="clear" w:color="auto" w:fill="CCEEFF"/>
          </w:tcPr>
          <w:p>
            <w:pPr>
              <w:ind w:left="100"/>
              <w:spacing w:after="0"/>
              <w:rPr>
                <w:sz w:val="20"/>
                <w:szCs w:val="20"/>
                <w:color w:val="auto"/>
              </w:rPr>
            </w:pPr>
            <w:r>
              <w:rPr>
                <w:rFonts w:ascii="Arial" w:cs="Arial" w:eastAsia="Arial" w:hAnsi="Arial"/>
                <w:sz w:val="13"/>
                <w:szCs w:val="13"/>
                <w:color w:val="auto"/>
              </w:rPr>
              <w:t>Granted</w:t>
            </w:r>
          </w:p>
        </w:tc>
        <w:tc>
          <w:tcPr>
            <w:tcW w:w="1480" w:type="dxa"/>
            <w:vAlign w:val="bottom"/>
            <w:gridSpan w:val="2"/>
            <w:shd w:val="clear" w:color="auto" w:fill="CCEEFF"/>
          </w:tcPr>
          <w:p>
            <w:pPr>
              <w:jc w:val="right"/>
              <w:ind w:right="200"/>
              <w:spacing w:after="0"/>
              <w:rPr>
                <w:sz w:val="20"/>
                <w:szCs w:val="20"/>
                <w:color w:val="auto"/>
              </w:rPr>
            </w:pPr>
            <w:r>
              <w:rPr>
                <w:rFonts w:ascii="Arial" w:cs="Arial" w:eastAsia="Arial" w:hAnsi="Arial"/>
                <w:sz w:val="13"/>
                <w:szCs w:val="13"/>
                <w:color w:val="auto"/>
              </w:rPr>
              <w:t>(4,239,500)</w:t>
            </w:r>
          </w:p>
        </w:tc>
        <w:tc>
          <w:tcPr>
            <w:tcW w:w="12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4,239,500</w:t>
            </w:r>
          </w:p>
        </w:tc>
        <w:tc>
          <w:tcPr>
            <w:tcW w:w="140" w:type="dxa"/>
            <w:vAlign w:val="bottom"/>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920" w:type="dxa"/>
            <w:vAlign w:val="bottom"/>
            <w:shd w:val="clear" w:color="auto" w:fill="CCEEFF"/>
          </w:tcPr>
          <w:p>
            <w:pPr>
              <w:spacing w:after="0"/>
              <w:rPr>
                <w:sz w:val="13"/>
                <w:szCs w:val="13"/>
                <w:color w:val="auto"/>
              </w:rPr>
            </w:pPr>
          </w:p>
        </w:tc>
        <w:tc>
          <w:tcPr>
            <w:tcW w:w="54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1.52</w:t>
            </w:r>
          </w:p>
        </w:tc>
        <w:tc>
          <w:tcPr>
            <w:tcW w:w="1260" w:type="dxa"/>
            <w:vAlign w:val="bottom"/>
            <w:tcBorders>
              <w:right w:val="single" w:sz="8" w:color="CCEEFF"/>
            </w:tcBorders>
            <w:shd w:val="clear" w:color="auto" w:fill="CCEEFF"/>
          </w:tcPr>
          <w:p>
            <w:pPr>
              <w:spacing w:after="0"/>
              <w:rPr>
                <w:sz w:val="13"/>
                <w:szCs w:val="13"/>
                <w:color w:val="auto"/>
              </w:rPr>
            </w:pPr>
          </w:p>
        </w:tc>
        <w:tc>
          <w:tcPr>
            <w:tcW w:w="200" w:type="dxa"/>
            <w:vAlign w:val="bottom"/>
            <w:shd w:val="clear" w:color="auto" w:fill="CCEEFF"/>
          </w:tcPr>
          <w:p>
            <w:pPr>
              <w:spacing w:after="0"/>
              <w:rPr>
                <w:sz w:val="13"/>
                <w:szCs w:val="13"/>
                <w:color w:val="auto"/>
              </w:rPr>
            </w:pPr>
          </w:p>
        </w:tc>
        <w:tc>
          <w:tcPr>
            <w:tcW w:w="20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tcPr>
          <w:p>
            <w:pPr>
              <w:ind w:left="100"/>
              <w:spacing w:after="0"/>
              <w:rPr>
                <w:sz w:val="20"/>
                <w:szCs w:val="20"/>
                <w:color w:val="auto"/>
              </w:rPr>
            </w:pPr>
            <w:r>
              <w:rPr>
                <w:rFonts w:ascii="Arial" w:cs="Arial" w:eastAsia="Arial" w:hAnsi="Arial"/>
                <w:sz w:val="13"/>
                <w:szCs w:val="13"/>
                <w:color w:val="auto"/>
              </w:rPr>
              <w:t>Vested exercised</w:t>
            </w:r>
          </w:p>
        </w:tc>
        <w:tc>
          <w:tcPr>
            <w:tcW w:w="124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400" w:type="dxa"/>
            <w:vAlign w:val="bottom"/>
            <w:gridSpan w:val="2"/>
          </w:tcPr>
          <w:p>
            <w:pPr>
              <w:jc w:val="right"/>
              <w:ind w:right="100"/>
              <w:spacing w:after="0"/>
              <w:rPr>
                <w:sz w:val="20"/>
                <w:szCs w:val="20"/>
                <w:color w:val="auto"/>
              </w:rPr>
            </w:pPr>
            <w:r>
              <w:rPr>
                <w:rFonts w:ascii="Arial" w:cs="Arial" w:eastAsia="Arial" w:hAnsi="Arial"/>
                <w:sz w:val="13"/>
                <w:szCs w:val="13"/>
                <w:color w:val="auto"/>
              </w:rPr>
              <w:t>(10,000)</w:t>
            </w:r>
          </w:p>
        </w:tc>
        <w:tc>
          <w:tcPr>
            <w:tcW w:w="80" w:type="dxa"/>
            <w:vAlign w:val="bottom"/>
          </w:tcPr>
          <w:p>
            <w:pPr>
              <w:spacing w:after="0"/>
              <w:rPr>
                <w:sz w:val="13"/>
                <w:szCs w:val="13"/>
                <w:color w:val="auto"/>
              </w:rPr>
            </w:pPr>
          </w:p>
        </w:tc>
        <w:tc>
          <w:tcPr>
            <w:tcW w:w="920" w:type="dxa"/>
            <w:vAlign w:val="bottom"/>
          </w:tcPr>
          <w:p>
            <w:pPr>
              <w:spacing w:after="0"/>
              <w:rPr>
                <w:sz w:val="13"/>
                <w:szCs w:val="13"/>
                <w:color w:val="auto"/>
              </w:rPr>
            </w:pPr>
          </w:p>
        </w:tc>
        <w:tc>
          <w:tcPr>
            <w:tcW w:w="540" w:type="dxa"/>
            <w:vAlign w:val="bottom"/>
            <w:gridSpan w:val="2"/>
          </w:tcPr>
          <w:p>
            <w:pPr>
              <w:ind w:left="40"/>
              <w:spacing w:after="0"/>
              <w:rPr>
                <w:sz w:val="20"/>
                <w:szCs w:val="20"/>
                <w:color w:val="auto"/>
              </w:rPr>
            </w:pPr>
            <w:r>
              <w:rPr>
                <w:rFonts w:ascii="Arial" w:cs="Arial" w:eastAsia="Arial" w:hAnsi="Arial"/>
                <w:sz w:val="13"/>
                <w:szCs w:val="13"/>
                <w:color w:val="auto"/>
              </w:rPr>
              <w:t>0.250</w:t>
            </w:r>
          </w:p>
        </w:tc>
        <w:tc>
          <w:tcPr>
            <w:tcW w:w="126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4060" w:type="dxa"/>
            <w:vAlign w:val="bottom"/>
            <w:shd w:val="clear" w:color="auto" w:fill="CCEEFF"/>
          </w:tcPr>
          <w:p>
            <w:pPr>
              <w:ind w:left="100"/>
              <w:spacing w:after="0"/>
              <w:rPr>
                <w:sz w:val="20"/>
                <w:szCs w:val="20"/>
                <w:color w:val="auto"/>
              </w:rPr>
            </w:pPr>
            <w:r>
              <w:rPr>
                <w:rFonts w:ascii="Arial" w:cs="Arial" w:eastAsia="Arial" w:hAnsi="Arial"/>
                <w:sz w:val="13"/>
                <w:szCs w:val="13"/>
                <w:color w:val="auto"/>
              </w:rPr>
              <w:t>Forfeited</w:t>
            </w:r>
          </w:p>
        </w:tc>
        <w:tc>
          <w:tcPr>
            <w:tcW w:w="12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1,443,748</w:t>
            </w:r>
          </w:p>
        </w:tc>
        <w:tc>
          <w:tcPr>
            <w:tcW w:w="240" w:type="dxa"/>
            <w:vAlign w:val="bottom"/>
            <w:shd w:val="clear" w:color="auto" w:fill="CCEEFF"/>
          </w:tcPr>
          <w:p>
            <w:pPr>
              <w:spacing w:after="0"/>
              <w:rPr>
                <w:sz w:val="14"/>
                <w:szCs w:val="14"/>
                <w:color w:val="auto"/>
              </w:rPr>
            </w:pPr>
          </w:p>
        </w:tc>
        <w:tc>
          <w:tcPr>
            <w:tcW w:w="140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(1,443,748)</w:t>
            </w:r>
          </w:p>
        </w:tc>
        <w:tc>
          <w:tcPr>
            <w:tcW w:w="80" w:type="dxa"/>
            <w:vAlign w:val="bottom"/>
            <w:shd w:val="clear" w:color="auto" w:fill="CCEEFF"/>
          </w:tcPr>
          <w:p>
            <w:pPr>
              <w:spacing w:after="0"/>
              <w:rPr>
                <w:sz w:val="14"/>
                <w:szCs w:val="14"/>
                <w:color w:val="auto"/>
              </w:rPr>
            </w:pPr>
          </w:p>
        </w:tc>
        <w:tc>
          <w:tcPr>
            <w:tcW w:w="920" w:type="dxa"/>
            <w:vAlign w:val="bottom"/>
            <w:shd w:val="clear" w:color="auto" w:fill="CCEEFF"/>
          </w:tcPr>
          <w:p>
            <w:pPr>
              <w:spacing w:after="0"/>
              <w:rPr>
                <w:sz w:val="14"/>
                <w:szCs w:val="14"/>
                <w:color w:val="auto"/>
              </w:rPr>
            </w:pPr>
          </w:p>
        </w:tc>
        <w:tc>
          <w:tcPr>
            <w:tcW w:w="540" w:type="dxa"/>
            <w:vAlign w:val="bottom"/>
            <w:gridSpan w:val="2"/>
            <w:shd w:val="clear" w:color="auto" w:fill="CCEEFF"/>
          </w:tcPr>
          <w:p>
            <w:pPr>
              <w:ind w:left="40"/>
              <w:spacing w:after="0"/>
              <w:rPr>
                <w:sz w:val="20"/>
                <w:szCs w:val="20"/>
                <w:color w:val="auto"/>
              </w:rPr>
            </w:pPr>
            <w:r>
              <w:rPr>
                <w:rFonts w:ascii="Arial" w:cs="Arial" w:eastAsia="Arial" w:hAnsi="Arial"/>
                <w:sz w:val="13"/>
                <w:szCs w:val="13"/>
                <w:color w:val="auto"/>
              </w:rPr>
              <w:t>1.063</w:t>
            </w:r>
          </w:p>
        </w:tc>
        <w:tc>
          <w:tcPr>
            <w:tcW w:w="1260" w:type="dxa"/>
            <w:vAlign w:val="bottom"/>
            <w:tcBorders>
              <w:right w:val="single" w:sz="8" w:color="CCEEFF"/>
            </w:tcBorders>
            <w:shd w:val="clear" w:color="auto" w:fill="CCEEFF"/>
          </w:tcPr>
          <w:p>
            <w:pPr>
              <w:spacing w:after="0"/>
              <w:rPr>
                <w:sz w:val="14"/>
                <w:szCs w:val="14"/>
                <w:color w:val="auto"/>
              </w:rPr>
            </w:pPr>
          </w:p>
        </w:tc>
        <w:tc>
          <w:tcPr>
            <w:tcW w:w="200" w:type="dxa"/>
            <w:vAlign w:val="bottom"/>
            <w:shd w:val="clear" w:color="auto" w:fill="CCEEFF"/>
          </w:tcPr>
          <w:p>
            <w:pPr>
              <w:spacing w:after="0"/>
              <w:rPr>
                <w:sz w:val="14"/>
                <w:szCs w:val="14"/>
                <w:color w:val="auto"/>
              </w:rPr>
            </w:pPr>
          </w:p>
        </w:tc>
        <w:tc>
          <w:tcPr>
            <w:tcW w:w="200" w:type="dxa"/>
            <w:vAlign w:val="bottom"/>
            <w:shd w:val="clear" w:color="auto" w:fill="CCEEFF"/>
          </w:tcPr>
          <w:p>
            <w:pPr>
              <w:spacing w:after="0"/>
              <w:rPr>
                <w:sz w:val="14"/>
                <w:szCs w:val="14"/>
                <w:color w:val="auto"/>
              </w:rPr>
            </w:pPr>
          </w:p>
        </w:tc>
        <w:tc>
          <w:tcPr>
            <w:tcW w:w="1020" w:type="dxa"/>
            <w:vAlign w:val="bottom"/>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75"/>
        </w:trPr>
        <w:tc>
          <w:tcPr>
            <w:tcW w:w="4080" w:type="dxa"/>
            <w:vAlign w:val="bottom"/>
            <w:gridSpan w:val="2"/>
          </w:tcPr>
          <w:p>
            <w:pPr>
              <w:spacing w:after="0" w:line="145" w:lineRule="exact"/>
              <w:rPr>
                <w:sz w:val="20"/>
                <w:szCs w:val="20"/>
                <w:color w:val="auto"/>
              </w:rPr>
            </w:pPr>
            <w:r>
              <w:rPr>
                <w:rFonts w:ascii="Arial" w:cs="Arial" w:eastAsia="Arial" w:hAnsi="Arial"/>
                <w:sz w:val="13"/>
                <w:szCs w:val="13"/>
                <w:color w:val="auto"/>
              </w:rPr>
              <w:t>Outstanding as of December 31, 2020</w:t>
            </w:r>
          </w:p>
        </w:tc>
        <w:tc>
          <w:tcPr>
            <w:tcW w:w="1240" w:type="dxa"/>
            <w:vAlign w:val="bottom"/>
            <w:tcBorders>
              <w:top w:val="single" w:sz="8" w:color="auto"/>
            </w:tcBorders>
          </w:tcPr>
          <w:p>
            <w:pPr>
              <w:jc w:val="right"/>
              <w:spacing w:after="0"/>
              <w:rPr>
                <w:sz w:val="20"/>
                <w:szCs w:val="20"/>
                <w:color w:val="auto"/>
              </w:rPr>
            </w:pPr>
            <w:r>
              <w:rPr>
                <w:rFonts w:ascii="Arial" w:cs="Arial" w:eastAsia="Arial" w:hAnsi="Arial"/>
                <w:sz w:val="13"/>
                <w:szCs w:val="13"/>
                <w:color w:val="auto"/>
              </w:rPr>
              <w:t>1,963,814</w:t>
            </w:r>
          </w:p>
        </w:tc>
        <w:tc>
          <w:tcPr>
            <w:tcW w:w="240" w:type="dxa"/>
            <w:vAlign w:val="bottom"/>
          </w:tcPr>
          <w:p>
            <w:pPr>
              <w:spacing w:after="0"/>
              <w:rPr>
                <w:sz w:val="15"/>
                <w:szCs w:val="15"/>
                <w:color w:val="auto"/>
              </w:rPr>
            </w:pPr>
          </w:p>
        </w:tc>
        <w:tc>
          <w:tcPr>
            <w:tcW w:w="1260" w:type="dxa"/>
            <w:vAlign w:val="bottom"/>
            <w:tcBorders>
              <w:top w:val="single" w:sz="8" w:color="auto"/>
            </w:tcBorders>
          </w:tcPr>
          <w:p>
            <w:pPr>
              <w:jc w:val="right"/>
              <w:spacing w:after="0"/>
              <w:rPr>
                <w:sz w:val="20"/>
                <w:szCs w:val="20"/>
                <w:color w:val="auto"/>
              </w:rPr>
            </w:pPr>
            <w:r>
              <w:rPr>
                <w:rFonts w:ascii="Arial" w:cs="Arial" w:eastAsia="Arial" w:hAnsi="Arial"/>
                <w:sz w:val="13"/>
                <w:szCs w:val="13"/>
                <w:color w:val="auto"/>
              </w:rPr>
              <w:t>7,056,000</w:t>
            </w:r>
          </w:p>
        </w:tc>
        <w:tc>
          <w:tcPr>
            <w:tcW w:w="1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920" w:type="dxa"/>
            <w:vAlign w:val="bottom"/>
            <w:tcBorders>
              <w:top w:val="single" w:sz="8" w:color="auto"/>
            </w:tcBorders>
          </w:tcPr>
          <w:p>
            <w:pPr>
              <w:jc w:val="right"/>
              <w:ind w:right="775"/>
              <w:spacing w:after="0"/>
              <w:rPr>
                <w:sz w:val="20"/>
                <w:szCs w:val="20"/>
                <w:color w:val="auto"/>
              </w:rPr>
            </w:pPr>
            <w:r>
              <w:rPr>
                <w:rFonts w:ascii="Arial" w:cs="Arial" w:eastAsia="Arial" w:hAnsi="Arial"/>
                <w:sz w:val="13"/>
                <w:szCs w:val="13"/>
                <w:color w:val="auto"/>
                <w:w w:val="82"/>
              </w:rPr>
              <w:t>$</w:t>
            </w:r>
          </w:p>
        </w:tc>
        <w:tc>
          <w:tcPr>
            <w:tcW w:w="320" w:type="dxa"/>
            <w:vAlign w:val="bottom"/>
            <w:tcBorders>
              <w:top w:val="single" w:sz="8" w:color="auto"/>
            </w:tcBorders>
          </w:tcPr>
          <w:p>
            <w:pPr>
              <w:ind w:left="100"/>
              <w:spacing w:after="0"/>
              <w:rPr>
                <w:sz w:val="20"/>
                <w:szCs w:val="20"/>
                <w:color w:val="auto"/>
              </w:rPr>
            </w:pPr>
            <w:r>
              <w:rPr>
                <w:rFonts w:ascii="Arial" w:cs="Arial" w:eastAsia="Arial" w:hAnsi="Arial"/>
                <w:sz w:val="13"/>
                <w:szCs w:val="13"/>
                <w:color w:val="auto"/>
                <w:w w:val="78"/>
              </w:rPr>
              <w:t>1.33</w:t>
            </w:r>
          </w:p>
        </w:tc>
        <w:tc>
          <w:tcPr>
            <w:tcW w:w="220" w:type="dxa"/>
            <w:vAlign w:val="bottom"/>
          </w:tcPr>
          <w:p>
            <w:pPr>
              <w:spacing w:after="0"/>
              <w:rPr>
                <w:sz w:val="15"/>
                <w:szCs w:val="15"/>
                <w:color w:val="auto"/>
              </w:rPr>
            </w:pPr>
          </w:p>
        </w:tc>
        <w:tc>
          <w:tcPr>
            <w:tcW w:w="1260" w:type="dxa"/>
            <w:vAlign w:val="bottom"/>
            <w:tcBorders>
              <w:top w:val="single" w:sz="8" w:color="auto"/>
            </w:tcBorders>
          </w:tcPr>
          <w:p>
            <w:pPr>
              <w:jc w:val="right"/>
              <w:spacing w:after="0"/>
              <w:rPr>
                <w:sz w:val="20"/>
                <w:szCs w:val="20"/>
                <w:color w:val="auto"/>
              </w:rPr>
            </w:pPr>
            <w:r>
              <w:rPr>
                <w:rFonts w:ascii="Arial" w:cs="Arial" w:eastAsia="Arial" w:hAnsi="Arial"/>
                <w:sz w:val="13"/>
                <w:szCs w:val="13"/>
                <w:color w:val="auto"/>
              </w:rPr>
              <w:t>8.58</w:t>
            </w:r>
          </w:p>
        </w:tc>
        <w:tc>
          <w:tcPr>
            <w:tcW w:w="200" w:type="dxa"/>
            <w:vAlign w:val="bottom"/>
          </w:tcPr>
          <w:p>
            <w:pPr>
              <w:spacing w:after="0"/>
              <w:rPr>
                <w:sz w:val="15"/>
                <w:szCs w:val="15"/>
                <w:color w:val="auto"/>
              </w:rPr>
            </w:pPr>
          </w:p>
        </w:tc>
        <w:tc>
          <w:tcPr>
            <w:tcW w:w="200" w:type="dxa"/>
            <w:vAlign w:val="bottom"/>
            <w:tcBorders>
              <w:top w:val="single" w:sz="8" w:color="auto"/>
            </w:tcBorders>
          </w:tcPr>
          <w:p>
            <w:pPr>
              <w:jc w:val="right"/>
              <w:ind w:right="83"/>
              <w:spacing w:after="0"/>
              <w:rPr>
                <w:sz w:val="20"/>
                <w:szCs w:val="20"/>
                <w:color w:val="auto"/>
              </w:rPr>
            </w:pPr>
            <w:r>
              <w:rPr>
                <w:rFonts w:ascii="Arial" w:cs="Arial" w:eastAsia="Arial" w:hAnsi="Arial"/>
                <w:sz w:val="10"/>
                <w:szCs w:val="10"/>
                <w:color w:val="auto"/>
                <w:w w:val="71"/>
              </w:rPr>
              <w:t>$</w:t>
            </w:r>
          </w:p>
        </w:tc>
        <w:tc>
          <w:tcPr>
            <w:tcW w:w="1020" w:type="dxa"/>
            <w:vAlign w:val="bottom"/>
            <w:tcBorders>
              <w:top w:val="single" w:sz="8" w:color="auto"/>
            </w:tcBorders>
          </w:tcPr>
          <w:p>
            <w:pPr>
              <w:jc w:val="right"/>
              <w:spacing w:after="0"/>
              <w:rPr>
                <w:sz w:val="20"/>
                <w:szCs w:val="20"/>
                <w:color w:val="auto"/>
              </w:rPr>
            </w:pPr>
            <w:r>
              <w:rPr>
                <w:rFonts w:ascii="Arial" w:cs="Arial" w:eastAsia="Arial" w:hAnsi="Arial"/>
                <w:sz w:val="13"/>
                <w:szCs w:val="13"/>
                <w:color w:val="auto"/>
              </w:rPr>
              <w:t>7,115,875</w:t>
            </w:r>
          </w:p>
        </w:tc>
        <w:tc>
          <w:tcPr>
            <w:tcW w:w="1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4060" w:type="dxa"/>
            <w:vAlign w:val="bottom"/>
            <w:tcBorders>
              <w:top w:val="single" w:sz="8" w:color="CCEEFF"/>
            </w:tcBorders>
            <w:shd w:val="clear" w:color="auto" w:fill="CCEEFF"/>
          </w:tcPr>
          <w:p>
            <w:pPr>
              <w:spacing w:after="0"/>
              <w:rPr>
                <w:sz w:val="13"/>
                <w:szCs w:val="13"/>
                <w:color w:val="auto"/>
              </w:rPr>
            </w:pPr>
          </w:p>
        </w:tc>
        <w:tc>
          <w:tcPr>
            <w:tcW w:w="1240" w:type="dxa"/>
            <w:vAlign w:val="bottom"/>
            <w:tcBorders>
              <w:top w:val="single" w:sz="8" w:color="auto"/>
            </w:tcBorders>
            <w:shd w:val="clear" w:color="auto" w:fill="CCEEFF"/>
          </w:tcPr>
          <w:p>
            <w:pPr>
              <w:spacing w:after="0"/>
              <w:rPr>
                <w:sz w:val="13"/>
                <w:szCs w:val="13"/>
                <w:color w:val="auto"/>
              </w:rPr>
            </w:pPr>
          </w:p>
        </w:tc>
        <w:tc>
          <w:tcPr>
            <w:tcW w:w="240" w:type="dxa"/>
            <w:vAlign w:val="bottom"/>
            <w:tcBorders>
              <w:top w:val="single" w:sz="8" w:color="CCEEFF"/>
            </w:tcBorders>
            <w:shd w:val="clear" w:color="auto" w:fill="CCEEFF"/>
          </w:tcPr>
          <w:p>
            <w:pPr>
              <w:spacing w:after="0"/>
              <w:rPr>
                <w:sz w:val="13"/>
                <w:szCs w:val="13"/>
                <w:color w:val="auto"/>
              </w:rPr>
            </w:pPr>
          </w:p>
        </w:tc>
        <w:tc>
          <w:tcPr>
            <w:tcW w:w="1260" w:type="dxa"/>
            <w:vAlign w:val="bottom"/>
            <w:tcBorders>
              <w:top w:val="single" w:sz="8" w:color="auto"/>
            </w:tcBorders>
            <w:shd w:val="clear" w:color="auto" w:fill="CCEEFF"/>
          </w:tcPr>
          <w:p>
            <w:pPr>
              <w:spacing w:after="0"/>
              <w:rPr>
                <w:sz w:val="13"/>
                <w:szCs w:val="13"/>
                <w:color w:val="auto"/>
              </w:rPr>
            </w:pPr>
          </w:p>
        </w:tc>
        <w:tc>
          <w:tcPr>
            <w:tcW w:w="140" w:type="dxa"/>
            <w:vAlign w:val="bottom"/>
            <w:tcBorders>
              <w:top w:val="single" w:sz="8" w:color="CCEEFF"/>
            </w:tcBorders>
            <w:shd w:val="clear" w:color="auto" w:fill="CCEEFF"/>
          </w:tcPr>
          <w:p>
            <w:pPr>
              <w:spacing w:after="0"/>
              <w:rPr>
                <w:sz w:val="13"/>
                <w:szCs w:val="13"/>
                <w:color w:val="auto"/>
              </w:rPr>
            </w:pPr>
          </w:p>
        </w:tc>
        <w:tc>
          <w:tcPr>
            <w:tcW w:w="80" w:type="dxa"/>
            <w:vAlign w:val="bottom"/>
            <w:tcBorders>
              <w:top w:val="single" w:sz="8" w:color="CCEEFF"/>
            </w:tcBorders>
            <w:shd w:val="clear" w:color="auto" w:fill="CCEEFF"/>
          </w:tcPr>
          <w:p>
            <w:pPr>
              <w:spacing w:after="0"/>
              <w:rPr>
                <w:sz w:val="13"/>
                <w:szCs w:val="13"/>
                <w:color w:val="auto"/>
              </w:rPr>
            </w:pPr>
          </w:p>
        </w:tc>
        <w:tc>
          <w:tcPr>
            <w:tcW w:w="920" w:type="dxa"/>
            <w:vAlign w:val="bottom"/>
            <w:tcBorders>
              <w:top w:val="single" w:sz="8" w:color="CCEEFF"/>
            </w:tcBorders>
            <w:shd w:val="clear" w:color="auto" w:fill="CCEEFF"/>
          </w:tcPr>
          <w:p>
            <w:pPr>
              <w:spacing w:after="0"/>
              <w:rPr>
                <w:sz w:val="13"/>
                <w:szCs w:val="13"/>
                <w:color w:val="auto"/>
              </w:rPr>
            </w:pPr>
          </w:p>
        </w:tc>
        <w:tc>
          <w:tcPr>
            <w:tcW w:w="320" w:type="dxa"/>
            <w:vAlign w:val="bottom"/>
            <w:tcBorders>
              <w:top w:val="single" w:sz="8" w:color="CCEEFF"/>
            </w:tcBorders>
            <w:shd w:val="clear" w:color="auto" w:fill="CCEEFF"/>
          </w:tcPr>
          <w:p>
            <w:pPr>
              <w:spacing w:after="0"/>
              <w:rPr>
                <w:sz w:val="13"/>
                <w:szCs w:val="13"/>
                <w:color w:val="auto"/>
              </w:rPr>
            </w:pPr>
          </w:p>
        </w:tc>
        <w:tc>
          <w:tcPr>
            <w:tcW w:w="220" w:type="dxa"/>
            <w:vAlign w:val="bottom"/>
            <w:tcBorders>
              <w:top w:val="single" w:sz="8" w:color="CCEEFF"/>
            </w:tcBorders>
            <w:shd w:val="clear" w:color="auto" w:fill="CCEEFF"/>
          </w:tcPr>
          <w:p>
            <w:pPr>
              <w:spacing w:after="0"/>
              <w:rPr>
                <w:sz w:val="13"/>
                <w:szCs w:val="13"/>
                <w:color w:val="auto"/>
              </w:rPr>
            </w:pPr>
          </w:p>
        </w:tc>
        <w:tc>
          <w:tcPr>
            <w:tcW w:w="1260" w:type="dxa"/>
            <w:vAlign w:val="bottom"/>
            <w:tcBorders>
              <w:top w:val="single" w:sz="8" w:color="CCEEFF"/>
              <w:right w:val="single" w:sz="8" w:color="CCEEFF"/>
            </w:tcBorders>
            <w:shd w:val="clear" w:color="auto" w:fill="CCEEFF"/>
          </w:tcPr>
          <w:p>
            <w:pPr>
              <w:spacing w:after="0"/>
              <w:rPr>
                <w:sz w:val="13"/>
                <w:szCs w:val="13"/>
                <w:color w:val="auto"/>
              </w:rPr>
            </w:pPr>
          </w:p>
        </w:tc>
        <w:tc>
          <w:tcPr>
            <w:tcW w:w="200" w:type="dxa"/>
            <w:vAlign w:val="bottom"/>
            <w:tcBorders>
              <w:top w:val="single" w:sz="8" w:color="CCEEFF"/>
            </w:tcBorders>
            <w:shd w:val="clear" w:color="auto" w:fill="CCEEFF"/>
          </w:tcPr>
          <w:p>
            <w:pPr>
              <w:spacing w:after="0"/>
              <w:rPr>
                <w:sz w:val="13"/>
                <w:szCs w:val="13"/>
                <w:color w:val="auto"/>
              </w:rPr>
            </w:pPr>
          </w:p>
        </w:tc>
        <w:tc>
          <w:tcPr>
            <w:tcW w:w="200" w:type="dxa"/>
            <w:vAlign w:val="bottom"/>
            <w:tcBorders>
              <w:top w:val="single" w:sz="8" w:color="CCEEFF"/>
            </w:tcBorders>
            <w:shd w:val="clear" w:color="auto" w:fill="CCEEFF"/>
          </w:tcPr>
          <w:p>
            <w:pPr>
              <w:spacing w:after="0"/>
              <w:rPr>
                <w:sz w:val="13"/>
                <w:szCs w:val="13"/>
                <w:color w:val="auto"/>
              </w:rPr>
            </w:pPr>
          </w:p>
        </w:tc>
        <w:tc>
          <w:tcPr>
            <w:tcW w:w="1020" w:type="dxa"/>
            <w:vAlign w:val="bottom"/>
            <w:tcBorders>
              <w:top w:val="single" w:sz="8" w:color="CCEEFF"/>
            </w:tcBorders>
            <w:shd w:val="clear" w:color="auto" w:fill="CCEEFF"/>
          </w:tcPr>
          <w:p>
            <w:pPr>
              <w:spacing w:after="0"/>
              <w:rPr>
                <w:sz w:val="13"/>
                <w:szCs w:val="13"/>
                <w:color w:val="auto"/>
              </w:rPr>
            </w:pPr>
          </w:p>
        </w:tc>
        <w:tc>
          <w:tcPr>
            <w:tcW w:w="100" w:type="dxa"/>
            <w:vAlign w:val="bottom"/>
            <w:tcBorders>
              <w:top w:val="single" w:sz="8" w:color="CCEEFF"/>
            </w:tcBorders>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75"/>
        </w:trPr>
        <w:tc>
          <w:tcPr>
            <w:tcW w:w="20" w:type="dxa"/>
            <w:vAlign w:val="bottom"/>
            <w:vMerge w:val="continue"/>
          </w:tcPr>
          <w:p>
            <w:pPr>
              <w:spacing w:after="0"/>
              <w:rPr>
                <w:sz w:val="15"/>
                <w:szCs w:val="15"/>
                <w:color w:val="auto"/>
              </w:rPr>
            </w:pPr>
          </w:p>
        </w:tc>
        <w:tc>
          <w:tcPr>
            <w:tcW w:w="4060" w:type="dxa"/>
            <w:vAlign w:val="bottom"/>
          </w:tcPr>
          <w:p>
            <w:pPr>
              <w:spacing w:after="0"/>
              <w:rPr>
                <w:sz w:val="20"/>
                <w:szCs w:val="20"/>
                <w:color w:val="auto"/>
              </w:rPr>
            </w:pPr>
            <w:r>
              <w:rPr>
                <w:rFonts w:ascii="Arial" w:cs="Arial" w:eastAsia="Arial" w:hAnsi="Arial"/>
                <w:sz w:val="13"/>
                <w:szCs w:val="13"/>
                <w:color w:val="auto"/>
              </w:rPr>
              <w:t>Vested and exercisable as of December 31, 2020</w:t>
            </w:r>
          </w:p>
        </w:tc>
        <w:tc>
          <w:tcPr>
            <w:tcW w:w="124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1260" w:type="dxa"/>
            <w:vAlign w:val="bottom"/>
          </w:tcPr>
          <w:p>
            <w:pPr>
              <w:jc w:val="right"/>
              <w:spacing w:after="0"/>
              <w:rPr>
                <w:sz w:val="20"/>
                <w:szCs w:val="20"/>
                <w:color w:val="auto"/>
              </w:rPr>
            </w:pPr>
            <w:r>
              <w:rPr>
                <w:rFonts w:ascii="Arial" w:cs="Arial" w:eastAsia="Arial" w:hAnsi="Arial"/>
                <w:sz w:val="13"/>
                <w:szCs w:val="13"/>
                <w:color w:val="auto"/>
              </w:rPr>
              <w:t>1,818,072</w:t>
            </w:r>
          </w:p>
        </w:tc>
        <w:tc>
          <w:tcPr>
            <w:tcW w:w="1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920" w:type="dxa"/>
            <w:vAlign w:val="bottom"/>
          </w:tcPr>
          <w:p>
            <w:pPr>
              <w:jc w:val="right"/>
              <w:ind w:right="775"/>
              <w:spacing w:after="0"/>
              <w:rPr>
                <w:sz w:val="20"/>
                <w:szCs w:val="20"/>
                <w:color w:val="auto"/>
              </w:rPr>
            </w:pPr>
            <w:r>
              <w:rPr>
                <w:rFonts w:ascii="Arial" w:cs="Arial" w:eastAsia="Arial" w:hAnsi="Arial"/>
                <w:sz w:val="13"/>
                <w:szCs w:val="13"/>
                <w:color w:val="auto"/>
                <w:w w:val="82"/>
              </w:rPr>
              <w:t>$</w:t>
            </w:r>
          </w:p>
        </w:tc>
        <w:tc>
          <w:tcPr>
            <w:tcW w:w="540" w:type="dxa"/>
            <w:vAlign w:val="bottom"/>
            <w:gridSpan w:val="2"/>
          </w:tcPr>
          <w:p>
            <w:pPr>
              <w:ind w:left="40"/>
              <w:spacing w:after="0"/>
              <w:rPr>
                <w:sz w:val="20"/>
                <w:szCs w:val="20"/>
                <w:color w:val="auto"/>
              </w:rPr>
            </w:pPr>
            <w:r>
              <w:rPr>
                <w:rFonts w:ascii="Arial" w:cs="Arial" w:eastAsia="Arial" w:hAnsi="Arial"/>
                <w:sz w:val="13"/>
                <w:szCs w:val="13"/>
                <w:color w:val="auto"/>
              </w:rPr>
              <w:t>0.920</w:t>
            </w:r>
          </w:p>
        </w:tc>
        <w:tc>
          <w:tcPr>
            <w:tcW w:w="1260" w:type="dxa"/>
            <w:vAlign w:val="bottom"/>
          </w:tcPr>
          <w:p>
            <w:pPr>
              <w:jc w:val="right"/>
              <w:spacing w:after="0"/>
              <w:rPr>
                <w:sz w:val="20"/>
                <w:szCs w:val="20"/>
                <w:color w:val="auto"/>
              </w:rPr>
            </w:pPr>
            <w:r>
              <w:rPr>
                <w:rFonts w:ascii="Arial" w:cs="Arial" w:eastAsia="Arial" w:hAnsi="Arial"/>
                <w:sz w:val="13"/>
                <w:szCs w:val="13"/>
                <w:color w:val="auto"/>
              </w:rPr>
              <w:t>6.72</w:t>
            </w:r>
          </w:p>
        </w:tc>
        <w:tc>
          <w:tcPr>
            <w:tcW w:w="20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102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30"/>
        </w:trPr>
        <w:tc>
          <w:tcPr>
            <w:tcW w:w="20" w:type="dxa"/>
            <w:vAlign w:val="bottom"/>
          </w:tcPr>
          <w:p>
            <w:pPr>
              <w:spacing w:after="0"/>
              <w:rPr>
                <w:sz w:val="2"/>
                <w:szCs w:val="2"/>
                <w:color w:val="auto"/>
              </w:rPr>
            </w:pPr>
          </w:p>
        </w:tc>
        <w:tc>
          <w:tcPr>
            <w:tcW w:w="4060" w:type="dxa"/>
            <w:vAlign w:val="bottom"/>
          </w:tcPr>
          <w:p>
            <w:pPr>
              <w:spacing w:after="0"/>
              <w:rPr>
                <w:sz w:val="2"/>
                <w:szCs w:val="2"/>
                <w:color w:val="auto"/>
              </w:rPr>
            </w:pPr>
          </w:p>
        </w:tc>
        <w:tc>
          <w:tcPr>
            <w:tcW w:w="1240" w:type="dxa"/>
            <w:vAlign w:val="bottom"/>
          </w:tcPr>
          <w:p>
            <w:pPr>
              <w:spacing w:after="0"/>
              <w:rPr>
                <w:sz w:val="2"/>
                <w:szCs w:val="2"/>
                <w:color w:val="auto"/>
              </w:rPr>
            </w:pPr>
          </w:p>
        </w:tc>
        <w:tc>
          <w:tcPr>
            <w:tcW w:w="240" w:type="dxa"/>
            <w:vAlign w:val="bottom"/>
          </w:tcPr>
          <w:p>
            <w:pPr>
              <w:spacing w:after="0"/>
              <w:rPr>
                <w:sz w:val="2"/>
                <w:szCs w:val="2"/>
                <w:color w:val="auto"/>
              </w:rPr>
            </w:pPr>
          </w:p>
        </w:tc>
        <w:tc>
          <w:tcPr>
            <w:tcW w:w="1260" w:type="dxa"/>
            <w:vAlign w:val="bottom"/>
            <w:shd w:val="clear" w:color="auto" w:fill="000000"/>
          </w:tcPr>
          <w:p>
            <w:pPr>
              <w:spacing w:after="0"/>
              <w:rPr>
                <w:sz w:val="2"/>
                <w:szCs w:val="2"/>
                <w:color w:val="auto"/>
              </w:rPr>
            </w:pPr>
          </w:p>
        </w:tc>
        <w:tc>
          <w:tcPr>
            <w:tcW w:w="140" w:type="dxa"/>
            <w:vAlign w:val="bottom"/>
          </w:tcPr>
          <w:p>
            <w:pPr>
              <w:spacing w:after="0"/>
              <w:rPr>
                <w:sz w:val="2"/>
                <w:szCs w:val="2"/>
                <w:color w:val="auto"/>
              </w:rPr>
            </w:pPr>
          </w:p>
        </w:tc>
        <w:tc>
          <w:tcPr>
            <w:tcW w:w="80" w:type="dxa"/>
            <w:vAlign w:val="bottom"/>
          </w:tcPr>
          <w:p>
            <w:pPr>
              <w:spacing w:after="0"/>
              <w:rPr>
                <w:sz w:val="2"/>
                <w:szCs w:val="2"/>
                <w:color w:val="auto"/>
              </w:rPr>
            </w:pPr>
          </w:p>
        </w:tc>
        <w:tc>
          <w:tcPr>
            <w:tcW w:w="920" w:type="dxa"/>
            <w:vAlign w:val="bottom"/>
            <w:shd w:val="clear" w:color="auto" w:fill="000000"/>
          </w:tcPr>
          <w:p>
            <w:pPr>
              <w:spacing w:after="0"/>
              <w:rPr>
                <w:sz w:val="2"/>
                <w:szCs w:val="2"/>
                <w:color w:val="auto"/>
              </w:rPr>
            </w:pPr>
          </w:p>
        </w:tc>
        <w:tc>
          <w:tcPr>
            <w:tcW w:w="320" w:type="dxa"/>
            <w:vAlign w:val="bottom"/>
            <w:shd w:val="clear" w:color="auto" w:fill="000000"/>
          </w:tcPr>
          <w:p>
            <w:pPr>
              <w:spacing w:after="0"/>
              <w:rPr>
                <w:sz w:val="2"/>
                <w:szCs w:val="2"/>
                <w:color w:val="auto"/>
              </w:rPr>
            </w:pPr>
          </w:p>
        </w:tc>
        <w:tc>
          <w:tcPr>
            <w:tcW w:w="220" w:type="dxa"/>
            <w:vAlign w:val="bottom"/>
          </w:tcPr>
          <w:p>
            <w:pPr>
              <w:spacing w:after="0"/>
              <w:rPr>
                <w:sz w:val="2"/>
                <w:szCs w:val="2"/>
                <w:color w:val="auto"/>
              </w:rPr>
            </w:pPr>
          </w:p>
        </w:tc>
        <w:tc>
          <w:tcPr>
            <w:tcW w:w="1260" w:type="dxa"/>
            <w:vAlign w:val="bottom"/>
            <w:tcBorders>
              <w:right w:val="single" w:sz="8" w:color="auto"/>
            </w:tcBorders>
            <w:shd w:val="clear" w:color="auto" w:fill="000000"/>
          </w:tcPr>
          <w:p>
            <w:pPr>
              <w:spacing w:after="0"/>
              <w:rPr>
                <w:sz w:val="2"/>
                <w:szCs w:val="2"/>
                <w:color w:val="auto"/>
              </w:rPr>
            </w:pPr>
          </w:p>
        </w:tc>
        <w:tc>
          <w:tcPr>
            <w:tcW w:w="200" w:type="dxa"/>
            <w:vAlign w:val="bottom"/>
          </w:tcPr>
          <w:p>
            <w:pPr>
              <w:spacing w:after="0"/>
              <w:rPr>
                <w:sz w:val="2"/>
                <w:szCs w:val="2"/>
                <w:color w:val="auto"/>
              </w:rPr>
            </w:pPr>
          </w:p>
        </w:tc>
        <w:tc>
          <w:tcPr>
            <w:tcW w:w="200" w:type="dxa"/>
            <w:vAlign w:val="bottom"/>
          </w:tcPr>
          <w:p>
            <w:pPr>
              <w:spacing w:after="0"/>
              <w:rPr>
                <w:sz w:val="2"/>
                <w:szCs w:val="2"/>
                <w:color w:val="auto"/>
              </w:rPr>
            </w:pPr>
          </w:p>
        </w:tc>
        <w:tc>
          <w:tcPr>
            <w:tcW w:w="1020" w:type="dxa"/>
            <w:vAlign w:val="bottom"/>
          </w:tcPr>
          <w:p>
            <w:pPr>
              <w:spacing w:after="0"/>
              <w:rPr>
                <w:sz w:val="2"/>
                <w:szCs w:val="2"/>
                <w:color w:val="auto"/>
              </w:rPr>
            </w:pPr>
          </w:p>
        </w:tc>
        <w:tc>
          <w:tcPr>
            <w:tcW w:w="10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8"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The weighted average grant date fair value of options granted during the year ended December 31, 2020 and 2019 was $0.61 and $0.45 per share, respectively. There were 10,000 option exercises during the year ended December 31, 2020 and no option exercises during the year ended December 31, 2019. The fair value of the shares subject to stock options that were vested as of December 31, 2020 and 2019 was $701,074 and $582,369, respectively.</w:t>
      </w:r>
    </w:p>
    <w:p>
      <w:pPr>
        <w:spacing w:after="0" w:line="293"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86" w:name="page87"/>
    <w:bookmarkEnd w:id="86"/>
    <w:p>
      <w:pPr>
        <w:spacing w:after="0"/>
        <w:rPr>
          <w:sz w:val="20"/>
          <w:szCs w:val="20"/>
          <w:color w:val="auto"/>
        </w:rPr>
      </w:pPr>
      <w:r>
        <w:rPr>
          <w:rFonts w:ascii="Arial" w:cs="Arial" w:eastAsia="Arial" w:hAnsi="Arial"/>
          <w:sz w:val="13"/>
          <w:szCs w:val="13"/>
          <w:b w:val="1"/>
          <w:bCs w:val="1"/>
          <w:color w:val="auto"/>
        </w:rPr>
        <w:t>NOTE 5: Share-Based Compensation (Continue)</w:t>
      </w:r>
    </w:p>
    <w:p>
      <w:pPr>
        <w:spacing w:after="0" w:line="167" w:lineRule="exact"/>
        <w:rPr>
          <w:sz w:val="20"/>
          <w:szCs w:val="20"/>
          <w:color w:val="auto"/>
        </w:rPr>
      </w:pPr>
    </w:p>
    <w:p>
      <w:pPr>
        <w:spacing w:after="0"/>
        <w:rPr>
          <w:sz w:val="20"/>
          <w:szCs w:val="20"/>
          <w:color w:val="auto"/>
        </w:rPr>
      </w:pPr>
      <w:r>
        <w:rPr>
          <w:rFonts w:ascii="Arial" w:cs="Arial" w:eastAsia="Arial" w:hAnsi="Arial"/>
          <w:sz w:val="12"/>
          <w:szCs w:val="12"/>
          <w:color w:val="auto"/>
        </w:rPr>
        <w:t>As of December 31, 2020, the Company had unamortized stock-based compensation expense of $2,901,155 that will be recognized over the average remaining vesting term of options of 3.18 years.</w:t>
      </w:r>
    </w:p>
    <w:p>
      <w:pPr>
        <w:spacing w:after="0" w:line="175"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8480" w:type="dxa"/>
            <w:vAlign w:val="bottom"/>
          </w:tcPr>
          <w:p>
            <w:pPr>
              <w:spacing w:after="0"/>
              <w:rPr>
                <w:sz w:val="20"/>
                <w:szCs w:val="20"/>
                <w:color w:val="auto"/>
              </w:rPr>
            </w:pPr>
            <w:r>
              <w:rPr>
                <w:rFonts w:ascii="Arial" w:cs="Arial" w:eastAsia="Arial" w:hAnsi="Arial"/>
                <w:sz w:val="13"/>
                <w:szCs w:val="13"/>
                <w:color w:val="auto"/>
              </w:rPr>
              <w:t>The assumptions utilized for option grants during the years ended December 31, 2020 and 2019 are as follows:</w:t>
            </w:r>
          </w:p>
        </w:tc>
        <w:tc>
          <w:tcPr>
            <w:tcW w:w="12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8480" w:type="dxa"/>
            <w:vAlign w:val="bottom"/>
          </w:tcPr>
          <w:p>
            <w:pPr>
              <w:spacing w:after="0"/>
              <w:rPr>
                <w:sz w:val="24"/>
                <w:szCs w:val="24"/>
                <w:color w:val="auto"/>
              </w:rPr>
            </w:pPr>
          </w:p>
        </w:tc>
        <w:tc>
          <w:tcPr>
            <w:tcW w:w="1840" w:type="dxa"/>
            <w:vAlign w:val="bottom"/>
            <w:tcBorders>
              <w:bottom w:val="single" w:sz="8" w:color="auto"/>
            </w:tcBorders>
            <w:gridSpan w:val="3"/>
          </w:tcPr>
          <w:p>
            <w:pPr>
              <w:ind w:left="960"/>
              <w:spacing w:after="0"/>
              <w:rPr>
                <w:sz w:val="20"/>
                <w:szCs w:val="20"/>
                <w:color w:val="auto"/>
              </w:rPr>
            </w:pPr>
            <w:r>
              <w:rPr>
                <w:rFonts w:ascii="Arial" w:cs="Arial" w:eastAsia="Arial" w:hAnsi="Arial"/>
                <w:sz w:val="13"/>
                <w:szCs w:val="13"/>
                <w:b w:val="1"/>
                <w:bCs w:val="1"/>
                <w:color w:val="auto"/>
              </w:rPr>
              <w:t>December 31,</w:t>
            </w:r>
          </w:p>
        </w:tc>
        <w:tc>
          <w:tcPr>
            <w:tcW w:w="860" w:type="dxa"/>
            <w:vAlign w:val="bottom"/>
            <w:tcBorders>
              <w:bottom w:val="single" w:sz="8" w:color="auto"/>
            </w:tcBorders>
          </w:tcPr>
          <w:p>
            <w:pPr>
              <w:spacing w:after="0"/>
              <w:rPr>
                <w:sz w:val="24"/>
                <w:szCs w:val="24"/>
                <w:color w:val="auto"/>
              </w:rPr>
            </w:pPr>
          </w:p>
        </w:tc>
        <w:tc>
          <w:tcPr>
            <w:tcW w:w="100" w:type="dxa"/>
            <w:vAlign w:val="bottom"/>
          </w:tcPr>
          <w:p>
            <w:pPr>
              <w:spacing w:after="0"/>
              <w:rPr>
                <w:sz w:val="24"/>
                <w:szCs w:val="24"/>
                <w:color w:val="auto"/>
              </w:rPr>
            </w:pPr>
          </w:p>
        </w:tc>
      </w:tr>
      <w:tr>
        <w:trPr>
          <w:trHeight w:val="157"/>
        </w:trPr>
        <w:tc>
          <w:tcPr>
            <w:tcW w:w="8480" w:type="dxa"/>
            <w:vAlign w:val="bottom"/>
            <w:tcBorders>
              <w:bottom w:val="single" w:sz="8" w:color="CCEEFF"/>
            </w:tcBorders>
          </w:tcPr>
          <w:p>
            <w:pPr>
              <w:spacing w:after="0"/>
              <w:rPr>
                <w:sz w:val="13"/>
                <w:szCs w:val="13"/>
                <w:color w:val="auto"/>
              </w:rPr>
            </w:pPr>
          </w:p>
        </w:tc>
        <w:tc>
          <w:tcPr>
            <w:tcW w:w="1240" w:type="dxa"/>
            <w:vAlign w:val="bottom"/>
            <w:tcBorders>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2020</w:t>
            </w:r>
          </w:p>
        </w:tc>
        <w:tc>
          <w:tcPr>
            <w:tcW w:w="220" w:type="dxa"/>
            <w:vAlign w:val="bottom"/>
            <w:tcBorders>
              <w:bottom w:val="single" w:sz="8" w:color="CCEEFF"/>
            </w:tcBorders>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860" w:type="dxa"/>
            <w:vAlign w:val="bottom"/>
            <w:tcBorders>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2019</w:t>
            </w:r>
          </w:p>
        </w:tc>
        <w:tc>
          <w:tcPr>
            <w:tcW w:w="100" w:type="dxa"/>
            <w:vAlign w:val="bottom"/>
            <w:tcBorders>
              <w:bottom w:val="single" w:sz="8" w:color="CCEEFF"/>
            </w:tcBorders>
          </w:tcPr>
          <w:p>
            <w:pPr>
              <w:spacing w:after="0"/>
              <w:rPr>
                <w:sz w:val="13"/>
                <w:szCs w:val="13"/>
                <w:color w:val="auto"/>
              </w:rPr>
            </w:pPr>
          </w:p>
        </w:tc>
      </w:tr>
      <w:tr>
        <w:trPr>
          <w:trHeight w:val="146"/>
        </w:trPr>
        <w:tc>
          <w:tcPr>
            <w:tcW w:w="848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Risk-free interest rate</w:t>
            </w:r>
          </w:p>
        </w:tc>
        <w:tc>
          <w:tcPr>
            <w:tcW w:w="1460" w:type="dxa"/>
            <w:vAlign w:val="bottom"/>
            <w:gridSpan w:val="2"/>
            <w:shd w:val="clear" w:color="auto" w:fill="CCEEFF"/>
          </w:tcPr>
          <w:p>
            <w:pPr>
              <w:jc w:val="right"/>
              <w:ind w:right="120"/>
              <w:spacing w:after="0" w:line="146" w:lineRule="exact"/>
              <w:rPr>
                <w:sz w:val="20"/>
                <w:szCs w:val="20"/>
                <w:color w:val="auto"/>
              </w:rPr>
            </w:pPr>
            <w:r>
              <w:rPr>
                <w:rFonts w:ascii="Arial" w:cs="Arial" w:eastAsia="Arial" w:hAnsi="Arial"/>
                <w:sz w:val="13"/>
                <w:szCs w:val="13"/>
                <w:color w:val="auto"/>
              </w:rPr>
              <w:t>0.43-1.17%</w:t>
            </w:r>
          </w:p>
        </w:tc>
        <w:tc>
          <w:tcPr>
            <w:tcW w:w="380" w:type="dxa"/>
            <w:vAlign w:val="bottom"/>
            <w:shd w:val="clear" w:color="auto" w:fill="CCEEFF"/>
          </w:tcPr>
          <w:p>
            <w:pPr>
              <w:spacing w:after="0"/>
              <w:rPr>
                <w:sz w:val="12"/>
                <w:szCs w:val="12"/>
                <w:color w:val="auto"/>
              </w:rPr>
            </w:pPr>
          </w:p>
        </w:tc>
        <w:tc>
          <w:tcPr>
            <w:tcW w:w="960" w:type="dxa"/>
            <w:vAlign w:val="bottom"/>
            <w:gridSpan w:val="2"/>
            <w:shd w:val="clear" w:color="auto" w:fill="CCEEFF"/>
          </w:tcPr>
          <w:p>
            <w:pPr>
              <w:jc w:val="right"/>
              <w:spacing w:after="0" w:line="146" w:lineRule="exact"/>
              <w:rPr>
                <w:sz w:val="20"/>
                <w:szCs w:val="20"/>
                <w:color w:val="auto"/>
              </w:rPr>
            </w:pPr>
            <w:r>
              <w:rPr>
                <w:rFonts w:ascii="Arial" w:cs="Arial" w:eastAsia="Arial" w:hAnsi="Arial"/>
                <w:sz w:val="13"/>
                <w:szCs w:val="13"/>
                <w:color w:val="auto"/>
              </w:rPr>
              <w:t>1.67-2.3%</w:t>
            </w: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Expected dividend yield</w:t>
            </w:r>
          </w:p>
        </w:tc>
        <w:tc>
          <w:tcPr>
            <w:tcW w:w="146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380" w:type="dxa"/>
            <w:vAlign w:val="bottom"/>
          </w:tcPr>
          <w:p>
            <w:pPr>
              <w:spacing w:after="0"/>
              <w:rPr>
                <w:sz w:val="13"/>
                <w:szCs w:val="13"/>
                <w:color w:val="auto"/>
              </w:rPr>
            </w:pPr>
          </w:p>
        </w:tc>
        <w:tc>
          <w:tcPr>
            <w:tcW w:w="960" w:type="dxa"/>
            <w:vAlign w:val="bottom"/>
            <w:gridSpan w:val="2"/>
          </w:tcPr>
          <w:p>
            <w:pPr>
              <w:jc w:val="right"/>
              <w:spacing w:after="0"/>
              <w:rPr>
                <w:sz w:val="20"/>
                <w:szCs w:val="20"/>
                <w:color w:val="auto"/>
              </w:rPr>
            </w:pPr>
            <w:r>
              <w:rPr>
                <w:rFonts w:ascii="Arial" w:cs="Arial" w:eastAsia="Arial" w:hAnsi="Arial"/>
                <w:sz w:val="13"/>
                <w:szCs w:val="13"/>
                <w:color w:val="auto"/>
              </w:rPr>
              <w:t>-%</w:t>
            </w: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Expected volatility</w:t>
            </w:r>
          </w:p>
        </w:tc>
        <w:tc>
          <w:tcPr>
            <w:tcW w:w="1460" w:type="dxa"/>
            <w:vAlign w:val="bottom"/>
            <w:gridSpan w:val="2"/>
            <w:shd w:val="clear" w:color="auto" w:fill="CCEEFF"/>
          </w:tcPr>
          <w:p>
            <w:pPr>
              <w:jc w:val="right"/>
              <w:ind w:right="120"/>
              <w:spacing w:after="0"/>
              <w:rPr>
                <w:sz w:val="20"/>
                <w:szCs w:val="20"/>
                <w:color w:val="auto"/>
              </w:rPr>
            </w:pPr>
            <w:r>
              <w:rPr>
                <w:rFonts w:ascii="Arial" w:cs="Arial" w:eastAsia="Arial" w:hAnsi="Arial"/>
                <w:sz w:val="13"/>
                <w:szCs w:val="13"/>
                <w:color w:val="auto"/>
              </w:rPr>
              <w:t>51.66%</w:t>
            </w:r>
          </w:p>
        </w:tc>
        <w:tc>
          <w:tcPr>
            <w:tcW w:w="380" w:type="dxa"/>
            <w:vAlign w:val="bottom"/>
            <w:shd w:val="clear" w:color="auto" w:fill="CCEEFF"/>
          </w:tcPr>
          <w:p>
            <w:pPr>
              <w:spacing w:after="0"/>
              <w:rPr>
                <w:sz w:val="13"/>
                <w:szCs w:val="13"/>
                <w:color w:val="auto"/>
              </w:rPr>
            </w:pPr>
          </w:p>
        </w:tc>
        <w:tc>
          <w:tcPr>
            <w:tcW w:w="960" w:type="dxa"/>
            <w:vAlign w:val="bottom"/>
            <w:gridSpan w:val="2"/>
            <w:shd w:val="clear" w:color="auto" w:fill="CCEEFF"/>
          </w:tcPr>
          <w:p>
            <w:pPr>
              <w:jc w:val="right"/>
              <w:spacing w:after="0"/>
              <w:rPr>
                <w:sz w:val="20"/>
                <w:szCs w:val="20"/>
                <w:color w:val="auto"/>
              </w:rPr>
            </w:pPr>
            <w:r>
              <w:rPr>
                <w:rFonts w:ascii="Arial" w:cs="Arial" w:eastAsia="Arial" w:hAnsi="Arial"/>
                <w:sz w:val="13"/>
                <w:szCs w:val="13"/>
                <w:color w:val="auto"/>
              </w:rPr>
              <w:t>49.13%</w:t>
            </w:r>
          </w:p>
        </w:tc>
      </w:tr>
      <w:tr>
        <w:trPr>
          <w:trHeight w:val="164"/>
        </w:trPr>
        <w:tc>
          <w:tcPr>
            <w:tcW w:w="8480" w:type="dxa"/>
            <w:vAlign w:val="bottom"/>
          </w:tcPr>
          <w:p>
            <w:pPr>
              <w:spacing w:after="0"/>
              <w:rPr>
                <w:sz w:val="20"/>
                <w:szCs w:val="20"/>
                <w:color w:val="auto"/>
              </w:rPr>
            </w:pPr>
            <w:r>
              <w:rPr>
                <w:rFonts w:ascii="Arial" w:cs="Arial" w:eastAsia="Arial" w:hAnsi="Arial"/>
                <w:sz w:val="13"/>
                <w:szCs w:val="13"/>
                <w:color w:val="auto"/>
              </w:rPr>
              <w:t>Expected term (in years)</w:t>
            </w:r>
          </w:p>
        </w:tc>
        <w:tc>
          <w:tcPr>
            <w:tcW w:w="1240" w:type="dxa"/>
            <w:vAlign w:val="bottom"/>
          </w:tcPr>
          <w:p>
            <w:pPr>
              <w:jc w:val="right"/>
              <w:spacing w:after="0"/>
              <w:rPr>
                <w:sz w:val="20"/>
                <w:szCs w:val="20"/>
                <w:color w:val="auto"/>
              </w:rPr>
            </w:pPr>
            <w:r>
              <w:rPr>
                <w:rFonts w:ascii="Arial" w:cs="Arial" w:eastAsia="Arial" w:hAnsi="Arial"/>
                <w:sz w:val="13"/>
                <w:szCs w:val="13"/>
                <w:color w:val="auto"/>
              </w:rPr>
              <w:t>6</w:t>
            </w:r>
          </w:p>
        </w:tc>
        <w:tc>
          <w:tcPr>
            <w:tcW w:w="22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960" w:type="dxa"/>
            <w:vAlign w:val="bottom"/>
            <w:gridSpan w:val="2"/>
          </w:tcPr>
          <w:p>
            <w:pPr>
              <w:jc w:val="right"/>
              <w:ind w:right="100"/>
              <w:spacing w:after="0"/>
              <w:rPr>
                <w:sz w:val="20"/>
                <w:szCs w:val="20"/>
                <w:color w:val="auto"/>
              </w:rPr>
            </w:pPr>
            <w:r>
              <w:rPr>
                <w:rFonts w:ascii="Arial" w:cs="Arial" w:eastAsia="Arial" w:hAnsi="Arial"/>
                <w:sz w:val="13"/>
                <w:szCs w:val="13"/>
                <w:color w:val="auto"/>
              </w:rPr>
              <w:t>6</w:t>
            </w:r>
          </w:p>
        </w:tc>
      </w:tr>
    </w:tbl>
    <w:p>
      <w:pPr>
        <w:spacing w:after="0" w:line="140" w:lineRule="exact"/>
        <w:rPr>
          <w:sz w:val="20"/>
          <w:szCs w:val="20"/>
          <w:color w:val="auto"/>
        </w:rPr>
      </w:pPr>
    </w:p>
    <w:p>
      <w:pPr>
        <w:spacing w:after="0"/>
        <w:rPr>
          <w:sz w:val="20"/>
          <w:szCs w:val="20"/>
          <w:color w:val="auto"/>
        </w:rPr>
      </w:pPr>
      <w:r>
        <w:rPr>
          <w:rFonts w:ascii="Arial" w:cs="Arial" w:eastAsia="Arial" w:hAnsi="Arial"/>
          <w:sz w:val="13"/>
          <w:szCs w:val="13"/>
          <w:color w:val="auto"/>
        </w:rPr>
        <w:t>A summary of stock-based compensation expense recognized in the Company’s statements of operations is as follows:</w:t>
      </w:r>
    </w:p>
    <w:p>
      <w:pPr>
        <w:sectPr>
          <w:pgSz w:w="11900" w:h="16838" w:orient="portrait"/>
          <w:cols w:equalWidth="0" w:num="1">
            <w:col w:w="11280"/>
          </w:cols>
          <w:pgMar w:left="300" w:top="694" w:right="319" w:bottom="1440" w:gutter="0" w:footer="0" w:header="0"/>
        </w:sectPr>
      </w:pPr>
    </w:p>
    <w:p>
      <w:pPr>
        <w:spacing w:after="0" w:line="200" w:lineRule="exact"/>
        <w:rPr>
          <w:sz w:val="20"/>
          <w:szCs w:val="20"/>
          <w:color w:val="auto"/>
        </w:rPr>
      </w:pPr>
    </w:p>
    <w:p>
      <w:pPr>
        <w:spacing w:after="0" w:line="315" w:lineRule="exact"/>
        <w:rPr>
          <w:sz w:val="20"/>
          <w:szCs w:val="20"/>
          <w:color w:val="auto"/>
        </w:rPr>
      </w:pPr>
    </w:p>
    <w:p>
      <w:pPr>
        <w:spacing w:after="0"/>
        <w:rPr>
          <w:sz w:val="20"/>
          <w:szCs w:val="20"/>
          <w:color w:val="auto"/>
        </w:rPr>
      </w:pPr>
      <w:r>
        <w:rPr>
          <w:rFonts w:ascii="Arial" w:cs="Arial" w:eastAsia="Arial" w:hAnsi="Arial"/>
          <w:sz w:val="13"/>
          <w:szCs w:val="13"/>
          <w:color w:val="auto"/>
        </w:rPr>
        <w:t>Cost of services</w:t>
      </w:r>
    </w:p>
    <w:p>
      <w:pPr>
        <w:spacing w:after="0" w:line="15" w:lineRule="exact"/>
        <w:rPr>
          <w:sz w:val="20"/>
          <w:szCs w:val="20"/>
          <w:color w:val="auto"/>
        </w:rPr>
      </w:pPr>
    </w:p>
    <w:p>
      <w:pPr>
        <w:spacing w:after="0"/>
        <w:rPr>
          <w:sz w:val="20"/>
          <w:szCs w:val="20"/>
          <w:color w:val="auto"/>
        </w:rPr>
      </w:pPr>
      <w:r>
        <w:rPr>
          <w:rFonts w:ascii="Arial" w:cs="Arial" w:eastAsia="Arial" w:hAnsi="Arial"/>
          <w:sz w:val="13"/>
          <w:szCs w:val="13"/>
          <w:color w:val="auto"/>
        </w:rPr>
        <w:t>Research and development</w:t>
      </w:r>
    </w:p>
    <w:p>
      <w:pPr>
        <w:spacing w:after="0" w:line="7" w:lineRule="exact"/>
        <w:rPr>
          <w:sz w:val="20"/>
          <w:szCs w:val="20"/>
          <w:color w:val="auto"/>
        </w:rPr>
      </w:pPr>
    </w:p>
    <w:p>
      <w:pPr>
        <w:spacing w:after="0"/>
        <w:rPr>
          <w:sz w:val="20"/>
          <w:szCs w:val="20"/>
          <w:color w:val="auto"/>
        </w:rPr>
      </w:pPr>
      <w:r>
        <w:rPr>
          <w:rFonts w:ascii="Arial" w:cs="Arial" w:eastAsia="Arial" w:hAnsi="Arial"/>
          <w:sz w:val="13"/>
          <w:szCs w:val="13"/>
          <w:color w:val="auto"/>
        </w:rPr>
        <w:t>Sales and marketing</w:t>
      </w:r>
    </w:p>
    <w:p>
      <w:pPr>
        <w:spacing w:after="0" w:line="7" w:lineRule="exact"/>
        <w:rPr>
          <w:sz w:val="20"/>
          <w:szCs w:val="20"/>
          <w:color w:val="auto"/>
        </w:rPr>
      </w:pPr>
    </w:p>
    <w:p>
      <w:pPr>
        <w:spacing w:after="0"/>
        <w:rPr>
          <w:sz w:val="20"/>
          <w:szCs w:val="20"/>
          <w:color w:val="auto"/>
        </w:rPr>
      </w:pPr>
      <w:r>
        <w:rPr>
          <w:rFonts w:ascii="Arial" w:cs="Arial" w:eastAsia="Arial" w:hAnsi="Arial"/>
          <w:sz w:val="13"/>
          <w:szCs w:val="13"/>
          <w:color w:val="auto"/>
        </w:rPr>
        <w:t>General and Administrative</w:t>
      </w:r>
    </w:p>
    <w:p>
      <w:pPr>
        <w:spacing w:after="0" w:line="9" w:lineRule="exact"/>
        <w:rPr>
          <w:sz w:val="20"/>
          <w:szCs w:val="20"/>
          <w:color w:val="auto"/>
        </w:rPr>
      </w:pPr>
    </w:p>
    <w:p>
      <w:pPr>
        <w:ind w:left="240"/>
        <w:spacing w:after="0"/>
        <w:rPr>
          <w:sz w:val="20"/>
          <w:szCs w:val="20"/>
          <w:color w:val="auto"/>
        </w:rPr>
      </w:pPr>
      <w:r>
        <w:rPr>
          <w:rFonts w:ascii="Arial" w:cs="Arial" w:eastAsia="Arial" w:hAnsi="Arial"/>
          <w:sz w:val="13"/>
          <w:szCs w:val="13"/>
          <w:color w:val="auto"/>
        </w:rPr>
        <w:t>Total</w:t>
      </w:r>
    </w:p>
    <w:p>
      <w:pPr>
        <w:spacing w:after="0" w:line="208" w:lineRule="exact"/>
        <w:rPr>
          <w:sz w:val="20"/>
          <w:szCs w:val="20"/>
          <w:color w:val="auto"/>
        </w:rPr>
      </w:pPr>
    </w:p>
    <w:p>
      <w:pPr>
        <w:spacing w:after="0"/>
        <w:rPr>
          <w:sz w:val="20"/>
          <w:szCs w:val="20"/>
          <w:color w:val="auto"/>
        </w:rPr>
      </w:pPr>
      <w:r>
        <w:rPr>
          <w:rFonts w:ascii="Arial" w:cs="Arial" w:eastAsia="Arial" w:hAnsi="Arial"/>
          <w:sz w:val="11"/>
          <w:szCs w:val="11"/>
          <w:b w:val="1"/>
          <w:bCs w:val="1"/>
          <w:color w:val="auto"/>
        </w:rPr>
        <w:t>NOTE 6: Employee Benefit Plan</w:t>
      </w:r>
    </w:p>
    <w:p>
      <w:pPr>
        <w:spacing w:after="0" w:line="20" w:lineRule="exact"/>
        <w:rPr>
          <w:sz w:val="20"/>
          <w:szCs w:val="20"/>
          <w:color w:val="auto"/>
        </w:rPr>
      </w:pPr>
      <w:r>
        <w:rPr>
          <w:sz w:val="20"/>
          <w:szCs w:val="20"/>
          <w:color w:val="auto"/>
        </w:rPr>
        <w:br w:type="column"/>
      </w:r>
    </w:p>
    <w:p>
      <w:pPr>
        <w:spacing w:after="0" w:line="149" w:lineRule="exact"/>
        <w:rPr>
          <w:sz w:val="20"/>
          <w:szCs w:val="20"/>
          <w:color w:val="auto"/>
        </w:rPr>
      </w:pPr>
    </w:p>
    <w:p>
      <w:pPr>
        <w:ind w:left="640"/>
        <w:spacing w:after="0"/>
        <w:rPr>
          <w:sz w:val="20"/>
          <w:szCs w:val="20"/>
          <w:color w:val="auto"/>
        </w:rPr>
      </w:pPr>
      <w:r>
        <w:rPr>
          <w:rFonts w:ascii="Arial" w:cs="Arial" w:eastAsia="Arial" w:hAnsi="Arial"/>
          <w:sz w:val="13"/>
          <w:szCs w:val="13"/>
          <w:b w:val="1"/>
          <w:bCs w:val="1"/>
          <w:color w:val="auto"/>
        </w:rPr>
        <w:t>Year ended December 31,</w:t>
      </w:r>
    </w:p>
    <w:p>
      <w:pPr>
        <w:spacing w:after="0" w:line="19" w:lineRule="exact"/>
        <w:rPr>
          <w:sz w:val="20"/>
          <w:szCs w:val="20"/>
          <w:color w:val="auto"/>
        </w:rPr>
      </w:pPr>
    </w:p>
    <w:tbl>
      <w:tblPr>
        <w:tblLayout w:type="fixed"/>
        <w:tblInd w:w="0" w:type="dxa"/>
        <w:tblCellMar>
          <w:top w:w="0" w:type="dxa"/>
          <w:left w:w="0" w:type="dxa"/>
          <w:bottom w:w="0" w:type="dxa"/>
          <w:right w:w="0" w:type="dxa"/>
        </w:tblCellMar>
      </w:tblPr>
      <w:tr>
        <w:trPr>
          <w:trHeight w:val="157"/>
        </w:trPr>
        <w:tc>
          <w:tcPr>
            <w:tcW w:w="20" w:type="dxa"/>
            <w:vAlign w:val="bottom"/>
          </w:tcPr>
          <w:p>
            <w:pPr>
              <w:spacing w:after="0"/>
              <w:rPr>
                <w:sz w:val="13"/>
                <w:szCs w:val="13"/>
                <w:color w:val="auto"/>
              </w:rPr>
            </w:pPr>
          </w:p>
        </w:tc>
        <w:tc>
          <w:tcPr>
            <w:tcW w:w="26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260" w:type="dxa"/>
            <w:vAlign w:val="bottom"/>
            <w:tcBorders>
              <w:top w:val="single" w:sz="8" w:color="auto"/>
            </w:tcBorders>
          </w:tcPr>
          <w:p>
            <w:pPr>
              <w:spacing w:after="0"/>
              <w:rPr>
                <w:sz w:val="13"/>
                <w:szCs w:val="13"/>
                <w:color w:val="auto"/>
              </w:rPr>
            </w:pPr>
          </w:p>
        </w:tc>
        <w:tc>
          <w:tcPr>
            <w:tcW w:w="24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2019</w:t>
            </w:r>
          </w:p>
        </w:tc>
        <w:tc>
          <w:tcPr>
            <w:tcW w:w="20" w:type="dxa"/>
            <w:vAlign w:val="bottom"/>
          </w:tcPr>
          <w:p>
            <w:pPr>
              <w:spacing w:after="0"/>
              <w:rPr>
                <w:sz w:val="13"/>
                <w:szCs w:val="13"/>
                <w:color w:val="auto"/>
              </w:rPr>
            </w:pPr>
          </w:p>
        </w:tc>
      </w:tr>
      <w:tr>
        <w:trPr>
          <w:trHeight w:val="137"/>
        </w:trPr>
        <w:tc>
          <w:tcPr>
            <w:tcW w:w="20" w:type="dxa"/>
            <w:vAlign w:val="bottom"/>
          </w:tcPr>
          <w:p>
            <w:pPr>
              <w:spacing w:after="0"/>
              <w:rPr>
                <w:sz w:val="11"/>
                <w:szCs w:val="11"/>
                <w:color w:val="auto"/>
              </w:rPr>
            </w:pPr>
          </w:p>
        </w:tc>
        <w:tc>
          <w:tcPr>
            <w:tcW w:w="260" w:type="dxa"/>
            <w:vAlign w:val="bottom"/>
          </w:tcPr>
          <w:p>
            <w:pPr>
              <w:jc w:val="right"/>
              <w:ind w:right="193"/>
              <w:spacing w:after="0"/>
              <w:rPr>
                <w:sz w:val="20"/>
                <w:szCs w:val="20"/>
                <w:color w:val="auto"/>
              </w:rPr>
            </w:pPr>
            <w:r>
              <w:rPr>
                <w:rFonts w:ascii="Arial" w:cs="Arial" w:eastAsia="Arial" w:hAnsi="Arial"/>
                <w:sz w:val="5"/>
                <w:szCs w:val="5"/>
                <w:color w:val="auto"/>
                <w:w w:val="70"/>
              </w:rPr>
              <w:t>$</w:t>
            </w:r>
          </w:p>
        </w:tc>
        <w:tc>
          <w:tcPr>
            <w:tcW w:w="960" w:type="dxa"/>
            <w:vAlign w:val="bottom"/>
          </w:tcPr>
          <w:p>
            <w:pPr>
              <w:jc w:val="right"/>
              <w:spacing w:after="0" w:line="138" w:lineRule="exact"/>
              <w:rPr>
                <w:sz w:val="20"/>
                <w:szCs w:val="20"/>
                <w:color w:val="auto"/>
              </w:rPr>
            </w:pPr>
            <w:r>
              <w:rPr>
                <w:rFonts w:ascii="Arial" w:cs="Arial" w:eastAsia="Arial" w:hAnsi="Arial"/>
                <w:sz w:val="13"/>
                <w:szCs w:val="13"/>
                <w:color w:val="auto"/>
              </w:rPr>
              <w:t>100,465</w:t>
            </w:r>
          </w:p>
        </w:tc>
        <w:tc>
          <w:tcPr>
            <w:tcW w:w="260" w:type="dxa"/>
            <w:vAlign w:val="bottom"/>
          </w:tcPr>
          <w:p>
            <w:pPr>
              <w:spacing w:after="0"/>
              <w:rPr>
                <w:sz w:val="11"/>
                <w:szCs w:val="11"/>
                <w:color w:val="auto"/>
              </w:rPr>
            </w:pPr>
          </w:p>
        </w:tc>
        <w:tc>
          <w:tcPr>
            <w:tcW w:w="240" w:type="dxa"/>
            <w:vAlign w:val="bottom"/>
          </w:tcPr>
          <w:p>
            <w:pPr>
              <w:jc w:val="right"/>
              <w:ind w:right="173"/>
              <w:spacing w:after="0"/>
              <w:rPr>
                <w:sz w:val="20"/>
                <w:szCs w:val="20"/>
                <w:color w:val="auto"/>
              </w:rPr>
            </w:pPr>
            <w:r>
              <w:rPr>
                <w:rFonts w:ascii="Arial" w:cs="Arial" w:eastAsia="Arial" w:hAnsi="Arial"/>
                <w:sz w:val="5"/>
                <w:szCs w:val="5"/>
                <w:color w:val="auto"/>
                <w:w w:val="70"/>
              </w:rPr>
              <w:t>$</w:t>
            </w:r>
          </w:p>
        </w:tc>
        <w:tc>
          <w:tcPr>
            <w:tcW w:w="960" w:type="dxa"/>
            <w:vAlign w:val="bottom"/>
          </w:tcPr>
          <w:p>
            <w:pPr>
              <w:jc w:val="right"/>
              <w:spacing w:after="0" w:line="138" w:lineRule="exact"/>
              <w:rPr>
                <w:sz w:val="20"/>
                <w:szCs w:val="20"/>
                <w:color w:val="auto"/>
              </w:rPr>
            </w:pPr>
            <w:r>
              <w:rPr>
                <w:rFonts w:ascii="Arial" w:cs="Arial" w:eastAsia="Arial" w:hAnsi="Arial"/>
                <w:sz w:val="13"/>
                <w:szCs w:val="13"/>
                <w:color w:val="auto"/>
              </w:rPr>
              <w:t>44,620</w:t>
            </w:r>
          </w:p>
        </w:tc>
        <w:tc>
          <w:tcPr>
            <w:tcW w:w="20" w:type="dxa"/>
            <w:vAlign w:val="bottom"/>
          </w:tcPr>
          <w:p>
            <w:pPr>
              <w:spacing w:after="0"/>
              <w:rPr>
                <w:sz w:val="11"/>
                <w:szCs w:val="11"/>
                <w:color w:val="auto"/>
              </w:rPr>
            </w:pPr>
          </w:p>
        </w:tc>
      </w:tr>
      <w:tr>
        <w:trPr>
          <w:trHeight w:val="156"/>
        </w:trPr>
        <w:tc>
          <w:tcPr>
            <w:tcW w:w="2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220" w:type="dxa"/>
            <w:vAlign w:val="bottom"/>
            <w:gridSpan w:val="2"/>
          </w:tcPr>
          <w:p>
            <w:pPr>
              <w:jc w:val="right"/>
              <w:ind w:right="260"/>
              <w:spacing w:after="0"/>
              <w:rPr>
                <w:sz w:val="20"/>
                <w:szCs w:val="20"/>
                <w:color w:val="auto"/>
              </w:rPr>
            </w:pPr>
            <w:r>
              <w:rPr>
                <w:rFonts w:ascii="Arial" w:cs="Arial" w:eastAsia="Arial" w:hAnsi="Arial"/>
                <w:sz w:val="13"/>
                <w:szCs w:val="13"/>
                <w:color w:val="auto"/>
              </w:rPr>
              <w:t>265,529</w:t>
            </w:r>
          </w:p>
        </w:tc>
        <w:tc>
          <w:tcPr>
            <w:tcW w:w="24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267,717</w:t>
            </w:r>
          </w:p>
        </w:tc>
        <w:tc>
          <w:tcPr>
            <w:tcW w:w="20" w:type="dxa"/>
            <w:vAlign w:val="bottom"/>
          </w:tcPr>
          <w:p>
            <w:pPr>
              <w:spacing w:after="0"/>
              <w:rPr>
                <w:sz w:val="13"/>
                <w:szCs w:val="13"/>
                <w:color w:val="auto"/>
              </w:rPr>
            </w:pPr>
          </w:p>
        </w:tc>
      </w:tr>
      <w:tr>
        <w:trPr>
          <w:trHeight w:val="164"/>
        </w:trPr>
        <w:tc>
          <w:tcPr>
            <w:tcW w:w="2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220" w:type="dxa"/>
            <w:vAlign w:val="bottom"/>
            <w:gridSpan w:val="2"/>
          </w:tcPr>
          <w:p>
            <w:pPr>
              <w:jc w:val="right"/>
              <w:ind w:right="260"/>
              <w:spacing w:after="0"/>
              <w:rPr>
                <w:sz w:val="20"/>
                <w:szCs w:val="20"/>
                <w:color w:val="auto"/>
              </w:rPr>
            </w:pPr>
            <w:r>
              <w:rPr>
                <w:rFonts w:ascii="Arial" w:cs="Arial" w:eastAsia="Arial" w:hAnsi="Arial"/>
                <w:sz w:val="13"/>
                <w:szCs w:val="13"/>
                <w:color w:val="auto"/>
              </w:rPr>
              <w:t>113,212</w:t>
            </w:r>
          </w:p>
        </w:tc>
        <w:tc>
          <w:tcPr>
            <w:tcW w:w="240" w:type="dxa"/>
            <w:vAlign w:val="bottom"/>
          </w:tcPr>
          <w:p>
            <w:pPr>
              <w:spacing w:after="0"/>
              <w:rPr>
                <w:sz w:val="14"/>
                <w:szCs w:val="14"/>
                <w:color w:val="auto"/>
              </w:rPr>
            </w:pPr>
          </w:p>
        </w:tc>
        <w:tc>
          <w:tcPr>
            <w:tcW w:w="980" w:type="dxa"/>
            <w:vAlign w:val="bottom"/>
            <w:gridSpan w:val="2"/>
          </w:tcPr>
          <w:p>
            <w:pPr>
              <w:jc w:val="right"/>
              <w:ind w:right="20"/>
              <w:spacing w:after="0"/>
              <w:rPr>
                <w:sz w:val="20"/>
                <w:szCs w:val="20"/>
                <w:color w:val="auto"/>
              </w:rPr>
            </w:pPr>
            <w:r>
              <w:rPr>
                <w:rFonts w:ascii="Arial" w:cs="Arial" w:eastAsia="Arial" w:hAnsi="Arial"/>
                <w:sz w:val="13"/>
                <w:szCs w:val="13"/>
                <w:color w:val="auto"/>
              </w:rPr>
              <w:t>56,292</w:t>
            </w:r>
          </w:p>
        </w:tc>
      </w:tr>
      <w:tr>
        <w:trPr>
          <w:trHeight w:val="167"/>
        </w:trPr>
        <w:tc>
          <w:tcPr>
            <w:tcW w:w="2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220" w:type="dxa"/>
            <w:vAlign w:val="bottom"/>
            <w:gridSpan w:val="2"/>
          </w:tcPr>
          <w:p>
            <w:pPr>
              <w:jc w:val="right"/>
              <w:ind w:right="260"/>
              <w:spacing w:after="0"/>
              <w:rPr>
                <w:sz w:val="20"/>
                <w:szCs w:val="20"/>
                <w:color w:val="auto"/>
              </w:rPr>
            </w:pPr>
            <w:r>
              <w:rPr>
                <w:rFonts w:ascii="Arial" w:cs="Arial" w:eastAsia="Arial" w:hAnsi="Arial"/>
                <w:sz w:val="13"/>
                <w:szCs w:val="13"/>
                <w:color w:val="auto"/>
              </w:rPr>
              <w:t>40,406</w:t>
            </w:r>
          </w:p>
        </w:tc>
        <w:tc>
          <w:tcPr>
            <w:tcW w:w="240" w:type="dxa"/>
            <w:vAlign w:val="bottom"/>
          </w:tcPr>
          <w:p>
            <w:pPr>
              <w:spacing w:after="0"/>
              <w:rPr>
                <w:sz w:val="14"/>
                <w:szCs w:val="14"/>
                <w:color w:val="auto"/>
              </w:rPr>
            </w:pPr>
          </w:p>
        </w:tc>
        <w:tc>
          <w:tcPr>
            <w:tcW w:w="980" w:type="dxa"/>
            <w:vAlign w:val="bottom"/>
            <w:gridSpan w:val="2"/>
          </w:tcPr>
          <w:p>
            <w:pPr>
              <w:jc w:val="right"/>
              <w:ind w:right="20"/>
              <w:spacing w:after="0"/>
              <w:rPr>
                <w:sz w:val="20"/>
                <w:szCs w:val="20"/>
                <w:color w:val="auto"/>
              </w:rPr>
            </w:pPr>
            <w:r>
              <w:rPr>
                <w:rFonts w:ascii="Arial" w:cs="Arial" w:eastAsia="Arial" w:hAnsi="Arial"/>
                <w:sz w:val="13"/>
                <w:szCs w:val="13"/>
                <w:color w:val="auto"/>
              </w:rPr>
              <w:t>99,953</w:t>
            </w:r>
          </w:p>
        </w:tc>
      </w:tr>
      <w:tr>
        <w:trPr>
          <w:trHeight w:val="20"/>
        </w:trPr>
        <w:tc>
          <w:tcPr>
            <w:tcW w:w="20" w:type="dxa"/>
            <w:vAlign w:val="bottom"/>
          </w:tcPr>
          <w:p>
            <w:pPr>
              <w:spacing w:after="0" w:line="20" w:lineRule="exact"/>
              <w:rPr>
                <w:sz w:val="1"/>
                <w:szCs w:val="1"/>
                <w:color w:val="auto"/>
              </w:rPr>
            </w:pPr>
          </w:p>
        </w:tc>
        <w:tc>
          <w:tcPr>
            <w:tcW w:w="26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4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156"/>
        </w:trPr>
        <w:tc>
          <w:tcPr>
            <w:tcW w:w="280" w:type="dxa"/>
            <w:vAlign w:val="bottom"/>
            <w:gridSpan w:val="2"/>
          </w:tcPr>
          <w:p>
            <w:pPr>
              <w:jc w:val="right"/>
              <w:ind w:right="193"/>
              <w:spacing w:after="0"/>
              <w:rPr>
                <w:sz w:val="20"/>
                <w:szCs w:val="20"/>
                <w:color w:val="auto"/>
              </w:rPr>
            </w:pPr>
            <w:r>
              <w:rPr>
                <w:rFonts w:ascii="Arial" w:cs="Arial" w:eastAsia="Arial" w:hAnsi="Arial"/>
                <w:sz w:val="10"/>
                <w:szCs w:val="10"/>
                <w:color w:val="auto"/>
                <w:w w:val="71"/>
              </w:rPr>
              <w:t>$</w:t>
            </w:r>
          </w:p>
        </w:tc>
        <w:tc>
          <w:tcPr>
            <w:tcW w:w="1220" w:type="dxa"/>
            <w:vAlign w:val="bottom"/>
            <w:gridSpan w:val="2"/>
          </w:tcPr>
          <w:p>
            <w:pPr>
              <w:jc w:val="right"/>
              <w:ind w:right="260"/>
              <w:spacing w:after="0"/>
              <w:rPr>
                <w:sz w:val="20"/>
                <w:szCs w:val="20"/>
                <w:color w:val="auto"/>
              </w:rPr>
            </w:pPr>
            <w:r>
              <w:rPr>
                <w:rFonts w:ascii="Arial" w:cs="Arial" w:eastAsia="Arial" w:hAnsi="Arial"/>
                <w:sz w:val="13"/>
                <w:szCs w:val="13"/>
                <w:color w:val="auto"/>
              </w:rPr>
              <w:t>519,612</w:t>
            </w:r>
          </w:p>
        </w:tc>
        <w:tc>
          <w:tcPr>
            <w:tcW w:w="240" w:type="dxa"/>
            <w:vAlign w:val="bottom"/>
          </w:tcPr>
          <w:p>
            <w:pPr>
              <w:jc w:val="right"/>
              <w:ind w:right="173"/>
              <w:spacing w:after="0"/>
              <w:rPr>
                <w:sz w:val="20"/>
                <w:szCs w:val="20"/>
                <w:color w:val="auto"/>
              </w:rPr>
            </w:pPr>
            <w:r>
              <w:rPr>
                <w:rFonts w:ascii="Arial" w:cs="Arial" w:eastAsia="Arial" w:hAnsi="Arial"/>
                <w:sz w:val="5"/>
                <w:szCs w:val="5"/>
                <w:color w:val="auto"/>
                <w:w w:val="70"/>
              </w:rPr>
              <w:t>$</w:t>
            </w:r>
          </w:p>
        </w:tc>
        <w:tc>
          <w:tcPr>
            <w:tcW w:w="960" w:type="dxa"/>
            <w:vAlign w:val="bottom"/>
          </w:tcPr>
          <w:p>
            <w:pPr>
              <w:jc w:val="right"/>
              <w:spacing w:after="0"/>
              <w:rPr>
                <w:sz w:val="20"/>
                <w:szCs w:val="20"/>
                <w:color w:val="auto"/>
              </w:rPr>
            </w:pPr>
            <w:r>
              <w:rPr>
                <w:rFonts w:ascii="Arial" w:cs="Arial" w:eastAsia="Arial" w:hAnsi="Arial"/>
                <w:sz w:val="13"/>
                <w:szCs w:val="13"/>
                <w:color w:val="auto"/>
              </w:rPr>
              <w:t>468,582</w:t>
            </w:r>
          </w:p>
        </w:tc>
        <w:tc>
          <w:tcPr>
            <w:tcW w:w="20" w:type="dxa"/>
            <w:vAlign w:val="bottom"/>
          </w:tcPr>
          <w:p>
            <w:pPr>
              <w:spacing w:after="0"/>
              <w:rPr>
                <w:sz w:val="13"/>
                <w:szCs w:val="13"/>
                <w:color w:val="auto"/>
              </w:rPr>
            </w:pPr>
          </w:p>
        </w:tc>
      </w:tr>
      <w:tr>
        <w:trPr>
          <w:trHeight w:val="30"/>
        </w:trPr>
        <w:tc>
          <w:tcPr>
            <w:tcW w:w="20" w:type="dxa"/>
            <w:vAlign w:val="bottom"/>
          </w:tcPr>
          <w:p>
            <w:pPr>
              <w:spacing w:after="0"/>
              <w:rPr>
                <w:sz w:val="2"/>
                <w:szCs w:val="2"/>
                <w:color w:val="auto"/>
              </w:rPr>
            </w:pPr>
          </w:p>
        </w:tc>
        <w:tc>
          <w:tcPr>
            <w:tcW w:w="260" w:type="dxa"/>
            <w:vAlign w:val="bottom"/>
            <w:shd w:val="clear" w:color="auto" w:fill="000000"/>
          </w:tcPr>
          <w:p>
            <w:pPr>
              <w:spacing w:after="0"/>
              <w:rPr>
                <w:sz w:val="2"/>
                <w:szCs w:val="2"/>
                <w:color w:val="auto"/>
              </w:rPr>
            </w:pPr>
          </w:p>
        </w:tc>
        <w:tc>
          <w:tcPr>
            <w:tcW w:w="960" w:type="dxa"/>
            <w:vAlign w:val="bottom"/>
            <w:shd w:val="clear" w:color="auto" w:fill="000000"/>
          </w:tcPr>
          <w:p>
            <w:pPr>
              <w:spacing w:after="0"/>
              <w:rPr>
                <w:sz w:val="2"/>
                <w:szCs w:val="2"/>
                <w:color w:val="auto"/>
              </w:rPr>
            </w:pPr>
          </w:p>
        </w:tc>
        <w:tc>
          <w:tcPr>
            <w:tcW w:w="260" w:type="dxa"/>
            <w:vAlign w:val="bottom"/>
            <w:tcBorders>
              <w:right w:val="single" w:sz="8" w:color="auto"/>
            </w:tcBorders>
          </w:tcPr>
          <w:p>
            <w:pPr>
              <w:spacing w:after="0"/>
              <w:rPr>
                <w:sz w:val="2"/>
                <w:szCs w:val="2"/>
                <w:color w:val="auto"/>
              </w:rPr>
            </w:pPr>
          </w:p>
        </w:tc>
        <w:tc>
          <w:tcPr>
            <w:tcW w:w="240" w:type="dxa"/>
            <w:vAlign w:val="bottom"/>
            <w:shd w:val="clear" w:color="auto" w:fill="000000"/>
          </w:tcPr>
          <w:p>
            <w:pPr>
              <w:spacing w:after="0"/>
              <w:rPr>
                <w:sz w:val="2"/>
                <w:szCs w:val="2"/>
                <w:color w:val="auto"/>
              </w:rPr>
            </w:pPr>
          </w:p>
        </w:tc>
        <w:tc>
          <w:tcPr>
            <w:tcW w:w="960" w:type="dxa"/>
            <w:vAlign w:val="bottom"/>
            <w:shd w:val="clear" w:color="auto" w:fill="000000"/>
          </w:tcPr>
          <w:p>
            <w:pPr>
              <w:spacing w:after="0"/>
              <w:rPr>
                <w:sz w:val="2"/>
                <w:szCs w:val="2"/>
                <w:color w:val="auto"/>
              </w:rPr>
            </w:pPr>
          </w:p>
        </w:tc>
        <w:tc>
          <w:tcPr>
            <w:tcW w:w="20" w:type="dxa"/>
            <w:vAlign w:val="bottom"/>
          </w:tcPr>
          <w:p>
            <w:pPr>
              <w:spacing w:after="0"/>
              <w:rPr>
                <w:sz w:val="2"/>
                <w:szCs w:val="2"/>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-5385435</wp:posOffset>
            </wp:positionH>
            <wp:positionV relativeFrom="paragraph">
              <wp:posOffset>-539750</wp:posOffset>
            </wp:positionV>
            <wp:extent cx="7170420" cy="10541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8">
                      <a:extLst>
                        <a:ext uri="{28A0092B-C50C-407E-A947-70E740481C1C}"/>
                      </a:extLst>
                    </a:blip>
                    <a:srcRect/>
                    <a:stretch>
                      <a:fillRect/>
                    </a:stretch>
                  </pic:blipFill>
                  <pic:spPr bwMode="auto">
                    <a:xfrm>
                      <a:off x="0" y="0"/>
                      <a:ext cx="7170420" cy="105410"/>
                    </a:xfrm>
                    <a:prstGeom prst="rect">
                      <a:avLst/>
                    </a:prstGeom>
                    <a:noFill/>
                  </pic:spPr>
                </pic:pic>
              </a:graphicData>
            </a:graphic>
          </wp:anchor>
        </w:drawing>
        <w:drawing>
          <wp:anchor simplePos="0" relativeHeight="251657728" behindDoc="1" locked="0" layoutInCell="0" allowOverlap="1">
            <wp:simplePos x="0" y="0"/>
            <wp:positionH relativeFrom="column">
              <wp:posOffset>-5385435</wp:posOffset>
            </wp:positionH>
            <wp:positionV relativeFrom="paragraph">
              <wp:posOffset>-334645</wp:posOffset>
            </wp:positionV>
            <wp:extent cx="7170420" cy="9906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9">
                      <a:extLst>
                        <a:ext uri="{28A0092B-C50C-407E-A947-70E740481C1C}"/>
                      </a:extLst>
                    </a:blip>
                    <a:srcRect/>
                    <a:stretch>
                      <a:fillRect/>
                    </a:stretch>
                  </pic:blipFill>
                  <pic:spPr bwMode="auto">
                    <a:xfrm>
                      <a:off x="0" y="0"/>
                      <a:ext cx="7170420" cy="99060"/>
                    </a:xfrm>
                    <a:prstGeom prst="rect">
                      <a:avLst/>
                    </a:prstGeom>
                    <a:noFill/>
                  </pic:spPr>
                </pic:pic>
              </a:graphicData>
            </a:graphic>
          </wp:anchor>
        </w:drawing>
        <w:drawing>
          <wp:anchor simplePos="0" relativeHeight="251657728" behindDoc="1" locked="0" layoutInCell="0" allowOverlap="1">
            <wp:simplePos x="0" y="0"/>
            <wp:positionH relativeFrom="column">
              <wp:posOffset>-5385435</wp:posOffset>
            </wp:positionH>
            <wp:positionV relativeFrom="paragraph">
              <wp:posOffset>-129540</wp:posOffset>
            </wp:positionV>
            <wp:extent cx="7170420" cy="11811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a:extLst>
                        <a:ext uri="{28A0092B-C50C-407E-A947-70E740481C1C}"/>
                      </a:extLst>
                    </a:blip>
                    <a:srcRect/>
                    <a:stretch>
                      <a:fillRect/>
                    </a:stretch>
                  </pic:blipFill>
                  <pic:spPr bwMode="auto">
                    <a:xfrm>
                      <a:off x="0" y="0"/>
                      <a:ext cx="7170420" cy="118110"/>
                    </a:xfrm>
                    <a:prstGeom prst="rect">
                      <a:avLst/>
                    </a:prstGeom>
                    <a:noFill/>
                  </pic:spPr>
                </pic:pic>
              </a:graphicData>
            </a:graphic>
          </wp:anchor>
        </w:drawing>
      </w:r>
    </w:p>
    <w:p>
      <w:pPr>
        <w:spacing w:after="0" w:line="460" w:lineRule="exact"/>
        <w:rPr>
          <w:sz w:val="20"/>
          <w:szCs w:val="20"/>
          <w:color w:val="auto"/>
        </w:rPr>
      </w:pPr>
    </w:p>
    <w:p>
      <w:pPr>
        <w:sectPr>
          <w:pgSz w:w="11900" w:h="16838" w:orient="portrait"/>
          <w:cols w:equalWidth="0" w:num="2">
            <w:col w:w="7760" w:space="720"/>
            <w:col w:w="2800"/>
          </w:cols>
          <w:pgMar w:left="300" w:top="694" w:right="319" w:bottom="1440" w:gutter="0" w:footer="0" w:header="0"/>
          <w:type w:val="continuous"/>
        </w:sectPr>
      </w:pPr>
    </w:p>
    <w:p>
      <w:pPr>
        <w:spacing w:after="0" w:line="274" w:lineRule="auto"/>
        <w:rPr>
          <w:sz w:val="20"/>
          <w:szCs w:val="20"/>
          <w:color w:val="auto"/>
        </w:rPr>
      </w:pPr>
      <w:r>
        <w:rPr>
          <w:rFonts w:ascii="Arial" w:cs="Arial" w:eastAsia="Arial" w:hAnsi="Arial"/>
          <w:sz w:val="13"/>
          <w:szCs w:val="13"/>
          <w:color w:val="auto"/>
        </w:rPr>
        <w:t>The Company administers a 401(K) retirement plan (the “401(K) Plan”) in which all employees are eligible to participate. Each eligible employee may elect to contribute to the 401(K) Plan. During the years ended December 31, 2020 and 2019, the Company has made no matching contributions.</w:t>
      </w:r>
    </w:p>
    <w:p>
      <w:pPr>
        <w:spacing w:after="0" w:line="124" w:lineRule="exact"/>
        <w:rPr>
          <w:sz w:val="20"/>
          <w:szCs w:val="20"/>
          <w:color w:val="auto"/>
        </w:rPr>
      </w:pPr>
    </w:p>
    <w:tbl>
      <w:tblPr>
        <w:tblLayout w:type="fixed"/>
        <w:tblInd w:w="0" w:type="dxa"/>
        <w:tblCellMar>
          <w:top w:w="0" w:type="dxa"/>
          <w:left w:w="0" w:type="dxa"/>
          <w:bottom w:w="0" w:type="dxa"/>
          <w:right w:w="0" w:type="dxa"/>
        </w:tblCellMar>
      </w:tblPr>
      <w:tr>
        <w:trPr>
          <w:trHeight w:val="168"/>
        </w:trPr>
        <w:tc>
          <w:tcPr>
            <w:tcW w:w="6540" w:type="dxa"/>
            <w:vAlign w:val="bottom"/>
          </w:tcPr>
          <w:p>
            <w:pPr>
              <w:spacing w:after="0"/>
              <w:rPr>
                <w:sz w:val="20"/>
                <w:szCs w:val="20"/>
                <w:color w:val="auto"/>
              </w:rPr>
            </w:pPr>
            <w:r>
              <w:rPr>
                <w:rFonts w:ascii="Arial" w:cs="Arial" w:eastAsia="Arial" w:hAnsi="Arial"/>
                <w:sz w:val="13"/>
                <w:szCs w:val="13"/>
                <w:b w:val="1"/>
                <w:bCs w:val="1"/>
                <w:color w:val="auto"/>
              </w:rPr>
              <w:t>NOTE 7: Income Taxes</w:t>
            </w:r>
          </w:p>
        </w:tc>
        <w:tc>
          <w:tcPr>
            <w:tcW w:w="19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80" w:type="dxa"/>
            <w:vAlign w:val="bottom"/>
          </w:tcPr>
          <w:p>
            <w:pPr>
              <w:spacing w:after="0"/>
              <w:rPr>
                <w:sz w:val="14"/>
                <w:szCs w:val="14"/>
                <w:color w:val="auto"/>
              </w:rPr>
            </w:pPr>
          </w:p>
        </w:tc>
      </w:tr>
      <w:tr>
        <w:trPr>
          <w:trHeight w:val="313"/>
        </w:trPr>
        <w:tc>
          <w:tcPr>
            <w:tcW w:w="6540" w:type="dxa"/>
            <w:vAlign w:val="bottom"/>
          </w:tcPr>
          <w:p>
            <w:pPr>
              <w:spacing w:after="0"/>
              <w:rPr>
                <w:sz w:val="20"/>
                <w:szCs w:val="20"/>
                <w:color w:val="auto"/>
              </w:rPr>
            </w:pPr>
            <w:r>
              <w:rPr>
                <w:rFonts w:ascii="Arial" w:cs="Arial" w:eastAsia="Arial" w:hAnsi="Arial"/>
                <w:sz w:val="13"/>
                <w:szCs w:val="13"/>
                <w:color w:val="auto"/>
              </w:rPr>
              <w:t>The Company has incurred cumulative U.S. net operating losses (NOL) since inception.</w:t>
            </w:r>
          </w:p>
        </w:tc>
        <w:tc>
          <w:tcPr>
            <w:tcW w:w="19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313"/>
        </w:trPr>
        <w:tc>
          <w:tcPr>
            <w:tcW w:w="6540" w:type="dxa"/>
            <w:vAlign w:val="bottom"/>
          </w:tcPr>
          <w:p>
            <w:pPr>
              <w:spacing w:after="0"/>
              <w:rPr>
                <w:sz w:val="20"/>
                <w:szCs w:val="20"/>
                <w:color w:val="auto"/>
              </w:rPr>
            </w:pPr>
            <w:r>
              <w:rPr>
                <w:rFonts w:ascii="Arial" w:cs="Arial" w:eastAsia="Arial" w:hAnsi="Arial"/>
                <w:sz w:val="13"/>
                <w:szCs w:val="13"/>
                <w:color w:val="auto"/>
              </w:rPr>
              <w:t>The provision for income taxes consisted of the following:</w:t>
            </w:r>
          </w:p>
        </w:tc>
        <w:tc>
          <w:tcPr>
            <w:tcW w:w="19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323"/>
        </w:trPr>
        <w:tc>
          <w:tcPr>
            <w:tcW w:w="6540" w:type="dxa"/>
            <w:vAlign w:val="bottom"/>
          </w:tcPr>
          <w:p>
            <w:pPr>
              <w:spacing w:after="0"/>
              <w:rPr>
                <w:sz w:val="24"/>
                <w:szCs w:val="24"/>
                <w:color w:val="auto"/>
              </w:rPr>
            </w:pPr>
          </w:p>
        </w:tc>
        <w:tc>
          <w:tcPr>
            <w:tcW w:w="194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520" w:type="dxa"/>
            <w:vAlign w:val="bottom"/>
            <w:gridSpan w:val="5"/>
          </w:tcPr>
          <w:p>
            <w:pPr>
              <w:ind w:left="320"/>
              <w:spacing w:after="0"/>
              <w:rPr>
                <w:sz w:val="20"/>
                <w:szCs w:val="20"/>
                <w:color w:val="auto"/>
              </w:rPr>
            </w:pPr>
            <w:r>
              <w:rPr>
                <w:rFonts w:ascii="Arial" w:cs="Arial" w:eastAsia="Arial" w:hAnsi="Arial"/>
                <w:sz w:val="13"/>
                <w:szCs w:val="13"/>
                <w:b w:val="1"/>
                <w:bCs w:val="1"/>
                <w:color w:val="auto"/>
              </w:rPr>
              <w:t>Years Ended December 31,</w:t>
            </w:r>
          </w:p>
        </w:tc>
      </w:tr>
      <w:tr>
        <w:trPr>
          <w:trHeight w:val="157"/>
        </w:trPr>
        <w:tc>
          <w:tcPr>
            <w:tcW w:w="6540" w:type="dxa"/>
            <w:vAlign w:val="bottom"/>
            <w:tcBorders>
              <w:bottom w:val="single" w:sz="8" w:color="CCEEFF"/>
            </w:tcBorders>
          </w:tcPr>
          <w:p>
            <w:pPr>
              <w:spacing w:after="0"/>
              <w:rPr>
                <w:sz w:val="13"/>
                <w:szCs w:val="13"/>
                <w:color w:val="auto"/>
              </w:rPr>
            </w:pPr>
          </w:p>
        </w:tc>
        <w:tc>
          <w:tcPr>
            <w:tcW w:w="194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240" w:type="dxa"/>
            <w:vAlign w:val="bottom"/>
            <w:tcBorders>
              <w:top w:val="single" w:sz="8" w:color="auto"/>
              <w:bottom w:val="single" w:sz="8" w:color="CCEEFF"/>
            </w:tcBorders>
          </w:tcPr>
          <w:p>
            <w:pPr>
              <w:spacing w:after="0"/>
              <w:rPr>
                <w:sz w:val="13"/>
                <w:szCs w:val="13"/>
                <w:color w:val="auto"/>
              </w:rPr>
            </w:pPr>
          </w:p>
        </w:tc>
        <w:tc>
          <w:tcPr>
            <w:tcW w:w="260" w:type="dxa"/>
            <w:vAlign w:val="bottom"/>
            <w:tcBorders>
              <w:top w:val="single" w:sz="8" w:color="auto"/>
              <w:bottom w:val="single" w:sz="8" w:color="auto"/>
            </w:tcBorders>
          </w:tcPr>
          <w:p>
            <w:pPr>
              <w:spacing w:after="0"/>
              <w:rPr>
                <w:sz w:val="13"/>
                <w:szCs w:val="13"/>
                <w:color w:val="auto"/>
              </w:rPr>
            </w:pPr>
          </w:p>
        </w:tc>
        <w:tc>
          <w:tcPr>
            <w:tcW w:w="980" w:type="dxa"/>
            <w:vAlign w:val="bottom"/>
            <w:tcBorders>
              <w:top w:val="single" w:sz="8" w:color="auto"/>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2019</w:t>
            </w:r>
          </w:p>
        </w:tc>
        <w:tc>
          <w:tcPr>
            <w:tcW w:w="80" w:type="dxa"/>
            <w:vAlign w:val="bottom"/>
            <w:tcBorders>
              <w:bottom w:val="single" w:sz="8" w:color="CCEEFF"/>
            </w:tcBorders>
          </w:tcPr>
          <w:p>
            <w:pPr>
              <w:spacing w:after="0"/>
              <w:rPr>
                <w:sz w:val="13"/>
                <w:szCs w:val="13"/>
                <w:color w:val="auto"/>
              </w:rPr>
            </w:pPr>
          </w:p>
        </w:tc>
      </w:tr>
      <w:tr>
        <w:trPr>
          <w:trHeight w:val="146"/>
        </w:trPr>
        <w:tc>
          <w:tcPr>
            <w:tcW w:w="654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Current:</w:t>
            </w:r>
          </w:p>
        </w:tc>
        <w:tc>
          <w:tcPr>
            <w:tcW w:w="1940" w:type="dxa"/>
            <w:vAlign w:val="bottom"/>
            <w:shd w:val="clear" w:color="auto" w:fill="CCEEFF"/>
          </w:tcPr>
          <w:p>
            <w:pPr>
              <w:spacing w:after="0"/>
              <w:rPr>
                <w:sz w:val="12"/>
                <w:szCs w:val="12"/>
                <w:color w:val="auto"/>
              </w:rPr>
            </w:pPr>
          </w:p>
        </w:tc>
        <w:tc>
          <w:tcPr>
            <w:tcW w:w="2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260" w:type="dxa"/>
            <w:vAlign w:val="bottom"/>
            <w:shd w:val="clear" w:color="auto" w:fill="CCEEFF"/>
          </w:tcPr>
          <w:p>
            <w:pPr>
              <w:spacing w:after="0"/>
              <w:rPr>
                <w:sz w:val="12"/>
                <w:szCs w:val="12"/>
                <w:color w:val="auto"/>
              </w:rPr>
            </w:pPr>
          </w:p>
        </w:tc>
        <w:tc>
          <w:tcPr>
            <w:tcW w:w="980" w:type="dxa"/>
            <w:vAlign w:val="bottom"/>
            <w:tcBorders>
              <w:right w:val="single" w:sz="8" w:color="CCEEFF"/>
            </w:tcBorders>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r>
      <w:tr>
        <w:trPr>
          <w:trHeight w:val="156"/>
        </w:trPr>
        <w:tc>
          <w:tcPr>
            <w:tcW w:w="6540" w:type="dxa"/>
            <w:vAlign w:val="bottom"/>
          </w:tcPr>
          <w:p>
            <w:pPr>
              <w:ind w:left="240"/>
              <w:spacing w:after="0"/>
              <w:rPr>
                <w:sz w:val="20"/>
                <w:szCs w:val="20"/>
                <w:color w:val="auto"/>
              </w:rPr>
            </w:pPr>
            <w:r>
              <w:rPr>
                <w:rFonts w:ascii="Arial" w:cs="Arial" w:eastAsia="Arial" w:hAnsi="Arial"/>
                <w:sz w:val="13"/>
                <w:szCs w:val="13"/>
                <w:color w:val="auto"/>
              </w:rPr>
              <w:t>Federal</w:t>
            </w:r>
          </w:p>
        </w:tc>
        <w:tc>
          <w:tcPr>
            <w:tcW w:w="222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200" w:type="dxa"/>
            <w:vAlign w:val="bottom"/>
            <w:gridSpan w:val="2"/>
          </w:tcPr>
          <w:p>
            <w:pPr>
              <w:jc w:val="right"/>
              <w:ind w:right="240"/>
              <w:spacing w:after="0"/>
              <w:rPr>
                <w:sz w:val="20"/>
                <w:szCs w:val="20"/>
                <w:color w:val="auto"/>
              </w:rPr>
            </w:pPr>
            <w:r>
              <w:rPr>
                <w:rFonts w:ascii="Arial" w:cs="Arial" w:eastAsia="Arial" w:hAnsi="Arial"/>
                <w:sz w:val="13"/>
                <w:szCs w:val="13"/>
                <w:color w:val="auto"/>
              </w:rPr>
              <w:t>-</w:t>
            </w:r>
          </w:p>
        </w:tc>
        <w:tc>
          <w:tcPr>
            <w:tcW w:w="260" w:type="dxa"/>
            <w:vAlign w:val="bottom"/>
          </w:tcPr>
          <w:p>
            <w:pPr>
              <w:jc w:val="right"/>
              <w:ind w:right="151"/>
              <w:spacing w:after="0"/>
              <w:rPr>
                <w:sz w:val="20"/>
                <w:szCs w:val="20"/>
                <w:color w:val="auto"/>
              </w:rPr>
            </w:pPr>
            <w:r>
              <w:rPr>
                <w:rFonts w:ascii="Arial" w:cs="Arial" w:eastAsia="Arial" w:hAnsi="Arial"/>
                <w:sz w:val="10"/>
                <w:szCs w:val="10"/>
                <w:color w:val="auto"/>
                <w:w w:val="71"/>
              </w:rPr>
              <w:t>$</w:t>
            </w:r>
          </w:p>
        </w:tc>
        <w:tc>
          <w:tcPr>
            <w:tcW w:w="980" w:type="dxa"/>
            <w:vAlign w:val="bottom"/>
          </w:tcPr>
          <w:p>
            <w:pPr>
              <w:jc w:val="right"/>
              <w:spacing w:after="0"/>
              <w:rPr>
                <w:sz w:val="20"/>
                <w:szCs w:val="20"/>
                <w:color w:val="auto"/>
              </w:rPr>
            </w:pPr>
            <w:r>
              <w:rPr>
                <w:rFonts w:ascii="Arial" w:cs="Arial" w:eastAsia="Arial" w:hAnsi="Arial"/>
                <w:sz w:val="13"/>
                <w:szCs w:val="13"/>
                <w:color w:val="auto"/>
              </w:rPr>
              <w:t>-</w:t>
            </w:r>
          </w:p>
        </w:tc>
        <w:tc>
          <w:tcPr>
            <w:tcW w:w="80" w:type="dxa"/>
            <w:vAlign w:val="bottom"/>
          </w:tcPr>
          <w:p>
            <w:pPr>
              <w:spacing w:after="0"/>
              <w:rPr>
                <w:sz w:val="13"/>
                <w:szCs w:val="13"/>
                <w:color w:val="auto"/>
              </w:rPr>
            </w:pPr>
          </w:p>
        </w:tc>
      </w:tr>
      <w:tr>
        <w:trPr>
          <w:trHeight w:val="166"/>
        </w:trPr>
        <w:tc>
          <w:tcPr>
            <w:tcW w:w="6540" w:type="dxa"/>
            <w:vAlign w:val="bottom"/>
            <w:shd w:val="clear" w:color="auto" w:fill="CCEEFF"/>
          </w:tcPr>
          <w:p>
            <w:pPr>
              <w:ind w:left="240"/>
              <w:spacing w:after="0"/>
              <w:rPr>
                <w:sz w:val="20"/>
                <w:szCs w:val="20"/>
                <w:color w:val="auto"/>
              </w:rPr>
            </w:pPr>
            <w:r>
              <w:rPr>
                <w:rFonts w:ascii="Arial" w:cs="Arial" w:eastAsia="Arial" w:hAnsi="Arial"/>
                <w:sz w:val="13"/>
                <w:szCs w:val="13"/>
                <w:color w:val="auto"/>
              </w:rPr>
              <w:t>State</w:t>
            </w:r>
          </w:p>
        </w:tc>
        <w:tc>
          <w:tcPr>
            <w:tcW w:w="194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20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800</w:t>
            </w:r>
          </w:p>
        </w:tc>
        <w:tc>
          <w:tcPr>
            <w:tcW w:w="260" w:type="dxa"/>
            <w:vAlign w:val="bottom"/>
            <w:shd w:val="clear" w:color="auto" w:fill="CCEEFF"/>
          </w:tcPr>
          <w:p>
            <w:pPr>
              <w:spacing w:after="0"/>
              <w:rPr>
                <w:sz w:val="14"/>
                <w:szCs w:val="14"/>
                <w:color w:val="auto"/>
              </w:rPr>
            </w:pPr>
          </w:p>
        </w:tc>
        <w:tc>
          <w:tcPr>
            <w:tcW w:w="98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800</w:t>
            </w:r>
          </w:p>
        </w:tc>
        <w:tc>
          <w:tcPr>
            <w:tcW w:w="80" w:type="dxa"/>
            <w:vAlign w:val="bottom"/>
            <w:shd w:val="clear" w:color="auto" w:fill="CCEEFF"/>
          </w:tcPr>
          <w:p>
            <w:pPr>
              <w:spacing w:after="0"/>
              <w:rPr>
                <w:sz w:val="14"/>
                <w:szCs w:val="14"/>
                <w:color w:val="auto"/>
              </w:rPr>
            </w:pPr>
          </w:p>
        </w:tc>
      </w:tr>
      <w:tr>
        <w:trPr>
          <w:trHeight w:val="146"/>
        </w:trPr>
        <w:tc>
          <w:tcPr>
            <w:tcW w:w="6540" w:type="dxa"/>
            <w:vAlign w:val="bottom"/>
            <w:tcBorders>
              <w:bottom w:val="single" w:sz="8" w:color="CCEEFF"/>
            </w:tcBorders>
          </w:tcPr>
          <w:p>
            <w:pPr>
              <w:ind w:left="60"/>
              <w:spacing w:after="0" w:line="144" w:lineRule="exact"/>
              <w:rPr>
                <w:sz w:val="20"/>
                <w:szCs w:val="20"/>
                <w:color w:val="auto"/>
              </w:rPr>
            </w:pPr>
            <w:r>
              <w:rPr>
                <w:rFonts w:ascii="Arial" w:cs="Arial" w:eastAsia="Arial" w:hAnsi="Arial"/>
                <w:sz w:val="13"/>
                <w:szCs w:val="13"/>
                <w:color w:val="auto"/>
              </w:rPr>
              <w:t>Total</w:t>
            </w:r>
          </w:p>
        </w:tc>
        <w:tc>
          <w:tcPr>
            <w:tcW w:w="1940" w:type="dxa"/>
            <w:vAlign w:val="bottom"/>
            <w:tcBorders>
              <w:bottom w:val="single" w:sz="8" w:color="CCEEFF"/>
            </w:tcBorders>
          </w:tcPr>
          <w:p>
            <w:pPr>
              <w:spacing w:after="0"/>
              <w:rPr>
                <w:sz w:val="12"/>
                <w:szCs w:val="12"/>
                <w:color w:val="auto"/>
              </w:rPr>
            </w:pPr>
          </w:p>
        </w:tc>
        <w:tc>
          <w:tcPr>
            <w:tcW w:w="280" w:type="dxa"/>
            <w:vAlign w:val="bottom"/>
            <w:tcBorders>
              <w:top w:val="single" w:sz="8" w:color="auto"/>
              <w:bottom w:val="single" w:sz="8" w:color="auto"/>
            </w:tcBorders>
          </w:tcPr>
          <w:p>
            <w:pPr>
              <w:spacing w:after="0"/>
              <w:rPr>
                <w:sz w:val="12"/>
                <w:szCs w:val="12"/>
                <w:color w:val="auto"/>
              </w:rPr>
            </w:pP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800</w:t>
            </w:r>
          </w:p>
        </w:tc>
        <w:tc>
          <w:tcPr>
            <w:tcW w:w="240" w:type="dxa"/>
            <w:vAlign w:val="bottom"/>
            <w:tcBorders>
              <w:bottom w:val="single" w:sz="8" w:color="CCEEFF"/>
            </w:tcBorders>
          </w:tcPr>
          <w:p>
            <w:pPr>
              <w:spacing w:after="0"/>
              <w:rPr>
                <w:sz w:val="12"/>
                <w:szCs w:val="12"/>
                <w:color w:val="auto"/>
              </w:rPr>
            </w:pPr>
          </w:p>
        </w:tc>
        <w:tc>
          <w:tcPr>
            <w:tcW w:w="260" w:type="dxa"/>
            <w:vAlign w:val="bottom"/>
            <w:tcBorders>
              <w:top w:val="single" w:sz="8" w:color="auto"/>
              <w:bottom w:val="single" w:sz="8" w:color="auto"/>
            </w:tcBorders>
          </w:tcPr>
          <w:p>
            <w:pPr>
              <w:spacing w:after="0"/>
              <w:rPr>
                <w:sz w:val="12"/>
                <w:szCs w:val="12"/>
                <w:color w:val="auto"/>
              </w:rPr>
            </w:pPr>
          </w:p>
        </w:tc>
        <w:tc>
          <w:tcPr>
            <w:tcW w:w="98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800</w:t>
            </w:r>
          </w:p>
        </w:tc>
        <w:tc>
          <w:tcPr>
            <w:tcW w:w="80" w:type="dxa"/>
            <w:vAlign w:val="bottom"/>
            <w:tcBorders>
              <w:bottom w:val="single" w:sz="8" w:color="CCEEFF"/>
            </w:tcBorders>
          </w:tcPr>
          <w:p>
            <w:pPr>
              <w:spacing w:after="0"/>
              <w:rPr>
                <w:sz w:val="12"/>
                <w:szCs w:val="12"/>
                <w:color w:val="auto"/>
              </w:rPr>
            </w:pPr>
          </w:p>
        </w:tc>
      </w:tr>
      <w:tr>
        <w:trPr>
          <w:trHeight w:val="146"/>
        </w:trPr>
        <w:tc>
          <w:tcPr>
            <w:tcW w:w="6540" w:type="dxa"/>
            <w:vAlign w:val="bottom"/>
            <w:shd w:val="clear" w:color="auto" w:fill="CCEEFF"/>
          </w:tcPr>
          <w:p>
            <w:pPr>
              <w:spacing w:after="0"/>
              <w:rPr>
                <w:sz w:val="12"/>
                <w:szCs w:val="12"/>
                <w:color w:val="auto"/>
              </w:rPr>
            </w:pPr>
          </w:p>
        </w:tc>
        <w:tc>
          <w:tcPr>
            <w:tcW w:w="1940" w:type="dxa"/>
            <w:vAlign w:val="bottom"/>
            <w:shd w:val="clear" w:color="auto" w:fill="CCEEFF"/>
          </w:tcPr>
          <w:p>
            <w:pPr>
              <w:spacing w:after="0"/>
              <w:rPr>
                <w:sz w:val="12"/>
                <w:szCs w:val="12"/>
                <w:color w:val="auto"/>
              </w:rPr>
            </w:pPr>
          </w:p>
        </w:tc>
        <w:tc>
          <w:tcPr>
            <w:tcW w:w="2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260" w:type="dxa"/>
            <w:vAlign w:val="bottom"/>
            <w:shd w:val="clear" w:color="auto" w:fill="CCEEFF"/>
          </w:tcPr>
          <w:p>
            <w:pPr>
              <w:spacing w:after="0"/>
              <w:rPr>
                <w:sz w:val="12"/>
                <w:szCs w:val="12"/>
                <w:color w:val="auto"/>
              </w:rPr>
            </w:pPr>
          </w:p>
        </w:tc>
        <w:tc>
          <w:tcPr>
            <w:tcW w:w="980" w:type="dxa"/>
            <w:vAlign w:val="bottom"/>
            <w:tcBorders>
              <w:right w:val="single" w:sz="8" w:color="CCEEFF"/>
            </w:tcBorders>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r>
      <w:tr>
        <w:trPr>
          <w:trHeight w:val="156"/>
        </w:trPr>
        <w:tc>
          <w:tcPr>
            <w:tcW w:w="6540" w:type="dxa"/>
            <w:vAlign w:val="bottom"/>
          </w:tcPr>
          <w:p>
            <w:pPr>
              <w:ind w:left="60"/>
              <w:spacing w:after="0"/>
              <w:rPr>
                <w:sz w:val="20"/>
                <w:szCs w:val="20"/>
                <w:color w:val="auto"/>
              </w:rPr>
            </w:pPr>
            <w:r>
              <w:rPr>
                <w:rFonts w:ascii="Arial" w:cs="Arial" w:eastAsia="Arial" w:hAnsi="Arial"/>
                <w:sz w:val="13"/>
                <w:szCs w:val="13"/>
                <w:color w:val="auto"/>
              </w:rPr>
              <w:t>Deferred:</w:t>
            </w:r>
          </w:p>
        </w:tc>
        <w:tc>
          <w:tcPr>
            <w:tcW w:w="194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80" w:type="dxa"/>
            <w:vAlign w:val="bottom"/>
          </w:tcPr>
          <w:p>
            <w:pPr>
              <w:spacing w:after="0"/>
              <w:rPr>
                <w:sz w:val="13"/>
                <w:szCs w:val="13"/>
                <w:color w:val="auto"/>
              </w:rPr>
            </w:pPr>
          </w:p>
        </w:tc>
        <w:tc>
          <w:tcPr>
            <w:tcW w:w="80" w:type="dxa"/>
            <w:vAlign w:val="bottom"/>
          </w:tcPr>
          <w:p>
            <w:pPr>
              <w:spacing w:after="0"/>
              <w:rPr>
                <w:sz w:val="13"/>
                <w:szCs w:val="13"/>
                <w:color w:val="auto"/>
              </w:rPr>
            </w:pPr>
          </w:p>
        </w:tc>
      </w:tr>
      <w:tr>
        <w:trPr>
          <w:trHeight w:val="156"/>
        </w:trPr>
        <w:tc>
          <w:tcPr>
            <w:tcW w:w="6540" w:type="dxa"/>
            <w:vAlign w:val="bottom"/>
            <w:shd w:val="clear" w:color="auto" w:fill="CCEEFF"/>
          </w:tcPr>
          <w:p>
            <w:pPr>
              <w:ind w:left="300"/>
              <w:spacing w:after="0"/>
              <w:rPr>
                <w:sz w:val="20"/>
                <w:szCs w:val="20"/>
                <w:color w:val="auto"/>
              </w:rPr>
            </w:pPr>
            <w:r>
              <w:rPr>
                <w:rFonts w:ascii="Arial" w:cs="Arial" w:eastAsia="Arial" w:hAnsi="Arial"/>
                <w:sz w:val="13"/>
                <w:szCs w:val="13"/>
                <w:color w:val="auto"/>
              </w:rPr>
              <w:t>Federal</w:t>
            </w:r>
          </w:p>
        </w:tc>
        <w:tc>
          <w:tcPr>
            <w:tcW w:w="19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20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w:t>
            </w:r>
          </w:p>
        </w:tc>
        <w:tc>
          <w:tcPr>
            <w:tcW w:w="260" w:type="dxa"/>
            <w:vAlign w:val="bottom"/>
            <w:shd w:val="clear" w:color="auto" w:fill="CCEEFF"/>
          </w:tcPr>
          <w:p>
            <w:pPr>
              <w:spacing w:after="0"/>
              <w:rPr>
                <w:sz w:val="13"/>
                <w:szCs w:val="13"/>
                <w:color w:val="auto"/>
              </w:rPr>
            </w:pPr>
          </w:p>
        </w:tc>
        <w:tc>
          <w:tcPr>
            <w:tcW w:w="98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80" w:type="dxa"/>
            <w:vAlign w:val="bottom"/>
            <w:shd w:val="clear" w:color="auto" w:fill="CCEEFF"/>
          </w:tcPr>
          <w:p>
            <w:pPr>
              <w:spacing w:after="0"/>
              <w:rPr>
                <w:sz w:val="13"/>
                <w:szCs w:val="13"/>
                <w:color w:val="auto"/>
              </w:rPr>
            </w:pPr>
          </w:p>
        </w:tc>
      </w:tr>
      <w:tr>
        <w:trPr>
          <w:trHeight w:val="166"/>
        </w:trPr>
        <w:tc>
          <w:tcPr>
            <w:tcW w:w="6540" w:type="dxa"/>
            <w:vAlign w:val="bottom"/>
          </w:tcPr>
          <w:p>
            <w:pPr>
              <w:ind w:left="300"/>
              <w:spacing w:after="0"/>
              <w:rPr>
                <w:sz w:val="20"/>
                <w:szCs w:val="20"/>
                <w:color w:val="auto"/>
              </w:rPr>
            </w:pPr>
            <w:r>
              <w:rPr>
                <w:rFonts w:ascii="Arial" w:cs="Arial" w:eastAsia="Arial" w:hAnsi="Arial"/>
                <w:sz w:val="13"/>
                <w:szCs w:val="13"/>
                <w:color w:val="auto"/>
              </w:rPr>
              <w:t>State</w:t>
            </w:r>
          </w:p>
        </w:tc>
        <w:tc>
          <w:tcPr>
            <w:tcW w:w="19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200" w:type="dxa"/>
            <w:vAlign w:val="bottom"/>
            <w:gridSpan w:val="2"/>
          </w:tcPr>
          <w:p>
            <w:pPr>
              <w:jc w:val="right"/>
              <w:ind w:right="240"/>
              <w:spacing w:after="0"/>
              <w:rPr>
                <w:sz w:val="20"/>
                <w:szCs w:val="20"/>
                <w:color w:val="auto"/>
              </w:rPr>
            </w:pPr>
            <w:r>
              <w:rPr>
                <w:rFonts w:ascii="Arial" w:cs="Arial" w:eastAsia="Arial" w:hAnsi="Arial"/>
                <w:sz w:val="13"/>
                <w:szCs w:val="13"/>
                <w:color w:val="auto"/>
              </w:rPr>
              <w:t>-</w:t>
            </w:r>
          </w:p>
        </w:tc>
        <w:tc>
          <w:tcPr>
            <w:tcW w:w="260" w:type="dxa"/>
            <w:vAlign w:val="bottom"/>
          </w:tcPr>
          <w:p>
            <w:pPr>
              <w:spacing w:after="0"/>
              <w:rPr>
                <w:sz w:val="14"/>
                <w:szCs w:val="14"/>
                <w:color w:val="auto"/>
              </w:rPr>
            </w:pPr>
          </w:p>
        </w:tc>
        <w:tc>
          <w:tcPr>
            <w:tcW w:w="980" w:type="dxa"/>
            <w:vAlign w:val="bottom"/>
          </w:tcPr>
          <w:p>
            <w:pPr>
              <w:jc w:val="right"/>
              <w:spacing w:after="0"/>
              <w:rPr>
                <w:sz w:val="20"/>
                <w:szCs w:val="20"/>
                <w:color w:val="auto"/>
              </w:rPr>
            </w:pPr>
            <w:r>
              <w:rPr>
                <w:rFonts w:ascii="Arial" w:cs="Arial" w:eastAsia="Arial" w:hAnsi="Arial"/>
                <w:sz w:val="13"/>
                <w:szCs w:val="13"/>
                <w:color w:val="auto"/>
              </w:rPr>
              <w:t>-</w:t>
            </w:r>
          </w:p>
        </w:tc>
        <w:tc>
          <w:tcPr>
            <w:tcW w:w="80" w:type="dxa"/>
            <w:vAlign w:val="bottom"/>
          </w:tcPr>
          <w:p>
            <w:pPr>
              <w:spacing w:after="0"/>
              <w:rPr>
                <w:sz w:val="14"/>
                <w:szCs w:val="14"/>
                <w:color w:val="auto"/>
              </w:rPr>
            </w:pPr>
          </w:p>
        </w:tc>
      </w:tr>
      <w:tr>
        <w:trPr>
          <w:trHeight w:val="147"/>
        </w:trPr>
        <w:tc>
          <w:tcPr>
            <w:tcW w:w="6540" w:type="dxa"/>
            <w:vAlign w:val="bottom"/>
            <w:tcBorders>
              <w:top w:val="single" w:sz="8" w:color="CCEEFF"/>
            </w:tcBorders>
            <w:shd w:val="clear" w:color="auto" w:fill="CCEEFF"/>
          </w:tcPr>
          <w:p>
            <w:pPr>
              <w:spacing w:after="0"/>
              <w:rPr>
                <w:sz w:val="12"/>
                <w:szCs w:val="12"/>
                <w:color w:val="auto"/>
              </w:rPr>
            </w:pPr>
          </w:p>
        </w:tc>
        <w:tc>
          <w:tcPr>
            <w:tcW w:w="194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w:t>
            </w:r>
          </w:p>
        </w:tc>
        <w:tc>
          <w:tcPr>
            <w:tcW w:w="24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80" w:type="dxa"/>
            <w:vAlign w:val="bottom"/>
            <w:tcBorders>
              <w:top w:val="single" w:sz="8" w:color="auto"/>
              <w:bottom w:val="single" w:sz="8" w:color="auto"/>
              <w:right w:val="single" w:sz="8" w:color="CCEEFF"/>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w:t>
            </w:r>
          </w:p>
        </w:tc>
        <w:tc>
          <w:tcPr>
            <w:tcW w:w="80" w:type="dxa"/>
            <w:vAlign w:val="bottom"/>
            <w:tcBorders>
              <w:top w:val="single" w:sz="8" w:color="CCEEFF"/>
            </w:tcBorders>
            <w:shd w:val="clear" w:color="auto" w:fill="CCEEFF"/>
          </w:tcPr>
          <w:p>
            <w:pPr>
              <w:spacing w:after="0"/>
              <w:rPr>
                <w:sz w:val="12"/>
                <w:szCs w:val="12"/>
                <w:color w:val="auto"/>
              </w:rPr>
            </w:pPr>
          </w:p>
        </w:tc>
      </w:tr>
      <w:tr>
        <w:trPr>
          <w:trHeight w:val="155"/>
        </w:trPr>
        <w:tc>
          <w:tcPr>
            <w:tcW w:w="6540" w:type="dxa"/>
            <w:vAlign w:val="bottom"/>
          </w:tcPr>
          <w:p>
            <w:pPr>
              <w:spacing w:after="0" w:line="144" w:lineRule="exact"/>
              <w:rPr>
                <w:sz w:val="20"/>
                <w:szCs w:val="20"/>
                <w:color w:val="auto"/>
              </w:rPr>
            </w:pPr>
            <w:r>
              <w:rPr>
                <w:rFonts w:ascii="Arial" w:cs="Arial" w:eastAsia="Arial" w:hAnsi="Arial"/>
                <w:sz w:val="13"/>
                <w:szCs w:val="13"/>
                <w:color w:val="auto"/>
              </w:rPr>
              <w:t>Total provision for income taxes</w:t>
            </w:r>
          </w:p>
        </w:tc>
        <w:tc>
          <w:tcPr>
            <w:tcW w:w="222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200" w:type="dxa"/>
            <w:vAlign w:val="bottom"/>
            <w:gridSpan w:val="2"/>
          </w:tcPr>
          <w:p>
            <w:pPr>
              <w:jc w:val="right"/>
              <w:ind w:right="240"/>
              <w:spacing w:after="0"/>
              <w:rPr>
                <w:sz w:val="20"/>
                <w:szCs w:val="20"/>
                <w:color w:val="auto"/>
              </w:rPr>
            </w:pPr>
            <w:r>
              <w:rPr>
                <w:rFonts w:ascii="Arial" w:cs="Arial" w:eastAsia="Arial" w:hAnsi="Arial"/>
                <w:sz w:val="13"/>
                <w:szCs w:val="13"/>
                <w:color w:val="auto"/>
              </w:rPr>
              <w:t>800</w:t>
            </w:r>
          </w:p>
        </w:tc>
        <w:tc>
          <w:tcPr>
            <w:tcW w:w="260" w:type="dxa"/>
            <w:vAlign w:val="bottom"/>
          </w:tcPr>
          <w:p>
            <w:pPr>
              <w:jc w:val="right"/>
              <w:ind w:right="151"/>
              <w:spacing w:after="0"/>
              <w:rPr>
                <w:sz w:val="20"/>
                <w:szCs w:val="20"/>
                <w:color w:val="auto"/>
              </w:rPr>
            </w:pPr>
            <w:r>
              <w:rPr>
                <w:rFonts w:ascii="Arial" w:cs="Arial" w:eastAsia="Arial" w:hAnsi="Arial"/>
                <w:sz w:val="10"/>
                <w:szCs w:val="10"/>
                <w:color w:val="auto"/>
                <w:w w:val="71"/>
              </w:rPr>
              <w:t>$</w:t>
            </w:r>
          </w:p>
        </w:tc>
        <w:tc>
          <w:tcPr>
            <w:tcW w:w="980" w:type="dxa"/>
            <w:vAlign w:val="bottom"/>
          </w:tcPr>
          <w:p>
            <w:pPr>
              <w:jc w:val="right"/>
              <w:spacing w:after="0"/>
              <w:rPr>
                <w:sz w:val="20"/>
                <w:szCs w:val="20"/>
                <w:color w:val="auto"/>
              </w:rPr>
            </w:pPr>
            <w:r>
              <w:rPr>
                <w:rFonts w:ascii="Arial" w:cs="Arial" w:eastAsia="Arial" w:hAnsi="Arial"/>
                <w:sz w:val="13"/>
                <w:szCs w:val="13"/>
                <w:color w:val="auto"/>
              </w:rPr>
              <w:t>800</w:t>
            </w:r>
          </w:p>
        </w:tc>
        <w:tc>
          <w:tcPr>
            <w:tcW w:w="80" w:type="dxa"/>
            <w:vAlign w:val="bottom"/>
          </w:tcPr>
          <w:p>
            <w:pPr>
              <w:spacing w:after="0"/>
              <w:rPr>
                <w:sz w:val="13"/>
                <w:szCs w:val="13"/>
                <w:color w:val="auto"/>
              </w:rPr>
            </w:pPr>
          </w:p>
        </w:tc>
      </w:tr>
      <w:tr>
        <w:trPr>
          <w:trHeight w:val="30"/>
        </w:trPr>
        <w:tc>
          <w:tcPr>
            <w:tcW w:w="6540" w:type="dxa"/>
            <w:vAlign w:val="bottom"/>
          </w:tcPr>
          <w:p>
            <w:pPr>
              <w:spacing w:after="0"/>
              <w:rPr>
                <w:sz w:val="2"/>
                <w:szCs w:val="2"/>
                <w:color w:val="auto"/>
              </w:rPr>
            </w:pPr>
          </w:p>
        </w:tc>
        <w:tc>
          <w:tcPr>
            <w:tcW w:w="1940" w:type="dxa"/>
            <w:vAlign w:val="bottom"/>
          </w:tcPr>
          <w:p>
            <w:pPr>
              <w:spacing w:after="0"/>
              <w:rPr>
                <w:sz w:val="2"/>
                <w:szCs w:val="2"/>
                <w:color w:val="auto"/>
              </w:rPr>
            </w:pPr>
          </w:p>
        </w:tc>
        <w:tc>
          <w:tcPr>
            <w:tcW w:w="280" w:type="dxa"/>
            <w:vAlign w:val="bottom"/>
            <w:shd w:val="clear" w:color="auto" w:fill="000000"/>
          </w:tcPr>
          <w:p>
            <w:pPr>
              <w:spacing w:after="0"/>
              <w:rPr>
                <w:sz w:val="2"/>
                <w:szCs w:val="2"/>
                <w:color w:val="auto"/>
              </w:rPr>
            </w:pPr>
          </w:p>
        </w:tc>
        <w:tc>
          <w:tcPr>
            <w:tcW w:w="960" w:type="dxa"/>
            <w:vAlign w:val="bottom"/>
            <w:shd w:val="clear" w:color="auto" w:fill="000000"/>
          </w:tcPr>
          <w:p>
            <w:pPr>
              <w:spacing w:after="0"/>
              <w:rPr>
                <w:sz w:val="2"/>
                <w:szCs w:val="2"/>
                <w:color w:val="auto"/>
              </w:rPr>
            </w:pPr>
          </w:p>
        </w:tc>
        <w:tc>
          <w:tcPr>
            <w:tcW w:w="240" w:type="dxa"/>
            <w:vAlign w:val="bottom"/>
          </w:tcPr>
          <w:p>
            <w:pPr>
              <w:spacing w:after="0"/>
              <w:rPr>
                <w:sz w:val="2"/>
                <w:szCs w:val="2"/>
                <w:color w:val="auto"/>
              </w:rPr>
            </w:pPr>
          </w:p>
        </w:tc>
        <w:tc>
          <w:tcPr>
            <w:tcW w:w="260" w:type="dxa"/>
            <w:vAlign w:val="bottom"/>
            <w:shd w:val="clear" w:color="auto" w:fill="000000"/>
          </w:tcPr>
          <w:p>
            <w:pPr>
              <w:spacing w:after="0"/>
              <w:rPr>
                <w:sz w:val="2"/>
                <w:szCs w:val="2"/>
                <w:color w:val="auto"/>
              </w:rPr>
            </w:pPr>
          </w:p>
        </w:tc>
        <w:tc>
          <w:tcPr>
            <w:tcW w:w="980" w:type="dxa"/>
            <w:vAlign w:val="bottom"/>
            <w:tcBorders>
              <w:right w:val="single" w:sz="8" w:color="auto"/>
            </w:tcBorders>
            <w:shd w:val="clear" w:color="auto" w:fill="000000"/>
          </w:tcPr>
          <w:p>
            <w:pPr>
              <w:spacing w:after="0"/>
              <w:rPr>
                <w:sz w:val="2"/>
                <w:szCs w:val="2"/>
                <w:color w:val="auto"/>
              </w:rPr>
            </w:pPr>
          </w:p>
        </w:tc>
        <w:tc>
          <w:tcPr>
            <w:tcW w:w="80" w:type="dxa"/>
            <w:vAlign w:val="bottom"/>
          </w:tcPr>
          <w:p>
            <w:pPr>
              <w:spacing w:after="0"/>
              <w:rPr>
                <w:sz w:val="2"/>
                <w:szCs w:val="2"/>
                <w:color w:val="auto"/>
              </w:rPr>
            </w:pPr>
          </w:p>
        </w:tc>
      </w:tr>
    </w:tbl>
    <w:p>
      <w:pPr>
        <w:spacing w:after="0" w:line="14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Company’s effective tax rate was 0.00% and 0.01% for the years ended December 31, 2020 and 2019, respectively. The primary rate driver from the statutory rate of 21% was related to change in valuation allowance for both years.</w:t>
      </w:r>
    </w:p>
    <w:p>
      <w:pPr>
        <w:spacing w:after="0" w:line="284"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type w:val="continuous"/>
        </w:sectPr>
      </w:pPr>
    </w:p>
    <w:bookmarkStart w:id="87" w:name="page88"/>
    <w:bookmarkEnd w:id="87"/>
    <w:p>
      <w:pPr>
        <w:spacing w:after="0"/>
        <w:rPr>
          <w:sz w:val="20"/>
          <w:szCs w:val="20"/>
          <w:color w:val="auto"/>
        </w:rPr>
      </w:pPr>
      <w:r>
        <w:rPr>
          <w:rFonts w:ascii="Arial" w:cs="Arial" w:eastAsia="Arial" w:hAnsi="Arial"/>
          <w:sz w:val="13"/>
          <w:szCs w:val="13"/>
          <w:b w:val="1"/>
          <w:bCs w:val="1"/>
          <w:color w:val="auto"/>
        </w:rPr>
        <w:t>NOTE 7: Income Taxes (Continue)</w:t>
      </w:r>
    </w:p>
    <w:p>
      <w:pPr>
        <w:spacing w:after="0" w:line="167"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Deferred income taxes reflect the net tax effects of temporary differences between the carrying amounts of assets and liabilities for financial reporting purposes and the amounts used for income tax purposes. The following table presents the significant components of the Company’s deferred tax assets and liabilities for the periods presented:</w:t>
      </w:r>
    </w:p>
    <w:p>
      <w:pPr>
        <w:spacing w:after="0" w:line="134"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5600" w:type="dxa"/>
            <w:vAlign w:val="bottom"/>
          </w:tcPr>
          <w:p>
            <w:pPr>
              <w:spacing w:after="0"/>
              <w:rPr>
                <w:sz w:val="14"/>
                <w:szCs w:val="14"/>
                <w:color w:val="auto"/>
              </w:rPr>
            </w:pPr>
          </w:p>
        </w:tc>
        <w:tc>
          <w:tcPr>
            <w:tcW w:w="2880" w:type="dxa"/>
            <w:vAlign w:val="bottom"/>
          </w:tcPr>
          <w:p>
            <w:pPr>
              <w:spacing w:after="0"/>
              <w:rPr>
                <w:sz w:val="14"/>
                <w:szCs w:val="14"/>
                <w:color w:val="auto"/>
              </w:rPr>
            </w:pPr>
          </w:p>
        </w:tc>
        <w:tc>
          <w:tcPr>
            <w:tcW w:w="280" w:type="dxa"/>
            <w:vAlign w:val="bottom"/>
            <w:tcBorders>
              <w:bottom w:val="single" w:sz="8" w:color="auto"/>
            </w:tcBorders>
          </w:tcPr>
          <w:p>
            <w:pPr>
              <w:spacing w:after="0"/>
              <w:rPr>
                <w:sz w:val="14"/>
                <w:szCs w:val="14"/>
                <w:color w:val="auto"/>
              </w:rPr>
            </w:pPr>
          </w:p>
        </w:tc>
        <w:tc>
          <w:tcPr>
            <w:tcW w:w="1560" w:type="dxa"/>
            <w:vAlign w:val="bottom"/>
            <w:tcBorders>
              <w:bottom w:val="single" w:sz="8" w:color="auto"/>
            </w:tcBorders>
            <w:gridSpan w:val="4"/>
          </w:tcPr>
          <w:p>
            <w:pPr>
              <w:jc w:val="right"/>
              <w:ind w:right="120"/>
              <w:spacing w:after="0"/>
              <w:rPr>
                <w:sz w:val="20"/>
                <w:szCs w:val="20"/>
                <w:color w:val="auto"/>
              </w:rPr>
            </w:pPr>
            <w:r>
              <w:rPr>
                <w:rFonts w:ascii="Arial" w:cs="Arial" w:eastAsia="Arial" w:hAnsi="Arial"/>
                <w:sz w:val="13"/>
                <w:szCs w:val="13"/>
                <w:b w:val="1"/>
                <w:bCs w:val="1"/>
                <w:color w:val="auto"/>
              </w:rPr>
              <w:t>December 31,</w:t>
            </w:r>
          </w:p>
        </w:tc>
        <w:tc>
          <w:tcPr>
            <w:tcW w:w="860" w:type="dxa"/>
            <w:vAlign w:val="bottom"/>
            <w:tcBorders>
              <w:bottom w:val="single" w:sz="8" w:color="auto"/>
            </w:tcBorders>
          </w:tcPr>
          <w:p>
            <w:pPr>
              <w:spacing w:after="0"/>
              <w:rPr>
                <w:sz w:val="14"/>
                <w:szCs w:val="14"/>
                <w:color w:val="auto"/>
              </w:rPr>
            </w:pPr>
          </w:p>
        </w:tc>
        <w:tc>
          <w:tcPr>
            <w:tcW w:w="100" w:type="dxa"/>
            <w:vAlign w:val="bottom"/>
          </w:tcPr>
          <w:p>
            <w:pPr>
              <w:spacing w:after="0"/>
              <w:rPr>
                <w:sz w:val="14"/>
                <w:szCs w:val="14"/>
                <w:color w:val="auto"/>
              </w:rPr>
            </w:pPr>
          </w:p>
        </w:tc>
      </w:tr>
      <w:tr>
        <w:trPr>
          <w:trHeight w:val="157"/>
        </w:trPr>
        <w:tc>
          <w:tcPr>
            <w:tcW w:w="5600" w:type="dxa"/>
            <w:vAlign w:val="bottom"/>
            <w:tcBorders>
              <w:bottom w:val="single" w:sz="8" w:color="CCEEFF"/>
            </w:tcBorders>
          </w:tcPr>
          <w:p>
            <w:pPr>
              <w:spacing w:after="0"/>
              <w:rPr>
                <w:sz w:val="13"/>
                <w:szCs w:val="13"/>
                <w:color w:val="auto"/>
              </w:rPr>
            </w:pPr>
          </w:p>
        </w:tc>
        <w:tc>
          <w:tcPr>
            <w:tcW w:w="2880" w:type="dxa"/>
            <w:vAlign w:val="bottom"/>
            <w:tcBorders>
              <w:bottom w:val="single" w:sz="8" w:color="CCEEFF"/>
            </w:tcBorders>
          </w:tcPr>
          <w:p>
            <w:pPr>
              <w:spacing w:after="0"/>
              <w:rPr>
                <w:sz w:val="13"/>
                <w:szCs w:val="13"/>
                <w:color w:val="auto"/>
              </w:rPr>
            </w:pPr>
          </w:p>
        </w:tc>
        <w:tc>
          <w:tcPr>
            <w:tcW w:w="280" w:type="dxa"/>
            <w:vAlign w:val="bottom"/>
            <w:tcBorders>
              <w:bottom w:val="single" w:sz="8" w:color="auto"/>
            </w:tcBorders>
          </w:tcPr>
          <w:p>
            <w:pPr>
              <w:spacing w:after="0"/>
              <w:rPr>
                <w:sz w:val="13"/>
                <w:szCs w:val="13"/>
                <w:color w:val="auto"/>
              </w:rPr>
            </w:pPr>
          </w:p>
        </w:tc>
        <w:tc>
          <w:tcPr>
            <w:tcW w:w="96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40" w:type="dxa"/>
            <w:vAlign w:val="bottom"/>
            <w:tcBorders>
              <w:bottom w:val="single" w:sz="8" w:color="CCEEFF"/>
            </w:tcBorders>
          </w:tcPr>
          <w:p>
            <w:pPr>
              <w:spacing w:after="0"/>
              <w:rPr>
                <w:sz w:val="13"/>
                <w:szCs w:val="13"/>
                <w:color w:val="auto"/>
              </w:rPr>
            </w:pPr>
          </w:p>
        </w:tc>
        <w:tc>
          <w:tcPr>
            <w:tcW w:w="100" w:type="dxa"/>
            <w:vAlign w:val="bottom"/>
            <w:tcBorders>
              <w:bottom w:val="single" w:sz="8" w:color="CCEEFF"/>
            </w:tcBorders>
          </w:tcPr>
          <w:p>
            <w:pPr>
              <w:spacing w:after="0"/>
              <w:rPr>
                <w:sz w:val="13"/>
                <w:szCs w:val="13"/>
                <w:color w:val="auto"/>
              </w:rPr>
            </w:pPr>
          </w:p>
        </w:tc>
        <w:tc>
          <w:tcPr>
            <w:tcW w:w="360" w:type="dxa"/>
            <w:vAlign w:val="bottom"/>
            <w:tcBorders>
              <w:bottom w:val="single" w:sz="8" w:color="auto"/>
            </w:tcBorders>
          </w:tcPr>
          <w:p>
            <w:pPr>
              <w:spacing w:after="0"/>
              <w:rPr>
                <w:sz w:val="13"/>
                <w:szCs w:val="13"/>
                <w:color w:val="auto"/>
              </w:rPr>
            </w:pPr>
          </w:p>
        </w:tc>
        <w:tc>
          <w:tcPr>
            <w:tcW w:w="86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2019</w:t>
            </w:r>
          </w:p>
        </w:tc>
        <w:tc>
          <w:tcPr>
            <w:tcW w:w="100" w:type="dxa"/>
            <w:vAlign w:val="bottom"/>
            <w:tcBorders>
              <w:bottom w:val="single" w:sz="8" w:color="CCEEFF"/>
            </w:tcBorders>
          </w:tcPr>
          <w:p>
            <w:pPr>
              <w:spacing w:after="0"/>
              <w:rPr>
                <w:sz w:val="13"/>
                <w:szCs w:val="13"/>
                <w:color w:val="auto"/>
              </w:rPr>
            </w:pPr>
          </w:p>
        </w:tc>
      </w:tr>
      <w:tr>
        <w:trPr>
          <w:trHeight w:val="146"/>
        </w:trPr>
        <w:tc>
          <w:tcPr>
            <w:tcW w:w="560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Deferred tax assets:</w:t>
            </w:r>
          </w:p>
        </w:tc>
        <w:tc>
          <w:tcPr>
            <w:tcW w:w="2880" w:type="dxa"/>
            <w:vAlign w:val="bottom"/>
            <w:shd w:val="clear" w:color="auto" w:fill="CCEEFF"/>
          </w:tcPr>
          <w:p>
            <w:pPr>
              <w:spacing w:after="0"/>
              <w:rPr>
                <w:sz w:val="12"/>
                <w:szCs w:val="12"/>
                <w:color w:val="auto"/>
              </w:rPr>
            </w:pPr>
          </w:p>
        </w:tc>
        <w:tc>
          <w:tcPr>
            <w:tcW w:w="2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360" w:type="dxa"/>
            <w:vAlign w:val="bottom"/>
            <w:shd w:val="clear" w:color="auto" w:fill="CCEEFF"/>
          </w:tcPr>
          <w:p>
            <w:pPr>
              <w:spacing w:after="0"/>
              <w:rPr>
                <w:sz w:val="12"/>
                <w:szCs w:val="12"/>
                <w:color w:val="auto"/>
              </w:rPr>
            </w:pPr>
          </w:p>
        </w:tc>
        <w:tc>
          <w:tcPr>
            <w:tcW w:w="8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r>
      <w:tr>
        <w:trPr>
          <w:trHeight w:val="156"/>
        </w:trPr>
        <w:tc>
          <w:tcPr>
            <w:tcW w:w="5600" w:type="dxa"/>
            <w:vAlign w:val="bottom"/>
          </w:tcPr>
          <w:p>
            <w:pPr>
              <w:ind w:left="240"/>
              <w:spacing w:after="0"/>
              <w:rPr>
                <w:sz w:val="20"/>
                <w:szCs w:val="20"/>
                <w:color w:val="auto"/>
              </w:rPr>
            </w:pPr>
            <w:r>
              <w:rPr>
                <w:rFonts w:ascii="Arial" w:cs="Arial" w:eastAsia="Arial" w:hAnsi="Arial"/>
                <w:sz w:val="13"/>
                <w:szCs w:val="13"/>
                <w:color w:val="auto"/>
              </w:rPr>
              <w:t>Net operating loss carryforwards</w:t>
            </w:r>
          </w:p>
        </w:tc>
        <w:tc>
          <w:tcPr>
            <w:tcW w:w="316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16,046,058</w:t>
            </w:r>
          </w:p>
        </w:tc>
        <w:tc>
          <w:tcPr>
            <w:tcW w:w="460" w:type="dxa"/>
            <w:vAlign w:val="bottom"/>
            <w:gridSpan w:val="2"/>
          </w:tcPr>
          <w:p>
            <w:pPr>
              <w:jc w:val="right"/>
              <w:ind w:right="300"/>
              <w:spacing w:after="0"/>
              <w:rPr>
                <w:sz w:val="20"/>
                <w:szCs w:val="20"/>
                <w:color w:val="auto"/>
              </w:rPr>
            </w:pPr>
            <w:r>
              <w:rPr>
                <w:rFonts w:ascii="Arial" w:cs="Arial" w:eastAsia="Arial" w:hAnsi="Arial"/>
                <w:sz w:val="13"/>
                <w:szCs w:val="13"/>
                <w:color w:val="auto"/>
              </w:rPr>
              <w:t>$</w:t>
            </w:r>
          </w:p>
        </w:tc>
        <w:tc>
          <w:tcPr>
            <w:tcW w:w="960" w:type="dxa"/>
            <w:vAlign w:val="bottom"/>
            <w:gridSpan w:val="2"/>
          </w:tcPr>
          <w:p>
            <w:pPr>
              <w:jc w:val="right"/>
              <w:ind w:right="100"/>
              <w:spacing w:after="0"/>
              <w:rPr>
                <w:sz w:val="20"/>
                <w:szCs w:val="20"/>
                <w:color w:val="auto"/>
              </w:rPr>
            </w:pPr>
            <w:r>
              <w:rPr>
                <w:rFonts w:ascii="Arial" w:cs="Arial" w:eastAsia="Arial" w:hAnsi="Arial"/>
                <w:sz w:val="13"/>
                <w:szCs w:val="13"/>
                <w:color w:val="auto"/>
              </w:rPr>
              <w:t>12,415,244</w:t>
            </w:r>
          </w:p>
        </w:tc>
      </w:tr>
      <w:tr>
        <w:trPr>
          <w:trHeight w:val="156"/>
        </w:trPr>
        <w:tc>
          <w:tcPr>
            <w:tcW w:w="5600" w:type="dxa"/>
            <w:vAlign w:val="bottom"/>
            <w:shd w:val="clear" w:color="auto" w:fill="CCEEFF"/>
          </w:tcPr>
          <w:p>
            <w:pPr>
              <w:ind w:left="240"/>
              <w:spacing w:after="0"/>
              <w:rPr>
                <w:sz w:val="20"/>
                <w:szCs w:val="20"/>
                <w:color w:val="auto"/>
              </w:rPr>
            </w:pPr>
            <w:r>
              <w:rPr>
                <w:rFonts w:ascii="Arial" w:cs="Arial" w:eastAsia="Arial" w:hAnsi="Arial"/>
                <w:sz w:val="13"/>
                <w:szCs w:val="13"/>
                <w:color w:val="auto"/>
              </w:rPr>
              <w:t>Research and development credit carryforwards</w:t>
            </w:r>
          </w:p>
        </w:tc>
        <w:tc>
          <w:tcPr>
            <w:tcW w:w="288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1,191,905</w:t>
            </w: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995,234</w:t>
            </w:r>
          </w:p>
        </w:tc>
        <w:tc>
          <w:tcPr>
            <w:tcW w:w="100" w:type="dxa"/>
            <w:vAlign w:val="bottom"/>
            <w:shd w:val="clear" w:color="auto" w:fill="CCEEFF"/>
          </w:tcPr>
          <w:p>
            <w:pPr>
              <w:spacing w:after="0"/>
              <w:rPr>
                <w:sz w:val="13"/>
                <w:szCs w:val="13"/>
                <w:color w:val="auto"/>
              </w:rPr>
            </w:pPr>
          </w:p>
        </w:tc>
      </w:tr>
      <w:tr>
        <w:trPr>
          <w:trHeight w:val="156"/>
        </w:trPr>
        <w:tc>
          <w:tcPr>
            <w:tcW w:w="5600" w:type="dxa"/>
            <w:vAlign w:val="bottom"/>
          </w:tcPr>
          <w:p>
            <w:pPr>
              <w:ind w:left="240"/>
              <w:spacing w:after="0"/>
              <w:rPr>
                <w:sz w:val="20"/>
                <w:szCs w:val="20"/>
                <w:color w:val="auto"/>
              </w:rPr>
            </w:pPr>
            <w:r>
              <w:rPr>
                <w:rFonts w:ascii="Arial" w:cs="Arial" w:eastAsia="Arial" w:hAnsi="Arial"/>
                <w:sz w:val="13"/>
                <w:szCs w:val="13"/>
                <w:color w:val="auto"/>
              </w:rPr>
              <w:t>Accruals and other</w:t>
            </w:r>
          </w:p>
        </w:tc>
        <w:tc>
          <w:tcPr>
            <w:tcW w:w="28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180,996</w:t>
            </w: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235,127</w:t>
            </w:r>
          </w:p>
        </w:tc>
        <w:tc>
          <w:tcPr>
            <w:tcW w:w="100" w:type="dxa"/>
            <w:vAlign w:val="bottom"/>
          </w:tcPr>
          <w:p>
            <w:pPr>
              <w:spacing w:after="0"/>
              <w:rPr>
                <w:sz w:val="13"/>
                <w:szCs w:val="13"/>
                <w:color w:val="auto"/>
              </w:rPr>
            </w:pPr>
          </w:p>
        </w:tc>
      </w:tr>
      <w:tr>
        <w:trPr>
          <w:trHeight w:val="156"/>
        </w:trPr>
        <w:tc>
          <w:tcPr>
            <w:tcW w:w="5600" w:type="dxa"/>
            <w:vAlign w:val="bottom"/>
            <w:shd w:val="clear" w:color="auto" w:fill="CCEEFF"/>
          </w:tcPr>
          <w:p>
            <w:pPr>
              <w:ind w:left="240"/>
              <w:spacing w:after="0"/>
              <w:rPr>
                <w:sz w:val="20"/>
                <w:szCs w:val="20"/>
                <w:color w:val="auto"/>
              </w:rPr>
            </w:pPr>
            <w:r>
              <w:rPr>
                <w:rFonts w:ascii="Arial" w:cs="Arial" w:eastAsia="Arial" w:hAnsi="Arial"/>
                <w:sz w:val="13"/>
                <w:szCs w:val="13"/>
                <w:color w:val="auto"/>
              </w:rPr>
              <w:t>Right of use asset</w:t>
            </w:r>
          </w:p>
        </w:tc>
        <w:tc>
          <w:tcPr>
            <w:tcW w:w="288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435,385</w:t>
            </w: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580,498</w:t>
            </w:r>
          </w:p>
        </w:tc>
        <w:tc>
          <w:tcPr>
            <w:tcW w:w="100" w:type="dxa"/>
            <w:vAlign w:val="bottom"/>
            <w:shd w:val="clear" w:color="auto" w:fill="CCEEFF"/>
          </w:tcPr>
          <w:p>
            <w:pPr>
              <w:spacing w:after="0"/>
              <w:rPr>
                <w:sz w:val="13"/>
                <w:szCs w:val="13"/>
                <w:color w:val="auto"/>
              </w:rPr>
            </w:pPr>
          </w:p>
        </w:tc>
      </w:tr>
      <w:tr>
        <w:trPr>
          <w:trHeight w:val="156"/>
        </w:trPr>
        <w:tc>
          <w:tcPr>
            <w:tcW w:w="5600" w:type="dxa"/>
            <w:vAlign w:val="bottom"/>
          </w:tcPr>
          <w:p>
            <w:pPr>
              <w:ind w:left="240"/>
              <w:spacing w:after="0"/>
              <w:rPr>
                <w:sz w:val="20"/>
                <w:szCs w:val="20"/>
                <w:color w:val="auto"/>
              </w:rPr>
            </w:pPr>
            <w:r>
              <w:rPr>
                <w:rFonts w:ascii="Arial" w:cs="Arial" w:eastAsia="Arial" w:hAnsi="Arial"/>
                <w:sz w:val="13"/>
                <w:szCs w:val="13"/>
                <w:color w:val="auto"/>
              </w:rPr>
              <w:t>Fixed Assets</w:t>
            </w:r>
          </w:p>
        </w:tc>
        <w:tc>
          <w:tcPr>
            <w:tcW w:w="28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32,335</w:t>
            </w: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r>
      <w:tr>
        <w:trPr>
          <w:trHeight w:val="156"/>
        </w:trPr>
        <w:tc>
          <w:tcPr>
            <w:tcW w:w="5600" w:type="dxa"/>
            <w:vAlign w:val="bottom"/>
            <w:shd w:val="clear" w:color="auto" w:fill="CCEEFF"/>
          </w:tcPr>
          <w:p>
            <w:pPr>
              <w:ind w:left="240"/>
              <w:spacing w:after="0"/>
              <w:rPr>
                <w:sz w:val="20"/>
                <w:szCs w:val="20"/>
                <w:color w:val="auto"/>
              </w:rPr>
            </w:pPr>
            <w:r>
              <w:rPr>
                <w:rFonts w:ascii="Arial" w:cs="Arial" w:eastAsia="Arial" w:hAnsi="Arial"/>
                <w:sz w:val="13"/>
                <w:szCs w:val="13"/>
                <w:color w:val="auto"/>
              </w:rPr>
              <w:t>Amortization</w:t>
            </w:r>
          </w:p>
        </w:tc>
        <w:tc>
          <w:tcPr>
            <w:tcW w:w="288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53,467</w:t>
            </w: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9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52,255</w:t>
            </w:r>
          </w:p>
        </w:tc>
      </w:tr>
      <w:tr>
        <w:trPr>
          <w:trHeight w:val="166"/>
        </w:trPr>
        <w:tc>
          <w:tcPr>
            <w:tcW w:w="5600" w:type="dxa"/>
            <w:vAlign w:val="bottom"/>
          </w:tcPr>
          <w:p>
            <w:pPr>
              <w:ind w:left="240"/>
              <w:spacing w:after="0"/>
              <w:rPr>
                <w:sz w:val="20"/>
                <w:szCs w:val="20"/>
                <w:color w:val="auto"/>
              </w:rPr>
            </w:pPr>
            <w:r>
              <w:rPr>
                <w:rFonts w:ascii="Arial" w:cs="Arial" w:eastAsia="Arial" w:hAnsi="Arial"/>
                <w:sz w:val="13"/>
                <w:szCs w:val="13"/>
                <w:color w:val="auto"/>
              </w:rPr>
              <w:t>Other</w:t>
            </w:r>
          </w:p>
        </w:tc>
        <w:tc>
          <w:tcPr>
            <w:tcW w:w="288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17,722</w:t>
            </w:r>
          </w:p>
        </w:tc>
        <w:tc>
          <w:tcPr>
            <w:tcW w:w="10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r>
      <w:tr>
        <w:trPr>
          <w:trHeight w:val="147"/>
        </w:trPr>
        <w:tc>
          <w:tcPr>
            <w:tcW w:w="5600" w:type="dxa"/>
            <w:vAlign w:val="bottom"/>
            <w:tcBorders>
              <w:top w:val="single" w:sz="8" w:color="CCEEFF"/>
            </w:tcBorders>
            <w:shd w:val="clear" w:color="auto" w:fill="CCEEFF"/>
          </w:tcPr>
          <w:p>
            <w:pPr>
              <w:ind w:left="120"/>
              <w:spacing w:after="0" w:line="146" w:lineRule="exact"/>
              <w:rPr>
                <w:sz w:val="20"/>
                <w:szCs w:val="20"/>
                <w:color w:val="auto"/>
              </w:rPr>
            </w:pPr>
            <w:r>
              <w:rPr>
                <w:rFonts w:ascii="Arial" w:cs="Arial" w:eastAsia="Arial" w:hAnsi="Arial"/>
                <w:sz w:val="13"/>
                <w:szCs w:val="13"/>
                <w:color w:val="auto"/>
              </w:rPr>
              <w:t>Total deferred tax assets</w:t>
            </w:r>
          </w:p>
        </w:tc>
        <w:tc>
          <w:tcPr>
            <w:tcW w:w="288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tcBorders>
            <w:shd w:val="clear" w:color="auto" w:fill="CCEEFF"/>
          </w:tcPr>
          <w:p>
            <w:pPr>
              <w:spacing w:after="0"/>
              <w:rPr>
                <w:sz w:val="12"/>
                <w:szCs w:val="12"/>
                <w:color w:val="auto"/>
              </w:rPr>
            </w:pPr>
          </w:p>
        </w:tc>
        <w:tc>
          <w:tcPr>
            <w:tcW w:w="9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17,957,868</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360" w:type="dxa"/>
            <w:vAlign w:val="bottom"/>
            <w:tcBorders>
              <w:top w:val="single" w:sz="8" w:color="auto"/>
            </w:tcBorders>
            <w:shd w:val="clear" w:color="auto" w:fill="CCEEFF"/>
          </w:tcPr>
          <w:p>
            <w:pPr>
              <w:spacing w:after="0"/>
              <w:rPr>
                <w:sz w:val="12"/>
                <w:szCs w:val="12"/>
                <w:color w:val="auto"/>
              </w:rPr>
            </w:pPr>
          </w:p>
        </w:tc>
        <w:tc>
          <w:tcPr>
            <w:tcW w:w="8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14,278,328</w:t>
            </w:r>
          </w:p>
        </w:tc>
        <w:tc>
          <w:tcPr>
            <w:tcW w:w="100" w:type="dxa"/>
            <w:vAlign w:val="bottom"/>
            <w:tcBorders>
              <w:top w:val="single" w:sz="8" w:color="CCEEFF"/>
            </w:tcBorders>
            <w:shd w:val="clear" w:color="auto" w:fill="CCEEFF"/>
          </w:tcPr>
          <w:p>
            <w:pPr>
              <w:spacing w:after="0"/>
              <w:rPr>
                <w:sz w:val="12"/>
                <w:szCs w:val="12"/>
                <w:color w:val="auto"/>
              </w:rPr>
            </w:pPr>
          </w:p>
        </w:tc>
      </w:tr>
      <w:tr>
        <w:trPr>
          <w:trHeight w:val="166"/>
        </w:trPr>
        <w:tc>
          <w:tcPr>
            <w:tcW w:w="5600" w:type="dxa"/>
            <w:vAlign w:val="bottom"/>
          </w:tcPr>
          <w:p>
            <w:pPr>
              <w:ind w:left="120"/>
              <w:spacing w:after="0"/>
              <w:rPr>
                <w:sz w:val="20"/>
                <w:szCs w:val="20"/>
                <w:color w:val="auto"/>
              </w:rPr>
            </w:pPr>
            <w:r>
              <w:rPr>
                <w:rFonts w:ascii="Arial" w:cs="Arial" w:eastAsia="Arial" w:hAnsi="Arial"/>
                <w:sz w:val="13"/>
                <w:szCs w:val="13"/>
                <w:color w:val="auto"/>
              </w:rPr>
              <w:t>Valuation allowance</w:t>
            </w:r>
          </w:p>
        </w:tc>
        <w:tc>
          <w:tcPr>
            <w:tcW w:w="288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0"/>
              <w:spacing w:after="0"/>
              <w:rPr>
                <w:sz w:val="20"/>
                <w:szCs w:val="20"/>
                <w:color w:val="auto"/>
              </w:rPr>
            </w:pPr>
            <w:r>
              <w:rPr>
                <w:rFonts w:ascii="Arial" w:cs="Arial" w:eastAsia="Arial" w:hAnsi="Arial"/>
                <w:sz w:val="13"/>
                <w:szCs w:val="13"/>
                <w:color w:val="auto"/>
              </w:rPr>
              <w:t>(17,537,006)</w:t>
            </w:r>
          </w:p>
        </w:tc>
        <w:tc>
          <w:tcPr>
            <w:tcW w:w="10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960" w:type="dxa"/>
            <w:vAlign w:val="bottom"/>
            <w:gridSpan w:val="2"/>
          </w:tcPr>
          <w:p>
            <w:pPr>
              <w:jc w:val="right"/>
              <w:ind w:right="60"/>
              <w:spacing w:after="0"/>
              <w:rPr>
                <w:sz w:val="20"/>
                <w:szCs w:val="20"/>
                <w:color w:val="auto"/>
              </w:rPr>
            </w:pPr>
            <w:r>
              <w:rPr>
                <w:rFonts w:ascii="Arial" w:cs="Arial" w:eastAsia="Arial" w:hAnsi="Arial"/>
                <w:sz w:val="13"/>
                <w:szCs w:val="13"/>
                <w:color w:val="auto"/>
              </w:rPr>
              <w:t>(13,662,784)</w:t>
            </w:r>
          </w:p>
        </w:tc>
      </w:tr>
      <w:tr>
        <w:trPr>
          <w:trHeight w:val="146"/>
        </w:trPr>
        <w:tc>
          <w:tcPr>
            <w:tcW w:w="5600" w:type="dxa"/>
            <w:vAlign w:val="bottom"/>
            <w:tcBorders>
              <w:top w:val="single" w:sz="8" w:color="CCEEFF"/>
            </w:tcBorders>
            <w:shd w:val="clear" w:color="auto" w:fill="CCEEFF"/>
          </w:tcPr>
          <w:p>
            <w:pPr>
              <w:ind w:left="120"/>
              <w:spacing w:after="0" w:line="144" w:lineRule="exact"/>
              <w:rPr>
                <w:sz w:val="20"/>
                <w:szCs w:val="20"/>
                <w:color w:val="auto"/>
              </w:rPr>
            </w:pPr>
            <w:r>
              <w:rPr>
                <w:rFonts w:ascii="Arial" w:cs="Arial" w:eastAsia="Arial" w:hAnsi="Arial"/>
                <w:sz w:val="13"/>
                <w:szCs w:val="13"/>
                <w:color w:val="auto"/>
              </w:rPr>
              <w:t>Deferred tax assets After Valuation Allowance</w:t>
            </w:r>
          </w:p>
        </w:tc>
        <w:tc>
          <w:tcPr>
            <w:tcW w:w="288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420,862</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360" w:type="dxa"/>
            <w:vAlign w:val="bottom"/>
            <w:tcBorders>
              <w:top w:val="single" w:sz="8" w:color="auto"/>
              <w:bottom w:val="single" w:sz="8" w:color="auto"/>
            </w:tcBorders>
            <w:shd w:val="clear" w:color="auto" w:fill="CCEEFF"/>
          </w:tcPr>
          <w:p>
            <w:pPr>
              <w:spacing w:after="0"/>
              <w:rPr>
                <w:sz w:val="12"/>
                <w:szCs w:val="12"/>
                <w:color w:val="auto"/>
              </w:rPr>
            </w:pPr>
          </w:p>
        </w:tc>
        <w:tc>
          <w:tcPr>
            <w:tcW w:w="8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615,544</w:t>
            </w:r>
          </w:p>
        </w:tc>
        <w:tc>
          <w:tcPr>
            <w:tcW w:w="100" w:type="dxa"/>
            <w:vAlign w:val="bottom"/>
            <w:tcBorders>
              <w:top w:val="single" w:sz="8" w:color="CCEEFF"/>
            </w:tcBorders>
            <w:shd w:val="clear" w:color="auto" w:fill="CCEEFF"/>
          </w:tcPr>
          <w:p>
            <w:pPr>
              <w:spacing w:after="0"/>
              <w:rPr>
                <w:sz w:val="12"/>
                <w:szCs w:val="12"/>
                <w:color w:val="auto"/>
              </w:rPr>
            </w:pPr>
          </w:p>
        </w:tc>
      </w:tr>
      <w:tr>
        <w:trPr>
          <w:trHeight w:val="146"/>
        </w:trPr>
        <w:tc>
          <w:tcPr>
            <w:tcW w:w="5600" w:type="dxa"/>
            <w:vAlign w:val="bottom"/>
          </w:tcPr>
          <w:p>
            <w:pPr>
              <w:spacing w:after="0"/>
              <w:rPr>
                <w:sz w:val="12"/>
                <w:szCs w:val="12"/>
                <w:color w:val="auto"/>
              </w:rPr>
            </w:pPr>
          </w:p>
        </w:tc>
        <w:tc>
          <w:tcPr>
            <w:tcW w:w="288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360" w:type="dxa"/>
            <w:vAlign w:val="bottom"/>
          </w:tcPr>
          <w:p>
            <w:pPr>
              <w:spacing w:after="0"/>
              <w:rPr>
                <w:sz w:val="12"/>
                <w:szCs w:val="12"/>
                <w:color w:val="auto"/>
              </w:rPr>
            </w:pPr>
          </w:p>
        </w:tc>
        <w:tc>
          <w:tcPr>
            <w:tcW w:w="860" w:type="dxa"/>
            <w:vAlign w:val="bottom"/>
          </w:tcPr>
          <w:p>
            <w:pPr>
              <w:spacing w:after="0"/>
              <w:rPr>
                <w:sz w:val="12"/>
                <w:szCs w:val="12"/>
                <w:color w:val="auto"/>
              </w:rPr>
            </w:pPr>
          </w:p>
        </w:tc>
        <w:tc>
          <w:tcPr>
            <w:tcW w:w="100" w:type="dxa"/>
            <w:vAlign w:val="bottom"/>
          </w:tcPr>
          <w:p>
            <w:pPr>
              <w:spacing w:after="0"/>
              <w:rPr>
                <w:sz w:val="12"/>
                <w:szCs w:val="12"/>
                <w:color w:val="auto"/>
              </w:rPr>
            </w:pPr>
          </w:p>
        </w:tc>
      </w:tr>
      <w:tr>
        <w:trPr>
          <w:trHeight w:val="156"/>
        </w:trPr>
        <w:tc>
          <w:tcPr>
            <w:tcW w:w="5600" w:type="dxa"/>
            <w:vAlign w:val="bottom"/>
            <w:shd w:val="clear" w:color="auto" w:fill="CCEEFF"/>
          </w:tcPr>
          <w:p>
            <w:pPr>
              <w:spacing w:after="0"/>
              <w:rPr>
                <w:sz w:val="13"/>
                <w:szCs w:val="13"/>
                <w:color w:val="auto"/>
              </w:rPr>
            </w:pPr>
          </w:p>
        </w:tc>
        <w:tc>
          <w:tcPr>
            <w:tcW w:w="288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8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r>
      <w:tr>
        <w:trPr>
          <w:trHeight w:val="156"/>
        </w:trPr>
        <w:tc>
          <w:tcPr>
            <w:tcW w:w="5600" w:type="dxa"/>
            <w:vAlign w:val="bottom"/>
          </w:tcPr>
          <w:p>
            <w:pPr>
              <w:ind w:left="120"/>
              <w:spacing w:after="0"/>
              <w:rPr>
                <w:sz w:val="20"/>
                <w:szCs w:val="20"/>
                <w:color w:val="auto"/>
              </w:rPr>
            </w:pPr>
            <w:r>
              <w:rPr>
                <w:rFonts w:ascii="Arial" w:cs="Arial" w:eastAsia="Arial" w:hAnsi="Arial"/>
                <w:sz w:val="13"/>
                <w:szCs w:val="13"/>
                <w:color w:val="auto"/>
              </w:rPr>
              <w:t>Depreciation</w:t>
            </w:r>
          </w:p>
        </w:tc>
        <w:tc>
          <w:tcPr>
            <w:tcW w:w="288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960" w:type="dxa"/>
            <w:vAlign w:val="bottom"/>
            <w:gridSpan w:val="2"/>
          </w:tcPr>
          <w:p>
            <w:pPr>
              <w:jc w:val="right"/>
              <w:ind w:right="60"/>
              <w:spacing w:after="0"/>
              <w:rPr>
                <w:sz w:val="20"/>
                <w:szCs w:val="20"/>
                <w:color w:val="auto"/>
              </w:rPr>
            </w:pPr>
            <w:r>
              <w:rPr>
                <w:rFonts w:ascii="Arial" w:cs="Arial" w:eastAsia="Arial" w:hAnsi="Arial"/>
                <w:sz w:val="13"/>
                <w:szCs w:val="13"/>
                <w:color w:val="auto"/>
              </w:rPr>
              <w:t>(35,046)</w:t>
            </w:r>
          </w:p>
        </w:tc>
      </w:tr>
      <w:tr>
        <w:trPr>
          <w:trHeight w:val="166"/>
        </w:trPr>
        <w:tc>
          <w:tcPr>
            <w:tcW w:w="5600" w:type="dxa"/>
            <w:vAlign w:val="bottom"/>
            <w:shd w:val="clear" w:color="auto" w:fill="CCEEFF"/>
          </w:tcPr>
          <w:p>
            <w:pPr>
              <w:ind w:left="120"/>
              <w:spacing w:after="0"/>
              <w:rPr>
                <w:sz w:val="20"/>
                <w:szCs w:val="20"/>
                <w:color w:val="auto"/>
              </w:rPr>
            </w:pPr>
            <w:r>
              <w:rPr>
                <w:rFonts w:ascii="Arial" w:cs="Arial" w:eastAsia="Arial" w:hAnsi="Arial"/>
                <w:sz w:val="13"/>
                <w:szCs w:val="13"/>
                <w:color w:val="auto"/>
              </w:rPr>
              <w:t>Lease liability</w:t>
            </w:r>
          </w:p>
        </w:tc>
        <w:tc>
          <w:tcPr>
            <w:tcW w:w="288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(420,862)</w:t>
            </w:r>
          </w:p>
        </w:tc>
        <w:tc>
          <w:tcPr>
            <w:tcW w:w="100" w:type="dxa"/>
            <w:vAlign w:val="bottom"/>
            <w:shd w:val="clear" w:color="auto" w:fill="CCEEFF"/>
          </w:tcPr>
          <w:p>
            <w:pPr>
              <w:spacing w:after="0"/>
              <w:rPr>
                <w:sz w:val="14"/>
                <w:szCs w:val="14"/>
                <w:color w:val="auto"/>
              </w:rPr>
            </w:pPr>
          </w:p>
        </w:tc>
        <w:tc>
          <w:tcPr>
            <w:tcW w:w="360" w:type="dxa"/>
            <w:vAlign w:val="bottom"/>
            <w:shd w:val="clear" w:color="auto" w:fill="CCEEFF"/>
          </w:tcPr>
          <w:p>
            <w:pPr>
              <w:spacing w:after="0"/>
              <w:rPr>
                <w:sz w:val="14"/>
                <w:szCs w:val="14"/>
                <w:color w:val="auto"/>
              </w:rPr>
            </w:pPr>
          </w:p>
        </w:tc>
        <w:tc>
          <w:tcPr>
            <w:tcW w:w="9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(580,498)</w:t>
            </w:r>
          </w:p>
        </w:tc>
      </w:tr>
      <w:tr>
        <w:trPr>
          <w:trHeight w:val="146"/>
        </w:trPr>
        <w:tc>
          <w:tcPr>
            <w:tcW w:w="5600" w:type="dxa"/>
            <w:vAlign w:val="bottom"/>
          </w:tcPr>
          <w:p>
            <w:pPr>
              <w:ind w:left="120"/>
              <w:spacing w:after="0" w:line="144" w:lineRule="exact"/>
              <w:rPr>
                <w:sz w:val="20"/>
                <w:szCs w:val="20"/>
                <w:color w:val="auto"/>
              </w:rPr>
            </w:pPr>
            <w:r>
              <w:rPr>
                <w:rFonts w:ascii="Arial" w:cs="Arial" w:eastAsia="Arial" w:hAnsi="Arial"/>
                <w:sz w:val="13"/>
                <w:szCs w:val="13"/>
                <w:color w:val="auto"/>
              </w:rPr>
              <w:t>Total deferred tax liabilities</w:t>
            </w:r>
          </w:p>
        </w:tc>
        <w:tc>
          <w:tcPr>
            <w:tcW w:w="2880" w:type="dxa"/>
            <w:vAlign w:val="bottom"/>
          </w:tcPr>
          <w:p>
            <w:pPr>
              <w:spacing w:after="0"/>
              <w:rPr>
                <w:sz w:val="12"/>
                <w:szCs w:val="12"/>
                <w:color w:val="auto"/>
              </w:rPr>
            </w:pPr>
          </w:p>
        </w:tc>
        <w:tc>
          <w:tcPr>
            <w:tcW w:w="280" w:type="dxa"/>
            <w:vAlign w:val="bottom"/>
            <w:tcBorders>
              <w:top w:val="single" w:sz="8" w:color="auto"/>
              <w:bottom w:val="single" w:sz="8" w:color="auto"/>
            </w:tcBorders>
          </w:tcPr>
          <w:p>
            <w:pPr>
              <w:spacing w:after="0"/>
              <w:rPr>
                <w:sz w:val="12"/>
                <w:szCs w:val="12"/>
                <w:color w:val="auto"/>
              </w:rPr>
            </w:pP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(420,862)</w:t>
            </w: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360" w:type="dxa"/>
            <w:vAlign w:val="bottom"/>
            <w:tcBorders>
              <w:top w:val="single" w:sz="8" w:color="auto"/>
              <w:bottom w:val="single" w:sz="8" w:color="auto"/>
            </w:tcBorders>
          </w:tcPr>
          <w:p>
            <w:pPr>
              <w:spacing w:after="0"/>
              <w:rPr>
                <w:sz w:val="12"/>
                <w:szCs w:val="12"/>
                <w:color w:val="auto"/>
              </w:rPr>
            </w:pPr>
          </w:p>
        </w:tc>
        <w:tc>
          <w:tcPr>
            <w:tcW w:w="8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(615,544)</w:t>
            </w:r>
          </w:p>
        </w:tc>
        <w:tc>
          <w:tcPr>
            <w:tcW w:w="100" w:type="dxa"/>
            <w:vAlign w:val="bottom"/>
          </w:tcPr>
          <w:p>
            <w:pPr>
              <w:spacing w:after="0"/>
              <w:rPr>
                <w:sz w:val="12"/>
                <w:szCs w:val="12"/>
                <w:color w:val="auto"/>
              </w:rPr>
            </w:pPr>
          </w:p>
        </w:tc>
      </w:tr>
    </w:tbl>
    <w:p>
      <w:pPr>
        <w:spacing w:after="0" w:line="148"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The Company considers all available evidence, both positive and negative, including historical levels of taxable income, expectations and risks associated with estimates of future taxable income, and ongoing prudent and feasible tax planning strategies in assessing the need for a valuation allowance. At December 31, 2020 and 2019, based on the Company’s analysis of all available evidence, both positive and negative, it was considered more likely than not that the Company’s deferred tax assets would not be realized and, as a result, the Company recorded a full valuation allowance for its deferred tax assets. The valuation allowance increased $3,874,222 and $3,049,836 during the years ended December 31, 2020 and 2019, respectively.</w:t>
      </w:r>
    </w:p>
    <w:p>
      <w:pPr>
        <w:spacing w:after="0" w:line="139"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As of December 31, 2020, the Company had U.S. federal net operating loss carryforwards amounts of approximately $61,600,000 of which $23,300,000 begin to expire in 2033 and $38,300,000 can be carried over indefinitely. As of December 31, 2020, the Company had federal research and development tax credits of approximately $584,000 which begin to expire in 2033.</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As of December 31, 2020, the Company had state net operating loss carryforwards amounts of approximately $45,500,000 which begin to expire in 2023. As of December 31, 2020, the Company had state research and development tax credits of approximately $1,041,000 which do not expire.</w:t>
      </w:r>
    </w:p>
    <w:p>
      <w:pPr>
        <w:spacing w:after="0" w:line="128"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Utilization of the federal and state net operating loss and federal and state research and development tax credit carryforwards may be subject to annual limitations due to the ownership percentage change provisions of the Internal Revenue Code Section 382 and similar state provisions. The annual limitations may result in the inability to fully offset future annual taxable income and could result in the expiration of the net operating loss carry forwards before utilization.</w:t>
      </w:r>
    </w:p>
    <w:p>
      <w:pPr>
        <w:spacing w:after="0" w:line="136"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On March 27, 2020, the Coronavirus Aid, Relief and Economic Security (CARES) Act (the Act) was signed into law. The Act includes provisions relating to refundable payroll tax credits, deferment of the employer portion of certain payroll taxes, net operating loss carryback periods, alternative minimum tax credit refunds, modifications to the net interest deduction limitations, and technical corrections to tax depreciation methods for qualified improvement property. The Company analyzed the provisions of the Act and determined there was no significant impact to its 2020 tax provision.</w:t>
      </w:r>
    </w:p>
    <w:p>
      <w:pPr>
        <w:spacing w:after="0" w:line="119"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On June 29, 2020, the California Governor signed Assembly Bill 85 (A.B. 85), which became California law, A.B. 85, which includes several tax measures, provided for a three-year suspension of the use of net operating losses for medium and large businesses and a three-year cap on the use of business incentive tax credits to offset no more than $5.0 million of tax per year. Generally, A.B. 85 suspends the use of net operating losses for taxable years 2020, 2021 and 2022 for taxable income of $1.0 million or more. Since the Company is not expected to generate California source taxable income of more than $1.0 million, no material impact is anticipated at this time.</w:t>
      </w:r>
    </w:p>
    <w:p>
      <w:pPr>
        <w:spacing w:after="0" w:line="139"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On December 27, 2020, the “Consolidated Appropriations Act, 2021” (the CAA) was signed into law. The CAA includes provisions meant to clarify and modify certain items put forth in the CARES Act, while providing aid to business affected by the pandemic.</w:t>
      </w:r>
    </w:p>
    <w:p>
      <w:pPr>
        <w:spacing w:after="0" w:line="284"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88" w:name="page89"/>
    <w:bookmarkEnd w:id="88"/>
    <w:p>
      <w:pPr>
        <w:spacing w:after="0"/>
        <w:rPr>
          <w:sz w:val="20"/>
          <w:szCs w:val="20"/>
          <w:color w:val="auto"/>
        </w:rPr>
      </w:pPr>
      <w:r>
        <w:rPr>
          <w:rFonts w:ascii="Arial" w:cs="Arial" w:eastAsia="Arial" w:hAnsi="Arial"/>
          <w:sz w:val="13"/>
          <w:szCs w:val="13"/>
          <w:b w:val="1"/>
          <w:bCs w:val="1"/>
          <w:color w:val="auto"/>
        </w:rPr>
        <w:t>NOTE 7: Income Taxes (Continue)</w:t>
      </w:r>
    </w:p>
    <w:p>
      <w:pPr>
        <w:spacing w:after="0" w:line="167"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CAA allows deductions for expenses paid for by Paycheck Protection Program (PPP) and Economic Injury Disaster Loan (EIDL) Program, clarifies forgiveness of EIDL advances, and other business provisions. The Company analyzed the provisions of the CAA and determined there was no significant impact to its 2020 tax provision.</w:t>
      </w:r>
    </w:p>
    <w:p>
      <w:pPr>
        <w:spacing w:after="0" w:line="128"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The Company accounts for uncertainty in income taxes in accordance with ASC 740. Tax positions are evaluated in a two-step process, whereby the Company first determines whether it is more likely than not that a tax position will be sustained upon examination by tax authorities, including resolutions of any related appeals or litigation processes, based on technical merit. If a tax position meets the more-likely-than-not recognition threshold it is then measured to determine the amount of benefit to recognized in the financial statements. The tax position is measured as the largest amount of benefit that is greater than 50% likely of being realized upon ultimate settlement.</w:t>
      </w:r>
    </w:p>
    <w:p>
      <w:pPr>
        <w:spacing w:after="0" w:line="139"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As of December 31, 2020, the differences between income taxes expected at the U.S. Federal statutory income tax rate of 21% and the reported income tax expense are primarily related to disallowed interest expense and change in valuation allowance.</w:t>
      </w:r>
    </w:p>
    <w:p>
      <w:pPr>
        <w:spacing w:after="0" w:line="128"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The Company’s unrecognized tax benefits as of December 31, 2020 relate entirely to research and development credits. The total amount of unrecognized tax benefits as of December 31, 2020 is $247,302. If recognized, none of the unrecognized tax benefits would impact the effective tax rate because of the valuation allowance. The Company’s policy is to recognize interest and penalties to income taxes as components of interest expense and other expense, respectively. The Company did not accrue interest or penalties related to unrecognized tax benefits as of December 31, 2020. The Company does not anticipate any significant change within twelve months of this reporting date.</w:t>
      </w:r>
    </w:p>
    <w:p>
      <w:pPr>
        <w:spacing w:after="0" w:line="139"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 files income tax returns in the U.S. federal jurisdiction and various state jurisdictions. Due to the Company’s net operating loss carryforwards, all tax years since inception remain subject to examination by all taxing authorities. The Company is not currently under audit in any major tax jurisdiction.</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8: Related parties and related-party transactions</w:t>
      </w:r>
    </w:p>
    <w:p>
      <w:pPr>
        <w:spacing w:after="0" w:line="167"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One of the Company’s vendors, Konica Minolta, Inc. (“Konica Minolta”), is a stockholder of the Company. Konica Minolta provides the Company with repair services to its ASRs. The Company has paid to Konica Minolta $218,425 and $332,146 in service fees for the years ended December 31, 2020 and 2019, respectively. The Company had payables of $20,498 and $22,347 owed to Konica Minolta as of December 31, 2020 and 2019, respectively.</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9: Commitments and contingencies</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Leases</w:t>
      </w:r>
    </w:p>
    <w:p>
      <w:pPr>
        <w:spacing w:after="0" w:line="163" w:lineRule="exact"/>
        <w:rPr>
          <w:sz w:val="20"/>
          <w:szCs w:val="20"/>
          <w:color w:val="auto"/>
        </w:rPr>
      </w:pPr>
    </w:p>
    <w:p>
      <w:pPr>
        <w:spacing w:after="0"/>
        <w:rPr>
          <w:sz w:val="20"/>
          <w:szCs w:val="20"/>
          <w:color w:val="auto"/>
        </w:rPr>
      </w:pPr>
      <w:r>
        <w:rPr>
          <w:rFonts w:ascii="Arial" w:cs="Arial" w:eastAsia="Arial" w:hAnsi="Arial"/>
          <w:sz w:val="12"/>
          <w:szCs w:val="12"/>
          <w:color w:val="auto"/>
        </w:rPr>
        <w:t>The Company leases facilities for office space under non-cancelable operating lease agreements. The Company leases space for its corporate headquarters in Mountain View, California through August 2023.</w:t>
      </w:r>
    </w:p>
    <w:p>
      <w:pPr>
        <w:spacing w:after="0" w:line="175"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9880" w:type="dxa"/>
            <w:vAlign w:val="bottom"/>
            <w:gridSpan w:val="4"/>
          </w:tcPr>
          <w:p>
            <w:pPr>
              <w:spacing w:after="0"/>
              <w:rPr>
                <w:sz w:val="20"/>
                <w:szCs w:val="20"/>
                <w:color w:val="auto"/>
              </w:rPr>
            </w:pPr>
            <w:r>
              <w:rPr>
                <w:rFonts w:ascii="Arial" w:cs="Arial" w:eastAsia="Arial" w:hAnsi="Arial"/>
                <w:sz w:val="13"/>
                <w:szCs w:val="13"/>
                <w:color w:val="auto"/>
              </w:rPr>
              <w:t>The following are the future minimum lease obligations on the Company’s lease agreements as of December 31, 2020:</w:t>
            </w:r>
          </w:p>
        </w:tc>
        <w:tc>
          <w:tcPr>
            <w:tcW w:w="130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01"/>
        </w:trPr>
        <w:tc>
          <w:tcPr>
            <w:tcW w:w="95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1400" w:type="dxa"/>
            <w:vAlign w:val="bottom"/>
            <w:gridSpan w:val="2"/>
          </w:tcPr>
          <w:p>
            <w:pPr>
              <w:jc w:val="center"/>
              <w:ind w:right="360"/>
              <w:spacing w:after="0"/>
              <w:rPr>
                <w:sz w:val="20"/>
                <w:szCs w:val="20"/>
                <w:color w:val="auto"/>
              </w:rPr>
            </w:pPr>
            <w:r>
              <w:rPr>
                <w:rFonts w:ascii="Arial" w:cs="Arial" w:eastAsia="Arial" w:hAnsi="Arial"/>
                <w:sz w:val="13"/>
                <w:szCs w:val="13"/>
                <w:b w:val="1"/>
                <w:bCs w:val="1"/>
                <w:color w:val="auto"/>
                <w:w w:val="86"/>
              </w:rPr>
              <w:t>Lease</w:t>
            </w:r>
          </w:p>
        </w:tc>
      </w:tr>
      <w:tr>
        <w:trPr>
          <w:trHeight w:val="169"/>
        </w:trPr>
        <w:tc>
          <w:tcPr>
            <w:tcW w:w="9880" w:type="dxa"/>
            <w:vAlign w:val="bottom"/>
            <w:gridSpan w:val="4"/>
          </w:tcPr>
          <w:p>
            <w:pPr>
              <w:spacing w:after="0"/>
              <w:rPr>
                <w:sz w:val="20"/>
                <w:szCs w:val="20"/>
                <w:color w:val="auto"/>
              </w:rPr>
            </w:pPr>
            <w:r>
              <w:rPr>
                <w:rFonts w:ascii="Arial" w:cs="Arial" w:eastAsia="Arial" w:hAnsi="Arial"/>
                <w:sz w:val="13"/>
                <w:szCs w:val="13"/>
                <w:b w:val="1"/>
                <w:bCs w:val="1"/>
                <w:color w:val="auto"/>
              </w:rPr>
              <w:t>December 31,</w:t>
            </w:r>
          </w:p>
        </w:tc>
        <w:tc>
          <w:tcPr>
            <w:tcW w:w="1400" w:type="dxa"/>
            <w:vAlign w:val="bottom"/>
            <w:gridSpan w:val="2"/>
          </w:tcPr>
          <w:p>
            <w:pPr>
              <w:jc w:val="center"/>
              <w:ind w:right="360"/>
              <w:spacing w:after="0"/>
              <w:rPr>
                <w:sz w:val="20"/>
                <w:szCs w:val="20"/>
                <w:color w:val="auto"/>
              </w:rPr>
            </w:pPr>
            <w:r>
              <w:rPr>
                <w:rFonts w:ascii="Arial" w:cs="Arial" w:eastAsia="Arial" w:hAnsi="Arial"/>
                <w:sz w:val="13"/>
                <w:szCs w:val="13"/>
                <w:b w:val="1"/>
                <w:bCs w:val="1"/>
                <w:color w:val="auto"/>
                <w:w w:val="89"/>
              </w:rPr>
              <w:t>Obligations</w:t>
            </w:r>
          </w:p>
        </w:tc>
      </w:tr>
      <w:tr>
        <w:trPr>
          <w:trHeight w:val="147"/>
        </w:trPr>
        <w:tc>
          <w:tcPr>
            <w:tcW w:w="9500" w:type="dxa"/>
            <w:vAlign w:val="bottom"/>
            <w:tcBorders>
              <w:top w:val="single" w:sz="8" w:color="auto"/>
            </w:tcBorders>
            <w:shd w:val="clear" w:color="auto" w:fill="CCEEFF"/>
          </w:tcPr>
          <w:p>
            <w:pPr>
              <w:spacing w:after="0" w:line="147" w:lineRule="exact"/>
              <w:rPr>
                <w:sz w:val="20"/>
                <w:szCs w:val="20"/>
                <w:color w:val="auto"/>
              </w:rPr>
            </w:pPr>
            <w:r>
              <w:rPr>
                <w:rFonts w:ascii="Arial" w:cs="Arial" w:eastAsia="Arial" w:hAnsi="Arial"/>
                <w:sz w:val="13"/>
                <w:szCs w:val="13"/>
                <w:color w:val="auto"/>
              </w:rPr>
              <w:t>2021</w:t>
            </w:r>
          </w:p>
        </w:tc>
        <w:tc>
          <w:tcPr>
            <w:tcW w:w="100" w:type="dxa"/>
            <w:vAlign w:val="bottom"/>
            <w:tcBorders>
              <w:top w:val="single" w:sz="8" w:color="CCEEFF"/>
            </w:tcBorders>
            <w:shd w:val="clear" w:color="auto" w:fill="CCEEFF"/>
          </w:tcPr>
          <w:p>
            <w:pPr>
              <w:spacing w:after="0"/>
              <w:rPr>
                <w:sz w:val="12"/>
                <w:szCs w:val="12"/>
                <w:color w:val="auto"/>
              </w:rPr>
            </w:pPr>
          </w:p>
        </w:tc>
        <w:tc>
          <w:tcPr>
            <w:tcW w:w="2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tcBorders>
            <w:shd w:val="clear" w:color="auto" w:fill="CCEEFF"/>
          </w:tcPr>
          <w:p>
            <w:pPr>
              <w:spacing w:after="0"/>
              <w:rPr>
                <w:sz w:val="12"/>
                <w:szCs w:val="12"/>
                <w:color w:val="auto"/>
              </w:rPr>
            </w:pPr>
          </w:p>
        </w:tc>
        <w:tc>
          <w:tcPr>
            <w:tcW w:w="130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733,600</w:t>
            </w:r>
          </w:p>
        </w:tc>
        <w:tc>
          <w:tcPr>
            <w:tcW w:w="100" w:type="dxa"/>
            <w:vAlign w:val="bottom"/>
            <w:tcBorders>
              <w:top w:val="single" w:sz="8" w:color="CCEEFF"/>
            </w:tcBorders>
            <w:shd w:val="clear" w:color="auto" w:fill="CCEEFF"/>
          </w:tcPr>
          <w:p>
            <w:pPr>
              <w:spacing w:after="0"/>
              <w:rPr>
                <w:sz w:val="12"/>
                <w:szCs w:val="12"/>
                <w:color w:val="auto"/>
              </w:rPr>
            </w:pPr>
          </w:p>
        </w:tc>
      </w:tr>
      <w:tr>
        <w:trPr>
          <w:trHeight w:val="156"/>
        </w:trPr>
        <w:tc>
          <w:tcPr>
            <w:tcW w:w="9500" w:type="dxa"/>
            <w:vAlign w:val="bottom"/>
          </w:tcPr>
          <w:p>
            <w:pPr>
              <w:spacing w:after="0"/>
              <w:rPr>
                <w:sz w:val="20"/>
                <w:szCs w:val="20"/>
                <w:color w:val="auto"/>
              </w:rPr>
            </w:pPr>
            <w:r>
              <w:rPr>
                <w:rFonts w:ascii="Arial" w:cs="Arial" w:eastAsia="Arial" w:hAnsi="Arial"/>
                <w:sz w:val="13"/>
                <w:szCs w:val="13"/>
                <w:color w:val="auto"/>
              </w:rPr>
              <w:t>2022</w:t>
            </w:r>
          </w:p>
        </w:tc>
        <w:tc>
          <w:tcPr>
            <w:tcW w:w="10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300" w:type="dxa"/>
            <w:vAlign w:val="bottom"/>
          </w:tcPr>
          <w:p>
            <w:pPr>
              <w:jc w:val="right"/>
              <w:spacing w:after="0"/>
              <w:rPr>
                <w:sz w:val="20"/>
                <w:szCs w:val="20"/>
                <w:color w:val="auto"/>
              </w:rPr>
            </w:pPr>
            <w:r>
              <w:rPr>
                <w:rFonts w:ascii="Arial" w:cs="Arial" w:eastAsia="Arial" w:hAnsi="Arial"/>
                <w:sz w:val="13"/>
                <w:szCs w:val="13"/>
                <w:color w:val="auto"/>
              </w:rPr>
              <w:t>749,560</w:t>
            </w:r>
          </w:p>
        </w:tc>
        <w:tc>
          <w:tcPr>
            <w:tcW w:w="100" w:type="dxa"/>
            <w:vAlign w:val="bottom"/>
          </w:tcPr>
          <w:p>
            <w:pPr>
              <w:spacing w:after="0"/>
              <w:rPr>
                <w:sz w:val="13"/>
                <w:szCs w:val="13"/>
                <w:color w:val="auto"/>
              </w:rPr>
            </w:pPr>
          </w:p>
        </w:tc>
      </w:tr>
      <w:tr>
        <w:trPr>
          <w:trHeight w:val="156"/>
        </w:trPr>
        <w:tc>
          <w:tcPr>
            <w:tcW w:w="9500" w:type="dxa"/>
            <w:vAlign w:val="bottom"/>
            <w:shd w:val="clear" w:color="auto" w:fill="CCEEFF"/>
          </w:tcPr>
          <w:p>
            <w:pPr>
              <w:spacing w:after="0"/>
              <w:rPr>
                <w:sz w:val="20"/>
                <w:szCs w:val="20"/>
                <w:color w:val="auto"/>
              </w:rPr>
            </w:pPr>
            <w:r>
              <w:rPr>
                <w:rFonts w:ascii="Arial" w:cs="Arial" w:eastAsia="Arial" w:hAnsi="Arial"/>
                <w:sz w:val="13"/>
                <w:szCs w:val="13"/>
                <w:color w:val="auto"/>
              </w:rPr>
              <w:t>2023</w:t>
            </w:r>
          </w:p>
        </w:tc>
        <w:tc>
          <w:tcPr>
            <w:tcW w:w="100" w:type="dxa"/>
            <w:vAlign w:val="bottom"/>
            <w:shd w:val="clear" w:color="auto" w:fill="CCEEFF"/>
          </w:tcPr>
          <w:p>
            <w:pPr>
              <w:spacing w:after="0"/>
              <w:rPr>
                <w:sz w:val="13"/>
                <w:szCs w:val="13"/>
                <w:color w:val="auto"/>
              </w:rPr>
            </w:pPr>
          </w:p>
        </w:tc>
        <w:tc>
          <w:tcPr>
            <w:tcW w:w="20" w:type="dxa"/>
            <w:vAlign w:val="bottom"/>
            <w:shd w:val="clear" w:color="auto" w:fill="CCEEFF"/>
          </w:tcPr>
          <w:p>
            <w:pPr>
              <w:spacing w:after="0"/>
              <w:rPr>
                <w:sz w:val="13"/>
                <w:szCs w:val="13"/>
                <w:color w:val="auto"/>
              </w:rPr>
            </w:pPr>
          </w:p>
        </w:tc>
        <w:tc>
          <w:tcPr>
            <w:tcW w:w="260" w:type="dxa"/>
            <w:vAlign w:val="bottom"/>
            <w:tcBorders>
              <w:bottom w:val="single" w:sz="8" w:color="auto"/>
            </w:tcBorders>
            <w:shd w:val="clear" w:color="auto" w:fill="CCEEFF"/>
          </w:tcPr>
          <w:p>
            <w:pPr>
              <w:spacing w:after="0"/>
              <w:rPr>
                <w:sz w:val="13"/>
                <w:szCs w:val="13"/>
                <w:color w:val="auto"/>
              </w:rPr>
            </w:pPr>
          </w:p>
        </w:tc>
        <w:tc>
          <w:tcPr>
            <w:tcW w:w="13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506,800</w:t>
            </w:r>
          </w:p>
        </w:tc>
        <w:tc>
          <w:tcPr>
            <w:tcW w:w="100" w:type="dxa"/>
            <w:vAlign w:val="bottom"/>
            <w:shd w:val="clear" w:color="auto" w:fill="CCEEFF"/>
          </w:tcPr>
          <w:p>
            <w:pPr>
              <w:spacing w:after="0"/>
              <w:rPr>
                <w:sz w:val="13"/>
                <w:szCs w:val="13"/>
                <w:color w:val="auto"/>
              </w:rPr>
            </w:pPr>
          </w:p>
        </w:tc>
      </w:tr>
      <w:tr>
        <w:trPr>
          <w:trHeight w:val="156"/>
        </w:trPr>
        <w:tc>
          <w:tcPr>
            <w:tcW w:w="95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20" w:type="dxa"/>
            <w:vAlign w:val="bottom"/>
            <w:tcBorders>
              <w:bottom w:val="single" w:sz="8" w:color="auto"/>
            </w:tcBorders>
          </w:tcPr>
          <w:p>
            <w:pPr>
              <w:spacing w:after="0"/>
              <w:rPr>
                <w:sz w:val="13"/>
                <w:szCs w:val="13"/>
                <w:color w:val="auto"/>
              </w:rPr>
            </w:pPr>
          </w:p>
        </w:tc>
        <w:tc>
          <w:tcPr>
            <w:tcW w:w="260" w:type="dxa"/>
            <w:vAlign w:val="bottom"/>
            <w:tcBorders>
              <w:bottom w:val="single" w:sz="8" w:color="auto"/>
            </w:tcBorders>
          </w:tcPr>
          <w:p>
            <w:pPr>
              <w:jc w:val="right"/>
              <w:ind w:right="151"/>
              <w:spacing w:after="0"/>
              <w:rPr>
                <w:sz w:val="20"/>
                <w:szCs w:val="20"/>
                <w:color w:val="auto"/>
              </w:rPr>
            </w:pPr>
            <w:r>
              <w:rPr>
                <w:rFonts w:ascii="Arial" w:cs="Arial" w:eastAsia="Arial" w:hAnsi="Arial"/>
                <w:sz w:val="10"/>
                <w:szCs w:val="10"/>
                <w:color w:val="auto"/>
                <w:w w:val="71"/>
              </w:rPr>
              <w:t>$</w:t>
            </w:r>
          </w:p>
        </w:tc>
        <w:tc>
          <w:tcPr>
            <w:tcW w:w="1300" w:type="dxa"/>
            <w:vAlign w:val="bottom"/>
            <w:tcBorders>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1,989,960</w:t>
            </w:r>
          </w:p>
        </w:tc>
        <w:tc>
          <w:tcPr>
            <w:tcW w:w="100" w:type="dxa"/>
            <w:vAlign w:val="bottom"/>
          </w:tcPr>
          <w:p>
            <w:pPr>
              <w:spacing w:after="0"/>
              <w:rPr>
                <w:sz w:val="13"/>
                <w:szCs w:val="13"/>
                <w:color w:val="auto"/>
              </w:rPr>
            </w:pPr>
          </w:p>
        </w:tc>
      </w:tr>
    </w:tbl>
    <w:p>
      <w:pPr>
        <w:spacing w:after="0" w:line="148" w:lineRule="exact"/>
        <w:rPr>
          <w:sz w:val="20"/>
          <w:szCs w:val="20"/>
          <w:color w:val="auto"/>
        </w:rPr>
      </w:pPr>
    </w:p>
    <w:p>
      <w:pPr>
        <w:spacing w:after="0"/>
        <w:rPr>
          <w:sz w:val="20"/>
          <w:szCs w:val="20"/>
          <w:color w:val="auto"/>
        </w:rPr>
      </w:pPr>
      <w:r>
        <w:rPr>
          <w:rFonts w:ascii="Arial" w:cs="Arial" w:eastAsia="Arial" w:hAnsi="Arial"/>
          <w:sz w:val="13"/>
          <w:szCs w:val="13"/>
          <w:color w:val="auto"/>
        </w:rPr>
        <w:t>Rent expense totaled $773,452 and $772,239 for the years ended December 31, 2020 and 2019, respectively, included in the Company’s statements of operations.</w:t>
      </w:r>
    </w:p>
    <w:p>
      <w:pPr>
        <w:spacing w:after="0" w:line="320"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3">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89" w:name="page90"/>
    <w:bookmarkEnd w:id="89"/>
    <w:p>
      <w:pPr>
        <w:spacing w:after="0"/>
        <w:rPr>
          <w:sz w:val="20"/>
          <w:szCs w:val="20"/>
          <w:color w:val="auto"/>
        </w:rPr>
      </w:pPr>
      <w:r>
        <w:rPr>
          <w:rFonts w:ascii="Arial" w:cs="Arial" w:eastAsia="Arial" w:hAnsi="Arial"/>
          <w:sz w:val="13"/>
          <w:szCs w:val="13"/>
          <w:b w:val="1"/>
          <w:bCs w:val="1"/>
          <w:i w:val="1"/>
          <w:iCs w:val="1"/>
          <w:color w:val="auto"/>
        </w:rPr>
        <w:t>Legal Matters</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 may be subject to pending legal proceedings and regulatory actions in the ordinary course of business; however, no such claims have been identified as of December 31, 2020 that would have a material adverse effect on the Company’s financial position, results of operations or cash flows.</w:t>
      </w:r>
    </w:p>
    <w:p>
      <w:pPr>
        <w:spacing w:after="0" w:line="128" w:lineRule="exact"/>
        <w:rPr>
          <w:sz w:val="20"/>
          <w:szCs w:val="20"/>
          <w:color w:val="auto"/>
        </w:rPr>
      </w:pPr>
    </w:p>
    <w:p>
      <w:pPr>
        <w:jc w:val="both"/>
        <w:spacing w:after="0" w:line="281" w:lineRule="auto"/>
        <w:rPr>
          <w:sz w:val="20"/>
          <w:szCs w:val="20"/>
          <w:color w:val="auto"/>
        </w:rPr>
      </w:pPr>
      <w:r>
        <w:rPr>
          <w:rFonts w:ascii="Arial" w:cs="Arial" w:eastAsia="Arial" w:hAnsi="Arial"/>
          <w:sz w:val="12"/>
          <w:szCs w:val="12"/>
          <w:color w:val="auto"/>
        </w:rPr>
        <w:t>The Company from time to time enters into contracts that contingently require the Company to indemnify parties against third party claims. These contracts primarily relate to: (i) arrangements with Clients which generally include certain provisions for indemnifying Clients against liabilities if the services infringe a third party’s intellectual property rights, (ii) the Regulation A Issuer Agreement where the Company may be required to indemnify the placement agent for any loss, damage, expense or liability incurred by the other party in any claim arising out of a material breach (or alleged breach) as a result of any potential violation of any law or regulation, or any third party claim arising out of any investment or potential investment in the offering, and (iii) agreements with the Company’s officers and directors, under which the Company may be required to indemnify such persons from certain liabilities arising out of such persons’ relationships with the Company. The Company has not incurred any material costs as a result of such obligations and has not accrued any liabilities related to such obligations in the financial statements at December 31, 2020 and 2019.</w:t>
      </w:r>
    </w:p>
    <w:p>
      <w:pPr>
        <w:spacing w:after="0" w:line="126"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Sales Tax Contingencies</w:t>
      </w:r>
    </w:p>
    <w:p>
      <w:pPr>
        <w:spacing w:after="0" w:line="163" w:lineRule="exact"/>
        <w:rPr>
          <w:sz w:val="20"/>
          <w:szCs w:val="20"/>
          <w:color w:val="auto"/>
        </w:rPr>
      </w:pPr>
    </w:p>
    <w:p>
      <w:pPr>
        <w:jc w:val="both"/>
        <w:spacing w:after="0" w:line="255" w:lineRule="auto"/>
        <w:rPr>
          <w:sz w:val="20"/>
          <w:szCs w:val="20"/>
          <w:color w:val="auto"/>
        </w:rPr>
      </w:pPr>
      <w:r>
        <w:rPr>
          <w:rFonts w:ascii="Arial" w:cs="Arial" w:eastAsia="Arial" w:hAnsi="Arial"/>
          <w:sz w:val="13"/>
          <w:szCs w:val="13"/>
          <w:color w:val="auto"/>
        </w:rPr>
        <w:t>The Company has historically not collected state sales tax on the sale of its Machine-as-a-Service (“MaaS”) product offering but has paid sales tax and use tax on all purchases of raw materials and in conjunction with the Financing Arrangement of the Company’s ASRs with Farnam. The Company’s MaaS product offering may be subject to sales tax in certain jurisdictions. If a taxing authority were to successfully assert that the Company has not properly collected sales or other transaction taxes, or if sales or other transaction tax laws or the interpretation thereof were to change, and the Company was unable to enforce the terms of their contracts with Clients that give the right to reimbursement for the assessed sales taxes, tax liabilities in amounts that could be material may be incurred. Based on the Company’s assessment, the Company has recorded a sales tax liability of $306,269 and $313,406 at December 31, 2020 and 2019, respectively, which has been included on other current liabilities on the accompanying balance sheets. The Company continues to analyze possible sales tax exposure but does not currently believe that any individual claim or aggregate claims that might arise will ultimately have a material effect on its results of operations, financial position or cash flows.</w:t>
      </w:r>
    </w:p>
    <w:p>
      <w:pPr>
        <w:spacing w:after="0" w:line="13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10: Subsequent Events</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color w:val="auto"/>
        </w:rPr>
        <w:t>Management has evaluated subsequent events through October 14, 2021.</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On January 4, 2021, the Company submitted its PPP Loan forgiveness application for $822,851 (see Note 3 - Debt). The PPP Loan of $822,851 and the accrued interest of $8,960 were forgiven by the SBA on May 20, 2021.</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Subsequent to December 31, 2020, the company terminated the 2020 Regulation A Offering on April 21, 2021. The Company issued 2,107,330 shares of Series S Preferred Stock, generating total gross proceeds of approximately $21.1 million.</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On April 20, 2021, the Company entered into a financing partnership with Dimension Funding, LLC under which the Company will offer Clients with the option to finance their MaaS Subscriptions over 12, 24, or 36 months. This financing relationship will enable Knightscope to recoup its costs more quickly, while providing improved payment flexibility to Clients.</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In April 2021, the Company received notice of a Client’s intent not to renew its MaaS agreement for the twelve (12) month subscription period spanning 2021 to 2022. The Client represented over 10% of the Company’s 2020 revenue.</w:t>
      </w:r>
    </w:p>
    <w:p>
      <w:pPr>
        <w:spacing w:after="0" w:line="128"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On July 12, 2021, the Company entered into an engagement agreement with Digital Offering, LLC. The engagement agreement was subsequently superseded and replaced by a new engagement agreement executed on August 27, 2021, and subsequently amended on September 15, 2021, to act as the lead managing selling agent and book runner in connection with a qualified primary offering of Knightscope, Inc. common stock under Regulation A of the Securities Act of 1933, as amended, concurrent with a listing application submission to Nasdaq.</w:t>
      </w:r>
    </w:p>
    <w:p>
      <w:pPr>
        <w:spacing w:after="0" w:line="136" w:lineRule="exact"/>
        <w:rPr>
          <w:sz w:val="20"/>
          <w:szCs w:val="20"/>
          <w:color w:val="auto"/>
        </w:rPr>
      </w:pPr>
    </w:p>
    <w:p>
      <w:pPr>
        <w:jc w:val="both"/>
        <w:spacing w:after="0" w:line="317" w:lineRule="auto"/>
        <w:rPr>
          <w:sz w:val="20"/>
          <w:szCs w:val="20"/>
          <w:color w:val="auto"/>
        </w:rPr>
      </w:pPr>
      <w:r>
        <w:rPr>
          <w:rFonts w:ascii="Arial" w:cs="Arial" w:eastAsia="Arial" w:hAnsi="Arial"/>
          <w:sz w:val="12"/>
          <w:szCs w:val="12"/>
          <w:color w:val="auto"/>
        </w:rPr>
        <w:t>On August 20, 2021, the Company held the final closing and received a disbursement of funds from the Regulation A Offering that terminated on April 21, 2021. In connection with the Regulation A Posting Agreement with StartEngine entered into on June 11, 2020, StartEngine has held back $81,097 as a deposit hold, which is expected to be received by the Company on or about October 21, 2021.</w:t>
      </w:r>
    </w:p>
    <w:p>
      <w:pPr>
        <w:spacing w:after="0" w:line="105"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Subsequent to December 31, 2020 and through October 14, 2021, the Company received $2.0 million in the form of Convertible Notes containing the same terms and conditions as previously issued Convertible Notes and Warrants.</w:t>
      </w:r>
    </w:p>
    <w:p>
      <w:pPr>
        <w:spacing w:after="0" w:line="284"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4">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90" w:name="page91"/>
    <w:bookmarkEnd w:id="90"/>
    <w:p>
      <w:pPr>
        <w:jc w:val="center"/>
        <w:spacing w:after="0"/>
        <w:rPr>
          <w:sz w:val="20"/>
          <w:szCs w:val="20"/>
          <w:color w:val="auto"/>
        </w:rPr>
      </w:pPr>
      <w:r>
        <w:rPr>
          <w:rFonts w:ascii="Arial" w:cs="Arial" w:eastAsia="Arial" w:hAnsi="Arial"/>
          <w:sz w:val="13"/>
          <w:szCs w:val="13"/>
          <w:b w:val="1"/>
          <w:bCs w:val="1"/>
          <w:color w:val="auto"/>
        </w:rPr>
        <w:t>KNIGHTSCOPE, INC.</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CONDENSED BALANCE SHEETS</w:t>
      </w:r>
    </w:p>
    <w:p>
      <w:pPr>
        <w:spacing w:after="0" w:line="152" w:lineRule="exact"/>
        <w:rPr>
          <w:sz w:val="20"/>
          <w:szCs w:val="20"/>
          <w:color w:val="auto"/>
        </w:rPr>
      </w:pPr>
    </w:p>
    <w:tbl>
      <w:tblPr>
        <w:tblLayout w:type="fixed"/>
        <w:tblInd w:w="0" w:type="dxa"/>
        <w:tblCellMar>
          <w:top w:w="0" w:type="dxa"/>
          <w:left w:w="0" w:type="dxa"/>
          <w:bottom w:w="0" w:type="dxa"/>
          <w:right w:w="0" w:type="dxa"/>
        </w:tblCellMar>
      </w:tblPr>
      <w:tr>
        <w:trPr>
          <w:trHeight w:val="156"/>
        </w:trPr>
        <w:tc>
          <w:tcPr>
            <w:tcW w:w="20" w:type="dxa"/>
            <w:vAlign w:val="bottom"/>
          </w:tcPr>
          <w:p>
            <w:pPr>
              <w:spacing w:after="0"/>
              <w:rPr>
                <w:sz w:val="13"/>
                <w:szCs w:val="13"/>
                <w:color w:val="auto"/>
              </w:rPr>
            </w:pPr>
          </w:p>
        </w:tc>
        <w:tc>
          <w:tcPr>
            <w:tcW w:w="83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300" w:type="dxa"/>
            <w:vAlign w:val="bottom"/>
            <w:gridSpan w:val="2"/>
          </w:tcPr>
          <w:p>
            <w:pPr>
              <w:jc w:val="right"/>
              <w:ind w:right="620"/>
              <w:spacing w:after="0"/>
              <w:rPr>
                <w:sz w:val="20"/>
                <w:szCs w:val="20"/>
                <w:color w:val="auto"/>
              </w:rPr>
            </w:pPr>
            <w:r>
              <w:rPr>
                <w:rFonts w:ascii="Arial" w:cs="Arial" w:eastAsia="Arial" w:hAnsi="Arial"/>
                <w:sz w:val="13"/>
                <w:szCs w:val="13"/>
                <w:b w:val="1"/>
                <w:bCs w:val="1"/>
                <w:color w:val="auto"/>
              </w:rPr>
              <w:t>June 30,</w:t>
            </w:r>
          </w:p>
        </w:tc>
        <w:tc>
          <w:tcPr>
            <w:tcW w:w="140" w:type="dxa"/>
            <w:vAlign w:val="bottom"/>
          </w:tcPr>
          <w:p>
            <w:pPr>
              <w:spacing w:after="0"/>
              <w:rPr>
                <w:sz w:val="13"/>
                <w:szCs w:val="13"/>
                <w:color w:val="auto"/>
              </w:rPr>
            </w:pPr>
          </w:p>
        </w:tc>
        <w:tc>
          <w:tcPr>
            <w:tcW w:w="1180" w:type="dxa"/>
            <w:vAlign w:val="bottom"/>
            <w:gridSpan w:val="2"/>
          </w:tcPr>
          <w:p>
            <w:pPr>
              <w:jc w:val="right"/>
              <w:ind w:right="340"/>
              <w:spacing w:after="0"/>
              <w:rPr>
                <w:sz w:val="20"/>
                <w:szCs w:val="20"/>
                <w:color w:val="auto"/>
              </w:rPr>
            </w:pPr>
            <w:r>
              <w:rPr>
                <w:rFonts w:ascii="Arial" w:cs="Arial" w:eastAsia="Arial" w:hAnsi="Arial"/>
                <w:sz w:val="13"/>
                <w:szCs w:val="13"/>
                <w:b w:val="1"/>
                <w:bCs w:val="1"/>
                <w:color w:val="auto"/>
                <w:w w:val="96"/>
              </w:rPr>
              <w:t>December 31,</w:t>
            </w:r>
          </w:p>
        </w:tc>
        <w:tc>
          <w:tcPr>
            <w:tcW w:w="0" w:type="dxa"/>
            <w:vAlign w:val="bottom"/>
          </w:tcPr>
          <w:p>
            <w:pPr>
              <w:spacing w:after="0"/>
              <w:rPr>
                <w:sz w:val="1"/>
                <w:szCs w:val="1"/>
                <w:color w:val="auto"/>
              </w:rPr>
            </w:pPr>
          </w:p>
        </w:tc>
      </w:tr>
      <w:tr>
        <w:trPr>
          <w:trHeight w:val="168"/>
        </w:trPr>
        <w:tc>
          <w:tcPr>
            <w:tcW w:w="20" w:type="dxa"/>
            <w:vAlign w:val="bottom"/>
          </w:tcPr>
          <w:p>
            <w:pPr>
              <w:spacing w:after="0"/>
              <w:rPr>
                <w:sz w:val="14"/>
                <w:szCs w:val="14"/>
                <w:color w:val="auto"/>
              </w:rPr>
            </w:pPr>
          </w:p>
        </w:tc>
        <w:tc>
          <w:tcPr>
            <w:tcW w:w="8340" w:type="dxa"/>
            <w:vAlign w:val="bottom"/>
            <w:tcBorders>
              <w:bottom w:val="single" w:sz="8" w:color="CCEEFF"/>
            </w:tcBorders>
          </w:tcPr>
          <w:p>
            <w:pPr>
              <w:spacing w:after="0"/>
              <w:rPr>
                <w:sz w:val="14"/>
                <w:szCs w:val="14"/>
                <w:color w:val="auto"/>
              </w:rPr>
            </w:pPr>
          </w:p>
        </w:tc>
        <w:tc>
          <w:tcPr>
            <w:tcW w:w="120" w:type="dxa"/>
            <w:vAlign w:val="bottom"/>
            <w:tcBorders>
              <w:bottom w:val="single" w:sz="8" w:color="CCEEFF"/>
            </w:tcBorders>
          </w:tcPr>
          <w:p>
            <w:pPr>
              <w:spacing w:after="0"/>
              <w:rPr>
                <w:sz w:val="14"/>
                <w:szCs w:val="14"/>
                <w:color w:val="auto"/>
              </w:rPr>
            </w:pPr>
          </w:p>
        </w:tc>
        <w:tc>
          <w:tcPr>
            <w:tcW w:w="180" w:type="dxa"/>
            <w:vAlign w:val="bottom"/>
            <w:tcBorders>
              <w:bottom w:val="single" w:sz="8" w:color="auto"/>
            </w:tcBorders>
          </w:tcPr>
          <w:p>
            <w:pPr>
              <w:spacing w:after="0"/>
              <w:rPr>
                <w:sz w:val="14"/>
                <w:szCs w:val="14"/>
                <w:color w:val="auto"/>
              </w:rPr>
            </w:pPr>
          </w:p>
        </w:tc>
        <w:tc>
          <w:tcPr>
            <w:tcW w:w="106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240" w:type="dxa"/>
            <w:vAlign w:val="bottom"/>
            <w:tcBorders>
              <w:bottom w:val="single" w:sz="8" w:color="CCEEFF"/>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100" w:type="dxa"/>
            <w:vAlign w:val="bottom"/>
            <w:tcBorders>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2020</w:t>
            </w:r>
          </w:p>
        </w:tc>
        <w:tc>
          <w:tcPr>
            <w:tcW w:w="80" w:type="dxa"/>
            <w:vAlign w:val="bottom"/>
            <w:tcBorders>
              <w:bottom w:val="single" w:sz="8" w:color="CCEEFF"/>
            </w:tcBorders>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8340" w:type="dxa"/>
            <w:vAlign w:val="bottom"/>
            <w:shd w:val="clear" w:color="auto" w:fill="CCEEFF"/>
          </w:tcPr>
          <w:p>
            <w:pPr>
              <w:spacing w:after="0" w:line="148" w:lineRule="exact"/>
              <w:rPr>
                <w:sz w:val="20"/>
                <w:szCs w:val="20"/>
                <w:color w:val="auto"/>
              </w:rPr>
            </w:pPr>
            <w:r>
              <w:rPr>
                <w:rFonts w:ascii="Arial" w:cs="Arial" w:eastAsia="Arial" w:hAnsi="Arial"/>
                <w:sz w:val="13"/>
                <w:szCs w:val="13"/>
                <w:b w:val="1"/>
                <w:bCs w:val="1"/>
                <w:color w:val="auto"/>
              </w:rPr>
              <w:t>ASSETS</w:t>
            </w:r>
          </w:p>
        </w:tc>
        <w:tc>
          <w:tcPr>
            <w:tcW w:w="120" w:type="dxa"/>
            <w:vAlign w:val="bottom"/>
            <w:shd w:val="clear" w:color="auto" w:fill="CCEEFF"/>
          </w:tcPr>
          <w:p>
            <w:pPr>
              <w:spacing w:after="0"/>
              <w:rPr>
                <w:sz w:val="12"/>
                <w:szCs w:val="12"/>
                <w:color w:val="auto"/>
              </w:rPr>
            </w:pPr>
          </w:p>
        </w:tc>
        <w:tc>
          <w:tcPr>
            <w:tcW w:w="180" w:type="dxa"/>
            <w:vAlign w:val="bottom"/>
            <w:shd w:val="clear" w:color="auto" w:fill="CCEEFF"/>
          </w:tcPr>
          <w:p>
            <w:pPr>
              <w:spacing w:after="0"/>
              <w:rPr>
                <w:sz w:val="12"/>
                <w:szCs w:val="12"/>
                <w:color w:val="auto"/>
              </w:rPr>
            </w:pPr>
          </w:p>
        </w:tc>
        <w:tc>
          <w:tcPr>
            <w:tcW w:w="1060" w:type="dxa"/>
            <w:vAlign w:val="bottom"/>
            <w:shd w:val="clear" w:color="auto" w:fill="CCEEFF"/>
          </w:tcPr>
          <w:p>
            <w:pPr>
              <w:jc w:val="right"/>
              <w:ind w:right="255"/>
              <w:spacing w:after="0" w:line="148" w:lineRule="exact"/>
              <w:rPr>
                <w:sz w:val="20"/>
                <w:szCs w:val="20"/>
                <w:color w:val="auto"/>
              </w:rPr>
            </w:pPr>
            <w:r>
              <w:rPr>
                <w:rFonts w:ascii="Arial" w:cs="Arial" w:eastAsia="Arial" w:hAnsi="Arial"/>
                <w:sz w:val="13"/>
                <w:szCs w:val="13"/>
                <w:color w:val="auto"/>
              </w:rPr>
              <w:t>(Unaudited)</w:t>
            </w:r>
          </w:p>
        </w:tc>
        <w:tc>
          <w:tcPr>
            <w:tcW w:w="24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100" w:type="dxa"/>
            <w:vAlign w:val="bottom"/>
            <w:tcBorders>
              <w:right w:val="single" w:sz="8" w:color="CCEEFF"/>
            </w:tcBorders>
            <w:shd w:val="clear" w:color="auto" w:fill="CCEEFF"/>
          </w:tcPr>
          <w:p>
            <w:pPr>
              <w:jc w:val="right"/>
              <w:ind w:right="435"/>
              <w:spacing w:after="0" w:line="148" w:lineRule="exact"/>
              <w:rPr>
                <w:sz w:val="20"/>
                <w:szCs w:val="20"/>
                <w:color w:val="auto"/>
              </w:rPr>
            </w:pPr>
            <w:r>
              <w:rPr>
                <w:rFonts w:ascii="Arial" w:cs="Arial" w:eastAsia="Arial" w:hAnsi="Arial"/>
                <w:sz w:val="13"/>
                <w:szCs w:val="13"/>
                <w:color w:val="auto"/>
              </w:rPr>
              <w:t>(1)</w:t>
            </w:r>
          </w:p>
        </w:tc>
        <w:tc>
          <w:tcPr>
            <w:tcW w:w="8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100"/>
              <w:spacing w:after="0"/>
              <w:rPr>
                <w:sz w:val="20"/>
                <w:szCs w:val="20"/>
                <w:color w:val="auto"/>
              </w:rPr>
            </w:pPr>
            <w:r>
              <w:rPr>
                <w:rFonts w:ascii="Arial" w:cs="Arial" w:eastAsia="Arial" w:hAnsi="Arial"/>
                <w:sz w:val="13"/>
                <w:szCs w:val="13"/>
                <w:color w:val="auto"/>
              </w:rPr>
              <w:t>Current assets:</w:t>
            </w: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0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1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Cash and cash equivalents</w:t>
            </w:r>
          </w:p>
        </w:tc>
        <w:tc>
          <w:tcPr>
            <w:tcW w:w="300" w:type="dxa"/>
            <w:vAlign w:val="bottom"/>
            <w:gridSpan w:val="2"/>
            <w:shd w:val="clear" w:color="auto" w:fill="CCEEFF"/>
          </w:tcPr>
          <w:p>
            <w:pPr>
              <w:jc w:val="right"/>
              <w:ind w:right="120"/>
              <w:spacing w:after="0"/>
              <w:rPr>
                <w:sz w:val="20"/>
                <w:szCs w:val="20"/>
                <w:color w:val="auto"/>
              </w:rPr>
            </w:pPr>
            <w:r>
              <w:rPr>
                <w:rFonts w:ascii="Arial" w:cs="Arial" w:eastAsia="Arial" w:hAnsi="Arial"/>
                <w:sz w:val="13"/>
                <w:szCs w:val="13"/>
                <w:color w:val="auto"/>
              </w:rPr>
              <w:t>$</w:t>
            </w:r>
          </w:p>
        </w:tc>
        <w:tc>
          <w:tcPr>
            <w:tcW w:w="130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11,993,086</w:t>
            </w:r>
          </w:p>
        </w:tc>
        <w:tc>
          <w:tcPr>
            <w:tcW w:w="140" w:type="dxa"/>
            <w:vAlign w:val="bottom"/>
            <w:shd w:val="clear" w:color="auto" w:fill="CCEEFF"/>
          </w:tcPr>
          <w:p>
            <w:pPr>
              <w:jc w:val="right"/>
              <w:ind w:right="31"/>
              <w:spacing w:after="0"/>
              <w:rPr>
                <w:sz w:val="20"/>
                <w:szCs w:val="20"/>
                <w:color w:val="auto"/>
              </w:rPr>
            </w:pPr>
            <w:r>
              <w:rPr>
                <w:rFonts w:ascii="Arial" w:cs="Arial" w:eastAsia="Arial" w:hAnsi="Arial"/>
                <w:sz w:val="10"/>
                <w:szCs w:val="10"/>
                <w:color w:val="auto"/>
                <w:w w:val="71"/>
              </w:rPr>
              <w:t>$</w:t>
            </w: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7,056,597</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Restricted cash</w:t>
            </w: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100,000</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100,000</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Accounts receivable, net</w:t>
            </w:r>
          </w:p>
        </w:tc>
        <w:tc>
          <w:tcPr>
            <w:tcW w:w="12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130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760,759</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874,354</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Prepaid expenses and other current assets</w:t>
            </w: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710,619</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756,617</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Borders>
              <w:top w:val="single" w:sz="8" w:color="CCEEFF"/>
            </w:tcBorders>
            <w:shd w:val="clear" w:color="auto" w:fill="CCEEFF"/>
          </w:tcPr>
          <w:p>
            <w:pPr>
              <w:ind w:left="340"/>
              <w:spacing w:after="0" w:line="145" w:lineRule="exact"/>
              <w:rPr>
                <w:sz w:val="20"/>
                <w:szCs w:val="20"/>
                <w:color w:val="auto"/>
              </w:rPr>
            </w:pPr>
            <w:r>
              <w:rPr>
                <w:rFonts w:ascii="Arial" w:cs="Arial" w:eastAsia="Arial" w:hAnsi="Arial"/>
                <w:sz w:val="13"/>
                <w:szCs w:val="13"/>
                <w:color w:val="auto"/>
              </w:rPr>
              <w:t>Total current assets</w:t>
            </w:r>
          </w:p>
        </w:tc>
        <w:tc>
          <w:tcPr>
            <w:tcW w:w="120" w:type="dxa"/>
            <w:vAlign w:val="bottom"/>
            <w:tcBorders>
              <w:top w:val="single" w:sz="8" w:color="CCEEFF"/>
            </w:tcBorders>
            <w:shd w:val="clear" w:color="auto" w:fill="CCEEFF"/>
          </w:tcPr>
          <w:p>
            <w:pPr>
              <w:spacing w:after="0"/>
              <w:rPr>
                <w:sz w:val="12"/>
                <w:szCs w:val="12"/>
                <w:color w:val="auto"/>
              </w:rPr>
            </w:pPr>
          </w:p>
        </w:tc>
        <w:tc>
          <w:tcPr>
            <w:tcW w:w="180" w:type="dxa"/>
            <w:vAlign w:val="bottom"/>
            <w:tcBorders>
              <w:top w:val="single" w:sz="8" w:color="auto"/>
              <w:bottom w:val="single" w:sz="8" w:color="auto"/>
            </w:tcBorders>
            <w:shd w:val="clear" w:color="auto" w:fill="CCEEFF"/>
          </w:tcPr>
          <w:p>
            <w:pPr>
              <w:spacing w:after="0"/>
              <w:rPr>
                <w:sz w:val="12"/>
                <w:szCs w:val="12"/>
                <w:color w:val="auto"/>
              </w:rPr>
            </w:pPr>
          </w:p>
        </w:tc>
        <w:tc>
          <w:tcPr>
            <w:tcW w:w="10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13,564,464</w:t>
            </w:r>
          </w:p>
        </w:tc>
        <w:tc>
          <w:tcPr>
            <w:tcW w:w="24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bottom w:val="single" w:sz="8" w:color="auto"/>
            </w:tcBorders>
            <w:shd w:val="clear" w:color="auto" w:fill="CCEEFF"/>
          </w:tcPr>
          <w:p>
            <w:pPr>
              <w:spacing w:after="0"/>
              <w:rPr>
                <w:sz w:val="12"/>
                <w:szCs w:val="12"/>
                <w:color w:val="auto"/>
              </w:rPr>
            </w:pPr>
          </w:p>
        </w:tc>
        <w:tc>
          <w:tcPr>
            <w:tcW w:w="1100" w:type="dxa"/>
            <w:vAlign w:val="bottom"/>
            <w:tcBorders>
              <w:top w:val="single" w:sz="8" w:color="auto"/>
              <w:bottom w:val="single" w:sz="8" w:color="auto"/>
              <w:right w:val="single" w:sz="8" w:color="CCEEFF"/>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8,787,568</w:t>
            </w:r>
          </w:p>
        </w:tc>
        <w:tc>
          <w:tcPr>
            <w:tcW w:w="8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0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100"/>
              <w:spacing w:after="0"/>
              <w:rPr>
                <w:sz w:val="20"/>
                <w:szCs w:val="20"/>
                <w:color w:val="auto"/>
              </w:rPr>
            </w:pPr>
            <w:r>
              <w:rPr>
                <w:rFonts w:ascii="Arial" w:cs="Arial" w:eastAsia="Arial" w:hAnsi="Arial"/>
                <w:sz w:val="13"/>
                <w:szCs w:val="13"/>
                <w:color w:val="auto"/>
              </w:rPr>
              <w:t>Non-current assets:</w:t>
            </w:r>
          </w:p>
        </w:tc>
        <w:tc>
          <w:tcPr>
            <w:tcW w:w="12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106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Autonomous Security Robots, net</w:t>
            </w: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2,465,763</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2,290,430</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Property, equipment and software, net</w:t>
            </w:r>
          </w:p>
        </w:tc>
        <w:tc>
          <w:tcPr>
            <w:tcW w:w="12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130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16,853</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21,903</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Operating lease right-of-use-assets</w:t>
            </w: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1,358,991</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1,624,191</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Other assets</w:t>
            </w:r>
          </w:p>
        </w:tc>
        <w:tc>
          <w:tcPr>
            <w:tcW w:w="12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130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77,650</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219,642</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Borders>
              <w:bottom w:val="single" w:sz="8" w:color="CCEEFF"/>
            </w:tcBorders>
          </w:tcPr>
          <w:p>
            <w:pPr>
              <w:ind w:left="340"/>
              <w:spacing w:after="0" w:line="145" w:lineRule="exact"/>
              <w:rPr>
                <w:sz w:val="20"/>
                <w:szCs w:val="20"/>
                <w:color w:val="auto"/>
              </w:rPr>
            </w:pPr>
            <w:r>
              <w:rPr>
                <w:rFonts w:ascii="Arial" w:cs="Arial" w:eastAsia="Arial" w:hAnsi="Arial"/>
                <w:sz w:val="13"/>
                <w:szCs w:val="13"/>
                <w:color w:val="auto"/>
              </w:rPr>
              <w:t>Total non-current assets</w:t>
            </w:r>
          </w:p>
        </w:tc>
        <w:tc>
          <w:tcPr>
            <w:tcW w:w="120" w:type="dxa"/>
            <w:vAlign w:val="bottom"/>
            <w:tcBorders>
              <w:bottom w:val="single" w:sz="8" w:color="CCEEFF"/>
            </w:tcBorders>
          </w:tcPr>
          <w:p>
            <w:pPr>
              <w:spacing w:after="0"/>
              <w:rPr>
                <w:sz w:val="12"/>
                <w:szCs w:val="12"/>
                <w:color w:val="auto"/>
              </w:rPr>
            </w:pPr>
          </w:p>
        </w:tc>
        <w:tc>
          <w:tcPr>
            <w:tcW w:w="180" w:type="dxa"/>
            <w:vAlign w:val="bottom"/>
            <w:tcBorders>
              <w:top w:val="single" w:sz="8" w:color="auto"/>
              <w:bottom w:val="single" w:sz="8" w:color="auto"/>
            </w:tcBorders>
          </w:tcPr>
          <w:p>
            <w:pPr>
              <w:spacing w:after="0"/>
              <w:rPr>
                <w:sz w:val="12"/>
                <w:szCs w:val="12"/>
                <w:color w:val="auto"/>
              </w:rPr>
            </w:pPr>
          </w:p>
        </w:tc>
        <w:tc>
          <w:tcPr>
            <w:tcW w:w="10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3,919,257</w:t>
            </w:r>
          </w:p>
        </w:tc>
        <w:tc>
          <w:tcPr>
            <w:tcW w:w="240" w:type="dxa"/>
            <w:vAlign w:val="bottom"/>
            <w:tcBorders>
              <w:bottom w:val="single" w:sz="8" w:color="CCEEFF"/>
            </w:tcBorders>
          </w:tcPr>
          <w:p>
            <w:pPr>
              <w:spacing w:after="0"/>
              <w:rPr>
                <w:sz w:val="12"/>
                <w:szCs w:val="12"/>
                <w:color w:val="auto"/>
              </w:rPr>
            </w:pPr>
          </w:p>
        </w:tc>
        <w:tc>
          <w:tcPr>
            <w:tcW w:w="140" w:type="dxa"/>
            <w:vAlign w:val="bottom"/>
            <w:tcBorders>
              <w:top w:val="single" w:sz="8" w:color="auto"/>
              <w:bottom w:val="single" w:sz="8" w:color="auto"/>
            </w:tcBorders>
          </w:tcPr>
          <w:p>
            <w:pPr>
              <w:spacing w:after="0"/>
              <w:rPr>
                <w:sz w:val="12"/>
                <w:szCs w:val="12"/>
                <w:color w:val="auto"/>
              </w:rPr>
            </w:pPr>
          </w:p>
        </w:tc>
        <w:tc>
          <w:tcPr>
            <w:tcW w:w="110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4,156,166</w:t>
            </w:r>
          </w:p>
        </w:tc>
        <w:tc>
          <w:tcPr>
            <w:tcW w:w="80" w:type="dxa"/>
            <w:vAlign w:val="bottom"/>
            <w:tcBorders>
              <w:bottom w:val="single" w:sz="8" w:color="CCEEFF"/>
            </w:tcBorders>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80" w:type="dxa"/>
            <w:vAlign w:val="bottom"/>
            <w:shd w:val="clear" w:color="auto" w:fill="CCEEFF"/>
          </w:tcPr>
          <w:p>
            <w:pPr>
              <w:spacing w:after="0"/>
              <w:rPr>
                <w:sz w:val="12"/>
                <w:szCs w:val="12"/>
                <w:color w:val="auto"/>
              </w:rPr>
            </w:pPr>
          </w:p>
        </w:tc>
        <w:tc>
          <w:tcPr>
            <w:tcW w:w="106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100" w:type="dxa"/>
            <w:vAlign w:val="bottom"/>
            <w:tcBorders>
              <w:right w:val="single" w:sz="8" w:color="CCEEFF"/>
            </w:tcBorders>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8340" w:type="dxa"/>
            <w:vAlign w:val="bottom"/>
          </w:tcPr>
          <w:p>
            <w:pPr>
              <w:ind w:left="340"/>
              <w:spacing w:after="0"/>
              <w:rPr>
                <w:sz w:val="20"/>
                <w:szCs w:val="20"/>
                <w:color w:val="auto"/>
              </w:rPr>
            </w:pPr>
            <w:r>
              <w:rPr>
                <w:rFonts w:ascii="Arial" w:cs="Arial" w:eastAsia="Arial" w:hAnsi="Arial"/>
                <w:sz w:val="13"/>
                <w:szCs w:val="13"/>
                <w:color w:val="auto"/>
              </w:rPr>
              <w:t>Total assets</w:t>
            </w:r>
          </w:p>
        </w:tc>
        <w:tc>
          <w:tcPr>
            <w:tcW w:w="30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17,483,721</w:t>
            </w:r>
          </w:p>
        </w:tc>
        <w:tc>
          <w:tcPr>
            <w:tcW w:w="140" w:type="dxa"/>
            <w:vAlign w:val="bottom"/>
          </w:tcPr>
          <w:p>
            <w:pPr>
              <w:jc w:val="right"/>
              <w:ind w:right="31"/>
              <w:spacing w:after="0"/>
              <w:rPr>
                <w:sz w:val="20"/>
                <w:szCs w:val="20"/>
                <w:color w:val="auto"/>
              </w:rPr>
            </w:pPr>
            <w:r>
              <w:rPr>
                <w:rFonts w:ascii="Arial" w:cs="Arial" w:eastAsia="Arial" w:hAnsi="Arial"/>
                <w:sz w:val="10"/>
                <w:szCs w:val="10"/>
                <w:color w:val="auto"/>
                <w:w w:val="71"/>
              </w:rPr>
              <w:t>$</w:t>
            </w:r>
          </w:p>
        </w:tc>
        <w:tc>
          <w:tcPr>
            <w:tcW w:w="1100" w:type="dxa"/>
            <w:vAlign w:val="bottom"/>
          </w:tcPr>
          <w:p>
            <w:pPr>
              <w:jc w:val="right"/>
              <w:spacing w:after="0"/>
              <w:rPr>
                <w:sz w:val="20"/>
                <w:szCs w:val="20"/>
                <w:color w:val="auto"/>
              </w:rPr>
            </w:pPr>
            <w:r>
              <w:rPr>
                <w:rFonts w:ascii="Arial" w:cs="Arial" w:eastAsia="Arial" w:hAnsi="Arial"/>
                <w:sz w:val="13"/>
                <w:szCs w:val="13"/>
                <w:color w:val="auto"/>
              </w:rPr>
              <w:t>12,943,734</w:t>
            </w: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8340" w:type="dxa"/>
            <w:vAlign w:val="bottom"/>
            <w:tcBorders>
              <w:top w:val="single" w:sz="8" w:color="CCEEFF"/>
            </w:tcBorders>
            <w:shd w:val="clear" w:color="auto" w:fill="CCEEFF"/>
          </w:tcPr>
          <w:p>
            <w:pPr>
              <w:spacing w:after="0"/>
              <w:rPr>
                <w:sz w:val="13"/>
                <w:szCs w:val="13"/>
                <w:color w:val="auto"/>
              </w:rPr>
            </w:pPr>
          </w:p>
        </w:tc>
        <w:tc>
          <w:tcPr>
            <w:tcW w:w="120" w:type="dxa"/>
            <w:vAlign w:val="bottom"/>
            <w:tcBorders>
              <w:top w:val="single" w:sz="8" w:color="CCEEFF"/>
            </w:tcBorders>
            <w:shd w:val="clear" w:color="auto" w:fill="CCEEFF"/>
          </w:tcPr>
          <w:p>
            <w:pPr>
              <w:spacing w:after="0"/>
              <w:rPr>
                <w:sz w:val="13"/>
                <w:szCs w:val="13"/>
                <w:color w:val="auto"/>
              </w:rPr>
            </w:pPr>
          </w:p>
        </w:tc>
        <w:tc>
          <w:tcPr>
            <w:tcW w:w="180" w:type="dxa"/>
            <w:vAlign w:val="bottom"/>
            <w:tcBorders>
              <w:top w:val="single" w:sz="8" w:color="auto"/>
            </w:tcBorders>
            <w:shd w:val="clear" w:color="auto" w:fill="CCEEFF"/>
          </w:tcPr>
          <w:p>
            <w:pPr>
              <w:spacing w:after="0"/>
              <w:rPr>
                <w:sz w:val="13"/>
                <w:szCs w:val="13"/>
                <w:color w:val="auto"/>
              </w:rPr>
            </w:pPr>
          </w:p>
        </w:tc>
        <w:tc>
          <w:tcPr>
            <w:tcW w:w="1060" w:type="dxa"/>
            <w:vAlign w:val="bottom"/>
            <w:tcBorders>
              <w:top w:val="single" w:sz="8" w:color="auto"/>
            </w:tcBorders>
            <w:shd w:val="clear" w:color="auto" w:fill="CCEEFF"/>
          </w:tcPr>
          <w:p>
            <w:pPr>
              <w:spacing w:after="0"/>
              <w:rPr>
                <w:sz w:val="13"/>
                <w:szCs w:val="13"/>
                <w:color w:val="auto"/>
              </w:rPr>
            </w:pPr>
          </w:p>
        </w:tc>
        <w:tc>
          <w:tcPr>
            <w:tcW w:w="240" w:type="dxa"/>
            <w:vAlign w:val="bottom"/>
            <w:tcBorders>
              <w:top w:val="single" w:sz="8" w:color="CCEEFF"/>
            </w:tcBorders>
            <w:shd w:val="clear" w:color="auto" w:fill="CCEEFF"/>
          </w:tcPr>
          <w:p>
            <w:pPr>
              <w:spacing w:after="0"/>
              <w:rPr>
                <w:sz w:val="13"/>
                <w:szCs w:val="13"/>
                <w:color w:val="auto"/>
              </w:rPr>
            </w:pPr>
          </w:p>
        </w:tc>
        <w:tc>
          <w:tcPr>
            <w:tcW w:w="140" w:type="dxa"/>
            <w:vAlign w:val="bottom"/>
            <w:tcBorders>
              <w:top w:val="single" w:sz="8" w:color="auto"/>
            </w:tcBorders>
            <w:shd w:val="clear" w:color="auto" w:fill="CCEEFF"/>
          </w:tcPr>
          <w:p>
            <w:pPr>
              <w:spacing w:after="0"/>
              <w:rPr>
                <w:sz w:val="13"/>
                <w:szCs w:val="13"/>
                <w:color w:val="auto"/>
              </w:rPr>
            </w:pPr>
          </w:p>
        </w:tc>
        <w:tc>
          <w:tcPr>
            <w:tcW w:w="1100" w:type="dxa"/>
            <w:vAlign w:val="bottom"/>
            <w:tcBorders>
              <w:top w:val="single" w:sz="8" w:color="auto"/>
              <w:right w:val="single" w:sz="8" w:color="CCEEFF"/>
            </w:tcBorders>
            <w:shd w:val="clear" w:color="auto" w:fill="CCEEFF"/>
          </w:tcPr>
          <w:p>
            <w:pPr>
              <w:spacing w:after="0"/>
              <w:rPr>
                <w:sz w:val="13"/>
                <w:szCs w:val="13"/>
                <w:color w:val="auto"/>
              </w:rPr>
            </w:pPr>
          </w:p>
        </w:tc>
        <w:tc>
          <w:tcPr>
            <w:tcW w:w="80" w:type="dxa"/>
            <w:vAlign w:val="bottom"/>
            <w:tcBorders>
              <w:top w:val="single" w:sz="8" w:color="CCEEFF"/>
            </w:tcBorders>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8340" w:type="dxa"/>
            <w:vAlign w:val="bottom"/>
          </w:tcPr>
          <w:p>
            <w:pPr>
              <w:spacing w:after="0"/>
              <w:rPr>
                <w:sz w:val="20"/>
                <w:szCs w:val="20"/>
                <w:color w:val="auto"/>
              </w:rPr>
            </w:pPr>
            <w:r>
              <w:rPr>
                <w:rFonts w:ascii="Arial" w:cs="Arial" w:eastAsia="Arial" w:hAnsi="Arial"/>
                <w:sz w:val="13"/>
                <w:szCs w:val="13"/>
                <w:b w:val="1"/>
                <w:bCs w:val="1"/>
                <w:color w:val="auto"/>
              </w:rPr>
              <w:t>LIABILITIES, PREFERRED STOCK AND STOCKHOLDERS’ DEFICIT</w:t>
            </w: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0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1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100"/>
              <w:spacing w:after="0"/>
              <w:rPr>
                <w:sz w:val="20"/>
                <w:szCs w:val="20"/>
                <w:color w:val="auto"/>
              </w:rPr>
            </w:pPr>
            <w:r>
              <w:rPr>
                <w:rFonts w:ascii="Arial" w:cs="Arial" w:eastAsia="Arial" w:hAnsi="Arial"/>
                <w:sz w:val="13"/>
                <w:szCs w:val="13"/>
                <w:color w:val="auto"/>
              </w:rPr>
              <w:t>Current liabilities:</w:t>
            </w:r>
          </w:p>
        </w:tc>
        <w:tc>
          <w:tcPr>
            <w:tcW w:w="12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106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Accounts payable</w:t>
            </w:r>
          </w:p>
        </w:tc>
        <w:tc>
          <w:tcPr>
            <w:tcW w:w="30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493,953</w:t>
            </w:r>
          </w:p>
        </w:tc>
        <w:tc>
          <w:tcPr>
            <w:tcW w:w="140" w:type="dxa"/>
            <w:vAlign w:val="bottom"/>
          </w:tcPr>
          <w:p>
            <w:pPr>
              <w:jc w:val="right"/>
              <w:ind w:right="31"/>
              <w:spacing w:after="0"/>
              <w:rPr>
                <w:sz w:val="20"/>
                <w:szCs w:val="20"/>
                <w:color w:val="auto"/>
              </w:rPr>
            </w:pPr>
            <w:r>
              <w:rPr>
                <w:rFonts w:ascii="Arial" w:cs="Arial" w:eastAsia="Arial" w:hAnsi="Arial"/>
                <w:sz w:val="10"/>
                <w:szCs w:val="10"/>
                <w:color w:val="auto"/>
                <w:w w:val="71"/>
              </w:rPr>
              <w:t>$</w:t>
            </w:r>
          </w:p>
        </w:tc>
        <w:tc>
          <w:tcPr>
            <w:tcW w:w="1100" w:type="dxa"/>
            <w:vAlign w:val="bottom"/>
          </w:tcPr>
          <w:p>
            <w:pPr>
              <w:jc w:val="right"/>
              <w:spacing w:after="0"/>
              <w:rPr>
                <w:sz w:val="20"/>
                <w:szCs w:val="20"/>
                <w:color w:val="auto"/>
              </w:rPr>
            </w:pPr>
            <w:r>
              <w:rPr>
                <w:rFonts w:ascii="Arial" w:cs="Arial" w:eastAsia="Arial" w:hAnsi="Arial"/>
                <w:sz w:val="13"/>
                <w:szCs w:val="13"/>
                <w:color w:val="auto"/>
              </w:rPr>
              <w:t>231,526</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Accrued expenses</w:t>
            </w:r>
          </w:p>
        </w:tc>
        <w:tc>
          <w:tcPr>
            <w:tcW w:w="12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130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446,673</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864,445</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Deferred revenue</w:t>
            </w: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318,042</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521,585</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Debt obligations</w:t>
            </w:r>
          </w:p>
        </w:tc>
        <w:tc>
          <w:tcPr>
            <w:tcW w:w="12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130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4,893,935</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Operating lease liabilities</w:t>
            </w: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602,997</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560,342</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Preferred stock warrant liability</w:t>
            </w:r>
          </w:p>
        </w:tc>
        <w:tc>
          <w:tcPr>
            <w:tcW w:w="12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130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12,964,904</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Other current liabilities</w:t>
            </w: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471,089</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460,388</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Borders>
              <w:top w:val="single" w:sz="8" w:color="CCEEFF"/>
            </w:tcBorders>
            <w:shd w:val="clear" w:color="auto" w:fill="CCEEFF"/>
          </w:tcPr>
          <w:p>
            <w:pPr>
              <w:ind w:left="340"/>
              <w:spacing w:after="0" w:line="145" w:lineRule="exact"/>
              <w:rPr>
                <w:sz w:val="20"/>
                <w:szCs w:val="20"/>
                <w:color w:val="auto"/>
              </w:rPr>
            </w:pPr>
            <w:r>
              <w:rPr>
                <w:rFonts w:ascii="Arial" w:cs="Arial" w:eastAsia="Arial" w:hAnsi="Arial"/>
                <w:sz w:val="13"/>
                <w:szCs w:val="13"/>
                <w:color w:val="auto"/>
              </w:rPr>
              <w:t>Total current liabilities</w:t>
            </w:r>
          </w:p>
        </w:tc>
        <w:tc>
          <w:tcPr>
            <w:tcW w:w="120" w:type="dxa"/>
            <w:vAlign w:val="bottom"/>
            <w:tcBorders>
              <w:top w:val="single" w:sz="8" w:color="CCEEFF"/>
            </w:tcBorders>
            <w:shd w:val="clear" w:color="auto" w:fill="CCEEFF"/>
          </w:tcPr>
          <w:p>
            <w:pPr>
              <w:spacing w:after="0"/>
              <w:rPr>
                <w:sz w:val="12"/>
                <w:szCs w:val="12"/>
                <w:color w:val="auto"/>
              </w:rPr>
            </w:pPr>
          </w:p>
        </w:tc>
        <w:tc>
          <w:tcPr>
            <w:tcW w:w="180" w:type="dxa"/>
            <w:vAlign w:val="bottom"/>
            <w:tcBorders>
              <w:top w:val="single" w:sz="8" w:color="auto"/>
              <w:bottom w:val="single" w:sz="8" w:color="auto"/>
            </w:tcBorders>
            <w:shd w:val="clear" w:color="auto" w:fill="CCEEFF"/>
          </w:tcPr>
          <w:p>
            <w:pPr>
              <w:spacing w:after="0"/>
              <w:rPr>
                <w:sz w:val="12"/>
                <w:szCs w:val="12"/>
                <w:color w:val="auto"/>
              </w:rPr>
            </w:pPr>
          </w:p>
        </w:tc>
        <w:tc>
          <w:tcPr>
            <w:tcW w:w="10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20,191,593</w:t>
            </w:r>
          </w:p>
        </w:tc>
        <w:tc>
          <w:tcPr>
            <w:tcW w:w="24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bottom w:val="single" w:sz="8" w:color="auto"/>
            </w:tcBorders>
            <w:shd w:val="clear" w:color="auto" w:fill="CCEEFF"/>
          </w:tcPr>
          <w:p>
            <w:pPr>
              <w:spacing w:after="0"/>
              <w:rPr>
                <w:sz w:val="12"/>
                <w:szCs w:val="12"/>
                <w:color w:val="auto"/>
              </w:rPr>
            </w:pPr>
          </w:p>
        </w:tc>
        <w:tc>
          <w:tcPr>
            <w:tcW w:w="1100" w:type="dxa"/>
            <w:vAlign w:val="bottom"/>
            <w:tcBorders>
              <w:top w:val="single" w:sz="8" w:color="auto"/>
              <w:bottom w:val="single" w:sz="8" w:color="auto"/>
              <w:right w:val="single" w:sz="8" w:color="CCEEFF"/>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2,638,286</w:t>
            </w:r>
          </w:p>
        </w:tc>
        <w:tc>
          <w:tcPr>
            <w:tcW w:w="8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0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100"/>
              <w:spacing w:after="0"/>
              <w:rPr>
                <w:sz w:val="20"/>
                <w:szCs w:val="20"/>
                <w:color w:val="auto"/>
              </w:rPr>
            </w:pPr>
            <w:r>
              <w:rPr>
                <w:rFonts w:ascii="Arial" w:cs="Arial" w:eastAsia="Arial" w:hAnsi="Arial"/>
                <w:sz w:val="13"/>
                <w:szCs w:val="13"/>
                <w:color w:val="auto"/>
              </w:rPr>
              <w:t>Non-current liabilities:</w:t>
            </w:r>
          </w:p>
        </w:tc>
        <w:tc>
          <w:tcPr>
            <w:tcW w:w="12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106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Debt obligations</w:t>
            </w: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4,578,869</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shd w:val="clear" w:color="auto" w:fill="CCEEFF"/>
          </w:tcPr>
          <w:p>
            <w:pPr>
              <w:ind w:left="220"/>
              <w:spacing w:after="0"/>
              <w:rPr>
                <w:sz w:val="20"/>
                <w:szCs w:val="20"/>
                <w:color w:val="auto"/>
              </w:rPr>
            </w:pPr>
            <w:r>
              <w:rPr>
                <w:rFonts w:ascii="Arial" w:cs="Arial" w:eastAsia="Arial" w:hAnsi="Arial"/>
                <w:sz w:val="13"/>
                <w:szCs w:val="13"/>
                <w:color w:val="auto"/>
              </w:rPr>
              <w:t>Preferred stock warrant liability</w:t>
            </w:r>
          </w:p>
        </w:tc>
        <w:tc>
          <w:tcPr>
            <w:tcW w:w="12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130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3,375,282</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5,617,280</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ind w:left="220"/>
              <w:spacing w:after="0"/>
              <w:rPr>
                <w:sz w:val="20"/>
                <w:szCs w:val="20"/>
                <w:color w:val="auto"/>
              </w:rPr>
            </w:pPr>
            <w:r>
              <w:rPr>
                <w:rFonts w:ascii="Arial" w:cs="Arial" w:eastAsia="Arial" w:hAnsi="Arial"/>
                <w:sz w:val="13"/>
                <w:szCs w:val="13"/>
                <w:color w:val="auto"/>
              </w:rPr>
              <w:t>Operating lease liabilities</w:t>
            </w: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821,164</w:t>
            </w:r>
          </w:p>
        </w:tc>
        <w:tc>
          <w:tcPr>
            <w:tcW w:w="140" w:type="dxa"/>
            <w:vAlign w:val="bottom"/>
          </w:tcPr>
          <w:p>
            <w:pPr>
              <w:spacing w:after="0"/>
              <w:rPr>
                <w:sz w:val="13"/>
                <w:szCs w:val="13"/>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1,133,009</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Borders>
              <w:top w:val="single" w:sz="8" w:color="CCEEFF"/>
            </w:tcBorders>
            <w:shd w:val="clear" w:color="auto" w:fill="CCEEFF"/>
          </w:tcPr>
          <w:p>
            <w:pPr>
              <w:ind w:left="340"/>
              <w:spacing w:after="0" w:line="145" w:lineRule="exact"/>
              <w:rPr>
                <w:sz w:val="20"/>
                <w:szCs w:val="20"/>
                <w:color w:val="auto"/>
              </w:rPr>
            </w:pPr>
            <w:r>
              <w:rPr>
                <w:rFonts w:ascii="Arial" w:cs="Arial" w:eastAsia="Arial" w:hAnsi="Arial"/>
                <w:sz w:val="13"/>
                <w:szCs w:val="13"/>
                <w:color w:val="auto"/>
              </w:rPr>
              <w:t>Total non-current liabilities</w:t>
            </w:r>
          </w:p>
        </w:tc>
        <w:tc>
          <w:tcPr>
            <w:tcW w:w="120" w:type="dxa"/>
            <w:vAlign w:val="bottom"/>
            <w:tcBorders>
              <w:top w:val="single" w:sz="8" w:color="CCEEFF"/>
            </w:tcBorders>
            <w:shd w:val="clear" w:color="auto" w:fill="CCEEFF"/>
          </w:tcPr>
          <w:p>
            <w:pPr>
              <w:spacing w:after="0"/>
              <w:rPr>
                <w:sz w:val="12"/>
                <w:szCs w:val="12"/>
                <w:color w:val="auto"/>
              </w:rPr>
            </w:pPr>
          </w:p>
        </w:tc>
        <w:tc>
          <w:tcPr>
            <w:tcW w:w="180" w:type="dxa"/>
            <w:vAlign w:val="bottom"/>
            <w:tcBorders>
              <w:top w:val="single" w:sz="8" w:color="auto"/>
              <w:bottom w:val="single" w:sz="8" w:color="auto"/>
            </w:tcBorders>
            <w:shd w:val="clear" w:color="auto" w:fill="CCEEFF"/>
          </w:tcPr>
          <w:p>
            <w:pPr>
              <w:spacing w:after="0"/>
              <w:rPr>
                <w:sz w:val="12"/>
                <w:szCs w:val="12"/>
                <w:color w:val="auto"/>
              </w:rPr>
            </w:pPr>
          </w:p>
        </w:tc>
        <w:tc>
          <w:tcPr>
            <w:tcW w:w="10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4,196,446</w:t>
            </w:r>
          </w:p>
        </w:tc>
        <w:tc>
          <w:tcPr>
            <w:tcW w:w="24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bottom w:val="single" w:sz="8" w:color="auto"/>
            </w:tcBorders>
            <w:shd w:val="clear" w:color="auto" w:fill="CCEEFF"/>
          </w:tcPr>
          <w:p>
            <w:pPr>
              <w:spacing w:after="0"/>
              <w:rPr>
                <w:sz w:val="12"/>
                <w:szCs w:val="12"/>
                <w:color w:val="auto"/>
              </w:rPr>
            </w:pPr>
          </w:p>
        </w:tc>
        <w:tc>
          <w:tcPr>
            <w:tcW w:w="1100" w:type="dxa"/>
            <w:vAlign w:val="bottom"/>
            <w:tcBorders>
              <w:top w:val="single" w:sz="8" w:color="auto"/>
              <w:bottom w:val="single" w:sz="8" w:color="auto"/>
              <w:right w:val="single" w:sz="8" w:color="CCEEFF"/>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11,329,158</w:t>
            </w:r>
          </w:p>
        </w:tc>
        <w:tc>
          <w:tcPr>
            <w:tcW w:w="8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Borders>
              <w:bottom w:val="single" w:sz="8" w:color="CCEEFF"/>
            </w:tcBorders>
          </w:tcPr>
          <w:p>
            <w:pPr>
              <w:ind w:left="440"/>
              <w:spacing w:after="0" w:line="145" w:lineRule="exact"/>
              <w:rPr>
                <w:sz w:val="20"/>
                <w:szCs w:val="20"/>
                <w:color w:val="auto"/>
              </w:rPr>
            </w:pPr>
            <w:r>
              <w:rPr>
                <w:rFonts w:ascii="Arial" w:cs="Arial" w:eastAsia="Arial" w:hAnsi="Arial"/>
                <w:sz w:val="13"/>
                <w:szCs w:val="13"/>
                <w:color w:val="auto"/>
              </w:rPr>
              <w:t>Total liabilities</w:t>
            </w:r>
          </w:p>
        </w:tc>
        <w:tc>
          <w:tcPr>
            <w:tcW w:w="120" w:type="dxa"/>
            <w:vAlign w:val="bottom"/>
            <w:tcBorders>
              <w:bottom w:val="single" w:sz="8" w:color="CCEEFF"/>
            </w:tcBorders>
          </w:tcPr>
          <w:p>
            <w:pPr>
              <w:spacing w:after="0"/>
              <w:rPr>
                <w:sz w:val="12"/>
                <w:szCs w:val="12"/>
                <w:color w:val="auto"/>
              </w:rPr>
            </w:pPr>
          </w:p>
        </w:tc>
        <w:tc>
          <w:tcPr>
            <w:tcW w:w="180" w:type="dxa"/>
            <w:vAlign w:val="bottom"/>
            <w:tcBorders>
              <w:bottom w:val="single" w:sz="8" w:color="auto"/>
            </w:tcBorders>
          </w:tcPr>
          <w:p>
            <w:pPr>
              <w:spacing w:after="0"/>
              <w:rPr>
                <w:sz w:val="12"/>
                <w:szCs w:val="12"/>
                <w:color w:val="auto"/>
              </w:rPr>
            </w:pPr>
          </w:p>
        </w:tc>
        <w:tc>
          <w:tcPr>
            <w:tcW w:w="1060" w:type="dxa"/>
            <w:vAlign w:val="bottom"/>
            <w:tcBorders>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24,388,039</w:t>
            </w:r>
          </w:p>
        </w:tc>
        <w:tc>
          <w:tcPr>
            <w:tcW w:w="240" w:type="dxa"/>
            <w:vAlign w:val="bottom"/>
            <w:tcBorders>
              <w:bottom w:val="single" w:sz="8" w:color="CCEEFF"/>
            </w:tcBorders>
          </w:tcPr>
          <w:p>
            <w:pPr>
              <w:spacing w:after="0"/>
              <w:rPr>
                <w:sz w:val="12"/>
                <w:szCs w:val="12"/>
                <w:color w:val="auto"/>
              </w:rPr>
            </w:pPr>
          </w:p>
        </w:tc>
        <w:tc>
          <w:tcPr>
            <w:tcW w:w="140" w:type="dxa"/>
            <w:vAlign w:val="bottom"/>
            <w:tcBorders>
              <w:bottom w:val="single" w:sz="8" w:color="auto"/>
            </w:tcBorders>
          </w:tcPr>
          <w:p>
            <w:pPr>
              <w:spacing w:after="0"/>
              <w:rPr>
                <w:sz w:val="12"/>
                <w:szCs w:val="12"/>
                <w:color w:val="auto"/>
              </w:rPr>
            </w:pPr>
          </w:p>
        </w:tc>
        <w:tc>
          <w:tcPr>
            <w:tcW w:w="1100" w:type="dxa"/>
            <w:vAlign w:val="bottom"/>
            <w:tcBorders>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13,967,444</w:t>
            </w:r>
          </w:p>
        </w:tc>
        <w:tc>
          <w:tcPr>
            <w:tcW w:w="80" w:type="dxa"/>
            <w:vAlign w:val="bottom"/>
            <w:tcBorders>
              <w:bottom w:val="single" w:sz="8" w:color="CCEEFF"/>
            </w:tcBorders>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8340" w:type="dxa"/>
            <w:vAlign w:val="bottom"/>
            <w:shd w:val="clear" w:color="auto" w:fill="CCEEFF"/>
          </w:tcPr>
          <w:p>
            <w:pPr>
              <w:spacing w:after="0"/>
              <w:rPr>
                <w:sz w:val="12"/>
                <w:szCs w:val="12"/>
                <w:color w:val="auto"/>
              </w:rPr>
            </w:pPr>
          </w:p>
        </w:tc>
        <w:tc>
          <w:tcPr>
            <w:tcW w:w="120" w:type="dxa"/>
            <w:vAlign w:val="bottom"/>
            <w:shd w:val="clear" w:color="auto" w:fill="CCEEFF"/>
          </w:tcPr>
          <w:p>
            <w:pPr>
              <w:spacing w:after="0"/>
              <w:rPr>
                <w:sz w:val="12"/>
                <w:szCs w:val="12"/>
                <w:color w:val="auto"/>
              </w:rPr>
            </w:pPr>
          </w:p>
        </w:tc>
        <w:tc>
          <w:tcPr>
            <w:tcW w:w="180" w:type="dxa"/>
            <w:vAlign w:val="bottom"/>
            <w:shd w:val="clear" w:color="auto" w:fill="CCEEFF"/>
          </w:tcPr>
          <w:p>
            <w:pPr>
              <w:spacing w:after="0"/>
              <w:rPr>
                <w:sz w:val="12"/>
                <w:szCs w:val="12"/>
                <w:color w:val="auto"/>
              </w:rPr>
            </w:pPr>
          </w:p>
        </w:tc>
        <w:tc>
          <w:tcPr>
            <w:tcW w:w="106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100" w:type="dxa"/>
            <w:vAlign w:val="bottom"/>
            <w:tcBorders>
              <w:right w:val="single" w:sz="8" w:color="CCEEFF"/>
            </w:tcBorders>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8340" w:type="dxa"/>
            <w:vAlign w:val="bottom"/>
          </w:tcPr>
          <w:p>
            <w:pPr>
              <w:spacing w:after="0"/>
              <w:rPr>
                <w:sz w:val="20"/>
                <w:szCs w:val="20"/>
                <w:color w:val="auto"/>
              </w:rPr>
            </w:pPr>
            <w:r>
              <w:rPr>
                <w:rFonts w:ascii="Arial" w:cs="Arial" w:eastAsia="Arial" w:hAnsi="Arial"/>
                <w:sz w:val="13"/>
                <w:szCs w:val="13"/>
                <w:color w:val="auto"/>
              </w:rPr>
              <w:t>Commitments and contingencies (Note 9)</w:t>
            </w: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0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1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834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106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48"/>
        </w:trPr>
        <w:tc>
          <w:tcPr>
            <w:tcW w:w="20" w:type="dxa"/>
            <w:vAlign w:val="bottom"/>
            <w:vMerge w:val="continue"/>
          </w:tcPr>
          <w:p>
            <w:pPr>
              <w:spacing w:after="0"/>
              <w:rPr>
                <w:sz w:val="12"/>
                <w:szCs w:val="12"/>
                <w:color w:val="auto"/>
              </w:rPr>
            </w:pPr>
          </w:p>
        </w:tc>
        <w:tc>
          <w:tcPr>
            <w:tcW w:w="8340" w:type="dxa"/>
            <w:vAlign w:val="bottom"/>
          </w:tcPr>
          <w:p>
            <w:pPr>
              <w:spacing w:after="0" w:line="148" w:lineRule="exact"/>
              <w:rPr>
                <w:sz w:val="20"/>
                <w:szCs w:val="20"/>
                <w:color w:val="auto"/>
              </w:rPr>
            </w:pPr>
            <w:r>
              <w:rPr>
                <w:rFonts w:ascii="Arial" w:cs="Arial" w:eastAsia="Arial" w:hAnsi="Arial"/>
                <w:sz w:val="13"/>
                <w:szCs w:val="13"/>
                <w:color w:val="auto"/>
                <w:w w:val="91"/>
              </w:rPr>
              <w:t>Preferred Stock, $0.001 par value; 43,405,324 shares authorized as of June 30, 2021 and December 31, 2020; 27,606,283 and 25,770,360 shares issued and</w:t>
            </w:r>
          </w:p>
        </w:tc>
        <w:tc>
          <w:tcPr>
            <w:tcW w:w="12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0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8340" w:type="dxa"/>
            <w:vAlign w:val="bottom"/>
          </w:tcPr>
          <w:p>
            <w:pPr>
              <w:ind w:left="100"/>
              <w:spacing w:after="0"/>
              <w:rPr>
                <w:sz w:val="20"/>
                <w:szCs w:val="20"/>
                <w:color w:val="auto"/>
              </w:rPr>
            </w:pPr>
            <w:r>
              <w:rPr>
                <w:rFonts w:ascii="Arial" w:cs="Arial" w:eastAsia="Arial" w:hAnsi="Arial"/>
                <w:sz w:val="13"/>
                <w:szCs w:val="13"/>
                <w:color w:val="auto"/>
              </w:rPr>
              <w:t>outstanding as of June 30 2021 and December 31, 2020, respectively; aggregate liquidation preference of $93,100,857 as of June 30, 2021</w:t>
            </w:r>
          </w:p>
        </w:tc>
        <w:tc>
          <w:tcPr>
            <w:tcW w:w="1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81,907,724</w:t>
            </w:r>
          </w:p>
        </w:tc>
        <w:tc>
          <w:tcPr>
            <w:tcW w:w="140" w:type="dxa"/>
            <w:vAlign w:val="bottom"/>
          </w:tcPr>
          <w:p>
            <w:pPr>
              <w:spacing w:after="0"/>
              <w:rPr>
                <w:sz w:val="14"/>
                <w:szCs w:val="14"/>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65,161,574</w:t>
            </w: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vMerge w:val="restart"/>
          </w:tcPr>
          <w:p>
            <w:pPr>
              <w:spacing w:after="0"/>
              <w:rPr>
                <w:sz w:val="12"/>
                <w:szCs w:val="12"/>
                <w:color w:val="auto"/>
              </w:rPr>
            </w:pPr>
          </w:p>
        </w:tc>
        <w:tc>
          <w:tcPr>
            <w:tcW w:w="834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180" w:type="dxa"/>
            <w:vAlign w:val="bottom"/>
            <w:tcBorders>
              <w:top w:val="single" w:sz="8" w:color="auto"/>
            </w:tcBorders>
            <w:shd w:val="clear" w:color="auto" w:fill="CCEEFF"/>
          </w:tcPr>
          <w:p>
            <w:pPr>
              <w:spacing w:after="0"/>
              <w:rPr>
                <w:sz w:val="12"/>
                <w:szCs w:val="12"/>
                <w:color w:val="auto"/>
              </w:rPr>
            </w:pPr>
          </w:p>
        </w:tc>
        <w:tc>
          <w:tcPr>
            <w:tcW w:w="1060" w:type="dxa"/>
            <w:vAlign w:val="bottom"/>
            <w:tcBorders>
              <w:top w:val="single" w:sz="8" w:color="auto"/>
            </w:tcBorders>
            <w:shd w:val="clear" w:color="auto" w:fill="CCEEFF"/>
          </w:tcPr>
          <w:p>
            <w:pPr>
              <w:spacing w:after="0"/>
              <w:rPr>
                <w:sz w:val="12"/>
                <w:szCs w:val="12"/>
                <w:color w:val="auto"/>
              </w:rPr>
            </w:pPr>
          </w:p>
        </w:tc>
        <w:tc>
          <w:tcPr>
            <w:tcW w:w="24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tcBorders>
            <w:shd w:val="clear" w:color="auto" w:fill="CCEEFF"/>
          </w:tcPr>
          <w:p>
            <w:pPr>
              <w:spacing w:after="0"/>
              <w:rPr>
                <w:sz w:val="12"/>
                <w:szCs w:val="12"/>
                <w:color w:val="auto"/>
              </w:rPr>
            </w:pPr>
          </w:p>
        </w:tc>
        <w:tc>
          <w:tcPr>
            <w:tcW w:w="1100" w:type="dxa"/>
            <w:vAlign w:val="bottom"/>
            <w:tcBorders>
              <w:top w:val="single" w:sz="8" w:color="auto"/>
              <w:right w:val="single" w:sz="8" w:color="CCEEFF"/>
            </w:tcBorders>
            <w:shd w:val="clear" w:color="auto" w:fill="CCEEFF"/>
          </w:tcPr>
          <w:p>
            <w:pPr>
              <w:spacing w:after="0"/>
              <w:rPr>
                <w:sz w:val="12"/>
                <w:szCs w:val="12"/>
                <w:color w:val="auto"/>
              </w:rPr>
            </w:pPr>
          </w:p>
        </w:tc>
        <w:tc>
          <w:tcPr>
            <w:tcW w:w="8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8340" w:type="dxa"/>
            <w:vAlign w:val="bottom"/>
          </w:tcPr>
          <w:p>
            <w:pPr>
              <w:spacing w:after="0"/>
              <w:rPr>
                <w:sz w:val="20"/>
                <w:szCs w:val="20"/>
                <w:color w:val="auto"/>
              </w:rPr>
            </w:pPr>
            <w:r>
              <w:rPr>
                <w:rFonts w:ascii="Arial" w:cs="Arial" w:eastAsia="Arial" w:hAnsi="Arial"/>
                <w:sz w:val="13"/>
                <w:szCs w:val="13"/>
                <w:color w:val="auto"/>
              </w:rPr>
              <w:t>Stockholders' deficit:</w:t>
            </w: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0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1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8"/>
        </w:trPr>
        <w:tc>
          <w:tcPr>
            <w:tcW w:w="20" w:type="dxa"/>
            <w:vAlign w:val="bottom"/>
          </w:tcPr>
          <w:p>
            <w:pPr>
              <w:spacing w:after="0"/>
              <w:rPr>
                <w:sz w:val="12"/>
                <w:szCs w:val="12"/>
                <w:color w:val="auto"/>
              </w:rPr>
            </w:pPr>
          </w:p>
        </w:tc>
        <w:tc>
          <w:tcPr>
            <w:tcW w:w="8340" w:type="dxa"/>
            <w:vAlign w:val="bottom"/>
            <w:shd w:val="clear" w:color="auto" w:fill="CCEEFF"/>
          </w:tcPr>
          <w:p>
            <w:pPr>
              <w:spacing w:after="0" w:line="148" w:lineRule="exact"/>
              <w:rPr>
                <w:sz w:val="20"/>
                <w:szCs w:val="20"/>
                <w:color w:val="auto"/>
              </w:rPr>
            </w:pPr>
            <w:r>
              <w:rPr>
                <w:rFonts w:ascii="Arial" w:cs="Arial" w:eastAsia="Arial" w:hAnsi="Arial"/>
                <w:sz w:val="13"/>
                <w:szCs w:val="13"/>
                <w:color w:val="auto"/>
                <w:w w:val="89"/>
              </w:rPr>
              <w:t>Class A common stock, $0.001 par, 114,000,000 shares authorized as of June 30 2021 and December 31, 2020; 0 shares issued and outstanding as of June 30,</w:t>
            </w:r>
          </w:p>
        </w:tc>
        <w:tc>
          <w:tcPr>
            <w:tcW w:w="120" w:type="dxa"/>
            <w:vAlign w:val="bottom"/>
            <w:shd w:val="clear" w:color="auto" w:fill="CCEEFF"/>
          </w:tcPr>
          <w:p>
            <w:pPr>
              <w:spacing w:after="0"/>
              <w:rPr>
                <w:sz w:val="12"/>
                <w:szCs w:val="12"/>
                <w:color w:val="auto"/>
              </w:rPr>
            </w:pPr>
          </w:p>
        </w:tc>
        <w:tc>
          <w:tcPr>
            <w:tcW w:w="180" w:type="dxa"/>
            <w:vAlign w:val="bottom"/>
            <w:shd w:val="clear" w:color="auto" w:fill="CCEEFF"/>
          </w:tcPr>
          <w:p>
            <w:pPr>
              <w:spacing w:after="0"/>
              <w:rPr>
                <w:sz w:val="12"/>
                <w:szCs w:val="12"/>
                <w:color w:val="auto"/>
              </w:rPr>
            </w:pPr>
          </w:p>
        </w:tc>
        <w:tc>
          <w:tcPr>
            <w:tcW w:w="1060" w:type="dxa"/>
            <w:vAlign w:val="bottom"/>
            <w:shd w:val="clear" w:color="auto" w:fill="CCEEFF"/>
          </w:tcPr>
          <w:p>
            <w:pPr>
              <w:spacing w:after="0"/>
              <w:rPr>
                <w:sz w:val="12"/>
                <w:szCs w:val="12"/>
                <w:color w:val="auto"/>
              </w:rPr>
            </w:pPr>
          </w:p>
        </w:tc>
        <w:tc>
          <w:tcPr>
            <w:tcW w:w="24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100" w:type="dxa"/>
            <w:vAlign w:val="bottom"/>
            <w:tcBorders>
              <w:right w:val="single" w:sz="8" w:color="CCEEFF"/>
            </w:tcBorders>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8340" w:type="dxa"/>
            <w:vAlign w:val="bottom"/>
            <w:shd w:val="clear" w:color="auto" w:fill="CCEEFF"/>
          </w:tcPr>
          <w:p>
            <w:pPr>
              <w:ind w:left="100"/>
              <w:spacing w:after="0"/>
              <w:rPr>
                <w:sz w:val="20"/>
                <w:szCs w:val="20"/>
                <w:color w:val="auto"/>
              </w:rPr>
            </w:pPr>
            <w:r>
              <w:rPr>
                <w:rFonts w:ascii="Arial" w:cs="Arial" w:eastAsia="Arial" w:hAnsi="Arial"/>
                <w:sz w:val="13"/>
                <w:szCs w:val="13"/>
                <w:color w:val="auto"/>
              </w:rPr>
              <w:t>2021 and December 31, 2020</w:t>
            </w:r>
          </w:p>
        </w:tc>
        <w:tc>
          <w:tcPr>
            <w:tcW w:w="120" w:type="dxa"/>
            <w:vAlign w:val="bottom"/>
            <w:shd w:val="clear" w:color="auto" w:fill="CCEEFF"/>
          </w:tcPr>
          <w:p>
            <w:pPr>
              <w:spacing w:after="0"/>
              <w:rPr>
                <w:sz w:val="14"/>
                <w:szCs w:val="14"/>
                <w:color w:val="auto"/>
              </w:rPr>
            </w:pPr>
          </w:p>
        </w:tc>
        <w:tc>
          <w:tcPr>
            <w:tcW w:w="180" w:type="dxa"/>
            <w:vAlign w:val="bottom"/>
            <w:shd w:val="clear" w:color="auto" w:fill="CCEEFF"/>
          </w:tcPr>
          <w:p>
            <w:pPr>
              <w:spacing w:after="0"/>
              <w:rPr>
                <w:sz w:val="14"/>
                <w:szCs w:val="14"/>
                <w:color w:val="auto"/>
              </w:rPr>
            </w:pPr>
          </w:p>
        </w:tc>
        <w:tc>
          <w:tcPr>
            <w:tcW w:w="130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w:t>
            </w:r>
          </w:p>
        </w:tc>
        <w:tc>
          <w:tcPr>
            <w:tcW w:w="140" w:type="dxa"/>
            <w:vAlign w:val="bottom"/>
            <w:shd w:val="clear" w:color="auto" w:fill="CCEEFF"/>
          </w:tcPr>
          <w:p>
            <w:pPr>
              <w:spacing w:after="0"/>
              <w:rPr>
                <w:sz w:val="14"/>
                <w:szCs w:val="14"/>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8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8"/>
        </w:trPr>
        <w:tc>
          <w:tcPr>
            <w:tcW w:w="20" w:type="dxa"/>
            <w:vAlign w:val="bottom"/>
          </w:tcPr>
          <w:p>
            <w:pPr>
              <w:spacing w:after="0"/>
              <w:rPr>
                <w:sz w:val="12"/>
                <w:szCs w:val="12"/>
                <w:color w:val="auto"/>
              </w:rPr>
            </w:pPr>
          </w:p>
        </w:tc>
        <w:tc>
          <w:tcPr>
            <w:tcW w:w="8340" w:type="dxa"/>
            <w:vAlign w:val="bottom"/>
          </w:tcPr>
          <w:p>
            <w:pPr>
              <w:spacing w:after="0" w:line="148" w:lineRule="exact"/>
              <w:rPr>
                <w:sz w:val="20"/>
                <w:szCs w:val="20"/>
                <w:color w:val="auto"/>
              </w:rPr>
            </w:pPr>
            <w:r>
              <w:rPr>
                <w:rFonts w:ascii="Arial" w:cs="Arial" w:eastAsia="Arial" w:hAnsi="Arial"/>
                <w:sz w:val="13"/>
                <w:szCs w:val="13"/>
                <w:color w:val="auto"/>
                <w:w w:val="89"/>
              </w:rPr>
              <w:t>Class B common stock, $0.001 par, 30,000,000 shares authorized as of June 30, 2021 and December 31, 2020; 10,189,000 shares issued and outstanding as of</w:t>
            </w:r>
          </w:p>
        </w:tc>
        <w:tc>
          <w:tcPr>
            <w:tcW w:w="12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10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1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4"/>
        </w:trPr>
        <w:tc>
          <w:tcPr>
            <w:tcW w:w="20" w:type="dxa"/>
            <w:vAlign w:val="bottom"/>
          </w:tcPr>
          <w:p>
            <w:pPr>
              <w:spacing w:after="0"/>
              <w:rPr>
                <w:sz w:val="14"/>
                <w:szCs w:val="14"/>
                <w:color w:val="auto"/>
              </w:rPr>
            </w:pPr>
          </w:p>
        </w:tc>
        <w:tc>
          <w:tcPr>
            <w:tcW w:w="8340" w:type="dxa"/>
            <w:vAlign w:val="bottom"/>
          </w:tcPr>
          <w:p>
            <w:pPr>
              <w:ind w:left="100"/>
              <w:spacing w:after="0"/>
              <w:rPr>
                <w:sz w:val="20"/>
                <w:szCs w:val="20"/>
                <w:color w:val="auto"/>
              </w:rPr>
            </w:pPr>
            <w:r>
              <w:rPr>
                <w:rFonts w:ascii="Arial" w:cs="Arial" w:eastAsia="Arial" w:hAnsi="Arial"/>
                <w:sz w:val="13"/>
                <w:szCs w:val="13"/>
                <w:color w:val="auto"/>
              </w:rPr>
              <w:t>June 30, 2021 and December 31, 2020</w:t>
            </w:r>
          </w:p>
        </w:tc>
        <w:tc>
          <w:tcPr>
            <w:tcW w:w="1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10,189</w:t>
            </w:r>
          </w:p>
        </w:tc>
        <w:tc>
          <w:tcPr>
            <w:tcW w:w="140" w:type="dxa"/>
            <w:vAlign w:val="bottom"/>
          </w:tcPr>
          <w:p>
            <w:pPr>
              <w:spacing w:after="0"/>
              <w:rPr>
                <w:sz w:val="14"/>
                <w:szCs w:val="14"/>
                <w:color w:val="auto"/>
              </w:rPr>
            </w:pPr>
          </w:p>
        </w:tc>
        <w:tc>
          <w:tcPr>
            <w:tcW w:w="1100" w:type="dxa"/>
            <w:vAlign w:val="bottom"/>
          </w:tcPr>
          <w:p>
            <w:pPr>
              <w:jc w:val="right"/>
              <w:spacing w:after="0"/>
              <w:rPr>
                <w:sz w:val="20"/>
                <w:szCs w:val="20"/>
                <w:color w:val="auto"/>
              </w:rPr>
            </w:pPr>
            <w:r>
              <w:rPr>
                <w:rFonts w:ascii="Arial" w:cs="Arial" w:eastAsia="Arial" w:hAnsi="Arial"/>
                <w:sz w:val="13"/>
                <w:szCs w:val="13"/>
                <w:color w:val="auto"/>
              </w:rPr>
              <w:t>10,189</w:t>
            </w: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8"/>
        </w:trPr>
        <w:tc>
          <w:tcPr>
            <w:tcW w:w="20" w:type="dxa"/>
            <w:vAlign w:val="bottom"/>
          </w:tcPr>
          <w:p>
            <w:pPr>
              <w:spacing w:after="0"/>
              <w:rPr>
                <w:sz w:val="13"/>
                <w:szCs w:val="13"/>
                <w:color w:val="auto"/>
              </w:rPr>
            </w:pPr>
          </w:p>
        </w:tc>
        <w:tc>
          <w:tcPr>
            <w:tcW w:w="8340" w:type="dxa"/>
            <w:vAlign w:val="bottom"/>
            <w:shd w:val="clear" w:color="auto" w:fill="CCEEFF"/>
          </w:tcPr>
          <w:p>
            <w:pPr>
              <w:spacing w:after="0"/>
              <w:rPr>
                <w:sz w:val="20"/>
                <w:szCs w:val="20"/>
                <w:color w:val="auto"/>
              </w:rPr>
            </w:pPr>
            <w:r>
              <w:rPr>
                <w:rFonts w:ascii="Arial" w:cs="Arial" w:eastAsia="Arial" w:hAnsi="Arial"/>
                <w:sz w:val="13"/>
                <w:szCs w:val="13"/>
                <w:color w:val="auto"/>
              </w:rPr>
              <w:t>Additional paid-in capital</w:t>
            </w:r>
          </w:p>
        </w:tc>
        <w:tc>
          <w:tcPr>
            <w:tcW w:w="12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130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3,523,338</w:t>
            </w:r>
          </w:p>
        </w:tc>
        <w:tc>
          <w:tcPr>
            <w:tcW w:w="140" w:type="dxa"/>
            <w:vAlign w:val="bottom"/>
            <w:shd w:val="clear" w:color="auto" w:fill="CCEEFF"/>
          </w:tcPr>
          <w:p>
            <w:pPr>
              <w:spacing w:after="0"/>
              <w:rPr>
                <w:sz w:val="13"/>
                <w:szCs w:val="13"/>
                <w:color w:val="auto"/>
              </w:rPr>
            </w:pPr>
          </w:p>
        </w:tc>
        <w:tc>
          <w:tcPr>
            <w:tcW w:w="1100" w:type="dxa"/>
            <w:vAlign w:val="bottom"/>
            <w:tcBorders>
              <w:right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3,050,755</w:t>
            </w:r>
          </w:p>
        </w:tc>
        <w:tc>
          <w:tcPr>
            <w:tcW w:w="8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8340" w:type="dxa"/>
            <w:vAlign w:val="bottom"/>
          </w:tcPr>
          <w:p>
            <w:pPr>
              <w:spacing w:after="0"/>
              <w:rPr>
                <w:sz w:val="20"/>
                <w:szCs w:val="20"/>
                <w:color w:val="auto"/>
              </w:rPr>
            </w:pPr>
            <w:r>
              <w:rPr>
                <w:rFonts w:ascii="Arial" w:cs="Arial" w:eastAsia="Arial" w:hAnsi="Arial"/>
                <w:sz w:val="13"/>
                <w:szCs w:val="13"/>
                <w:color w:val="auto"/>
              </w:rPr>
              <w:t>Accumulated deficit</w:t>
            </w: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300" w:type="dxa"/>
            <w:vAlign w:val="bottom"/>
            <w:gridSpan w:val="2"/>
          </w:tcPr>
          <w:p>
            <w:pPr>
              <w:jc w:val="right"/>
              <w:ind w:right="200"/>
              <w:spacing w:after="0"/>
              <w:rPr>
                <w:sz w:val="20"/>
                <w:szCs w:val="20"/>
                <w:color w:val="auto"/>
              </w:rPr>
            </w:pPr>
            <w:r>
              <w:rPr>
                <w:rFonts w:ascii="Arial" w:cs="Arial" w:eastAsia="Arial" w:hAnsi="Arial"/>
                <w:sz w:val="13"/>
                <w:szCs w:val="13"/>
                <w:color w:val="auto"/>
              </w:rPr>
              <w:t>(92,345,569)</w:t>
            </w:r>
          </w:p>
        </w:tc>
        <w:tc>
          <w:tcPr>
            <w:tcW w:w="140" w:type="dxa"/>
            <w:vAlign w:val="bottom"/>
          </w:tcPr>
          <w:p>
            <w:pPr>
              <w:spacing w:after="0"/>
              <w:rPr>
                <w:sz w:val="13"/>
                <w:szCs w:val="13"/>
                <w:color w:val="auto"/>
              </w:rPr>
            </w:pPr>
          </w:p>
        </w:tc>
        <w:tc>
          <w:tcPr>
            <w:tcW w:w="1180" w:type="dxa"/>
            <w:vAlign w:val="bottom"/>
            <w:gridSpan w:val="2"/>
          </w:tcPr>
          <w:p>
            <w:pPr>
              <w:jc w:val="right"/>
              <w:ind w:right="60"/>
              <w:spacing w:after="0"/>
              <w:rPr>
                <w:sz w:val="20"/>
                <w:szCs w:val="20"/>
                <w:color w:val="auto"/>
              </w:rPr>
            </w:pPr>
            <w:r>
              <w:rPr>
                <w:rFonts w:ascii="Arial" w:cs="Arial" w:eastAsia="Arial" w:hAnsi="Arial"/>
                <w:sz w:val="13"/>
                <w:szCs w:val="13"/>
                <w:color w:val="auto"/>
              </w:rPr>
              <w:t>(69,246,228)</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8340" w:type="dxa"/>
            <w:vAlign w:val="bottom"/>
            <w:tcBorders>
              <w:top w:val="single" w:sz="8" w:color="CCEEFF"/>
            </w:tcBorders>
            <w:shd w:val="clear" w:color="auto" w:fill="CCEEFF"/>
          </w:tcPr>
          <w:p>
            <w:pPr>
              <w:ind w:left="220"/>
              <w:spacing w:after="0" w:line="144" w:lineRule="exact"/>
              <w:rPr>
                <w:sz w:val="20"/>
                <w:szCs w:val="20"/>
                <w:color w:val="auto"/>
              </w:rPr>
            </w:pPr>
            <w:r>
              <w:rPr>
                <w:rFonts w:ascii="Arial" w:cs="Arial" w:eastAsia="Arial" w:hAnsi="Arial"/>
                <w:sz w:val="13"/>
                <w:szCs w:val="13"/>
                <w:color w:val="auto"/>
              </w:rPr>
              <w:t>Total stockholders' deficit</w:t>
            </w:r>
          </w:p>
        </w:tc>
        <w:tc>
          <w:tcPr>
            <w:tcW w:w="120" w:type="dxa"/>
            <w:vAlign w:val="bottom"/>
            <w:tcBorders>
              <w:top w:val="single" w:sz="8" w:color="CCEEFF"/>
            </w:tcBorders>
            <w:shd w:val="clear" w:color="auto" w:fill="CCEEFF"/>
          </w:tcPr>
          <w:p>
            <w:pPr>
              <w:spacing w:after="0"/>
              <w:rPr>
                <w:sz w:val="12"/>
                <w:szCs w:val="12"/>
                <w:color w:val="auto"/>
              </w:rPr>
            </w:pPr>
          </w:p>
        </w:tc>
        <w:tc>
          <w:tcPr>
            <w:tcW w:w="180" w:type="dxa"/>
            <w:vAlign w:val="bottom"/>
            <w:tcBorders>
              <w:top w:val="single" w:sz="8" w:color="auto"/>
              <w:bottom w:val="single" w:sz="8" w:color="auto"/>
            </w:tcBorders>
            <w:shd w:val="clear" w:color="auto" w:fill="CCEEFF"/>
          </w:tcPr>
          <w:p>
            <w:pPr>
              <w:spacing w:after="0"/>
              <w:rPr>
                <w:sz w:val="12"/>
                <w:szCs w:val="12"/>
                <w:color w:val="auto"/>
              </w:rPr>
            </w:pPr>
          </w:p>
        </w:tc>
        <w:tc>
          <w:tcPr>
            <w:tcW w:w="10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(88,812,042)</w:t>
            </w:r>
          </w:p>
        </w:tc>
        <w:tc>
          <w:tcPr>
            <w:tcW w:w="24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bottom w:val="single" w:sz="8" w:color="auto"/>
            </w:tcBorders>
            <w:shd w:val="clear" w:color="auto" w:fill="CCEEFF"/>
          </w:tcPr>
          <w:p>
            <w:pPr>
              <w:spacing w:after="0"/>
              <w:rPr>
                <w:sz w:val="12"/>
                <w:szCs w:val="12"/>
                <w:color w:val="auto"/>
              </w:rPr>
            </w:pPr>
          </w:p>
        </w:tc>
        <w:tc>
          <w:tcPr>
            <w:tcW w:w="1100" w:type="dxa"/>
            <w:vAlign w:val="bottom"/>
            <w:tcBorders>
              <w:top w:val="single" w:sz="8" w:color="auto"/>
              <w:bottom w:val="single" w:sz="8" w:color="auto"/>
              <w:right w:val="single" w:sz="8" w:color="CCEEFF"/>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(66,185,284)</w:t>
            </w:r>
          </w:p>
        </w:tc>
        <w:tc>
          <w:tcPr>
            <w:tcW w:w="8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5"/>
        </w:trPr>
        <w:tc>
          <w:tcPr>
            <w:tcW w:w="20" w:type="dxa"/>
            <w:vAlign w:val="bottom"/>
          </w:tcPr>
          <w:p>
            <w:pPr>
              <w:spacing w:after="0"/>
              <w:rPr>
                <w:sz w:val="13"/>
                <w:szCs w:val="13"/>
                <w:color w:val="auto"/>
              </w:rPr>
            </w:pPr>
          </w:p>
        </w:tc>
        <w:tc>
          <w:tcPr>
            <w:tcW w:w="8340" w:type="dxa"/>
            <w:vAlign w:val="bottom"/>
          </w:tcPr>
          <w:p>
            <w:pPr>
              <w:ind w:left="340"/>
              <w:spacing w:after="0" w:line="144" w:lineRule="exact"/>
              <w:rPr>
                <w:sz w:val="20"/>
                <w:szCs w:val="20"/>
                <w:color w:val="auto"/>
              </w:rPr>
            </w:pPr>
            <w:r>
              <w:rPr>
                <w:rFonts w:ascii="Arial" w:cs="Arial" w:eastAsia="Arial" w:hAnsi="Arial"/>
                <w:sz w:val="13"/>
                <w:szCs w:val="13"/>
                <w:color w:val="auto"/>
              </w:rPr>
              <w:t>Total liabilities, preferred stock and stockholders’ deficit</w:t>
            </w:r>
          </w:p>
        </w:tc>
        <w:tc>
          <w:tcPr>
            <w:tcW w:w="30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1300" w:type="dxa"/>
            <w:vAlign w:val="bottom"/>
            <w:gridSpan w:val="2"/>
          </w:tcPr>
          <w:p>
            <w:pPr>
              <w:jc w:val="right"/>
              <w:ind w:right="240"/>
              <w:spacing w:after="0"/>
              <w:rPr>
                <w:sz w:val="20"/>
                <w:szCs w:val="20"/>
                <w:color w:val="auto"/>
              </w:rPr>
            </w:pPr>
            <w:r>
              <w:rPr>
                <w:rFonts w:ascii="Arial" w:cs="Arial" w:eastAsia="Arial" w:hAnsi="Arial"/>
                <w:sz w:val="13"/>
                <w:szCs w:val="13"/>
                <w:color w:val="auto"/>
              </w:rPr>
              <w:t>17,483,721</w:t>
            </w:r>
          </w:p>
        </w:tc>
        <w:tc>
          <w:tcPr>
            <w:tcW w:w="140" w:type="dxa"/>
            <w:vAlign w:val="bottom"/>
          </w:tcPr>
          <w:p>
            <w:pPr>
              <w:jc w:val="right"/>
              <w:ind w:right="31"/>
              <w:spacing w:after="0"/>
              <w:rPr>
                <w:sz w:val="20"/>
                <w:szCs w:val="20"/>
                <w:color w:val="auto"/>
              </w:rPr>
            </w:pPr>
            <w:r>
              <w:rPr>
                <w:rFonts w:ascii="Arial" w:cs="Arial" w:eastAsia="Arial" w:hAnsi="Arial"/>
                <w:sz w:val="10"/>
                <w:szCs w:val="10"/>
                <w:color w:val="auto"/>
                <w:w w:val="71"/>
              </w:rPr>
              <w:t>$</w:t>
            </w:r>
          </w:p>
        </w:tc>
        <w:tc>
          <w:tcPr>
            <w:tcW w:w="1100" w:type="dxa"/>
            <w:vAlign w:val="bottom"/>
          </w:tcPr>
          <w:p>
            <w:pPr>
              <w:jc w:val="right"/>
              <w:spacing w:after="0"/>
              <w:rPr>
                <w:sz w:val="20"/>
                <w:szCs w:val="20"/>
                <w:color w:val="auto"/>
              </w:rPr>
            </w:pPr>
            <w:r>
              <w:rPr>
                <w:rFonts w:ascii="Arial" w:cs="Arial" w:eastAsia="Arial" w:hAnsi="Arial"/>
                <w:sz w:val="13"/>
                <w:szCs w:val="13"/>
                <w:color w:val="auto"/>
              </w:rPr>
              <w:t>12,943,734</w:t>
            </w: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30"/>
        </w:trPr>
        <w:tc>
          <w:tcPr>
            <w:tcW w:w="20" w:type="dxa"/>
            <w:vAlign w:val="bottom"/>
          </w:tcPr>
          <w:p>
            <w:pPr>
              <w:spacing w:after="0"/>
              <w:rPr>
                <w:sz w:val="2"/>
                <w:szCs w:val="2"/>
                <w:color w:val="auto"/>
              </w:rPr>
            </w:pPr>
          </w:p>
        </w:tc>
        <w:tc>
          <w:tcPr>
            <w:tcW w:w="8340" w:type="dxa"/>
            <w:vAlign w:val="bottom"/>
          </w:tcPr>
          <w:p>
            <w:pPr>
              <w:spacing w:after="0"/>
              <w:rPr>
                <w:sz w:val="2"/>
                <w:szCs w:val="2"/>
                <w:color w:val="auto"/>
              </w:rPr>
            </w:pPr>
          </w:p>
        </w:tc>
        <w:tc>
          <w:tcPr>
            <w:tcW w:w="120" w:type="dxa"/>
            <w:vAlign w:val="bottom"/>
          </w:tcPr>
          <w:p>
            <w:pPr>
              <w:spacing w:after="0"/>
              <w:rPr>
                <w:sz w:val="2"/>
                <w:szCs w:val="2"/>
                <w:color w:val="auto"/>
              </w:rPr>
            </w:pPr>
          </w:p>
        </w:tc>
        <w:tc>
          <w:tcPr>
            <w:tcW w:w="180" w:type="dxa"/>
            <w:vAlign w:val="bottom"/>
            <w:shd w:val="clear" w:color="auto" w:fill="000000"/>
          </w:tcPr>
          <w:p>
            <w:pPr>
              <w:spacing w:after="0"/>
              <w:rPr>
                <w:sz w:val="2"/>
                <w:szCs w:val="2"/>
                <w:color w:val="auto"/>
              </w:rPr>
            </w:pPr>
          </w:p>
        </w:tc>
        <w:tc>
          <w:tcPr>
            <w:tcW w:w="1060" w:type="dxa"/>
            <w:vAlign w:val="bottom"/>
            <w:shd w:val="clear" w:color="auto" w:fill="000000"/>
          </w:tcPr>
          <w:p>
            <w:pPr>
              <w:spacing w:after="0"/>
              <w:rPr>
                <w:sz w:val="2"/>
                <w:szCs w:val="2"/>
                <w:color w:val="auto"/>
              </w:rPr>
            </w:pPr>
          </w:p>
        </w:tc>
        <w:tc>
          <w:tcPr>
            <w:tcW w:w="240" w:type="dxa"/>
            <w:vAlign w:val="bottom"/>
          </w:tcPr>
          <w:p>
            <w:pPr>
              <w:spacing w:after="0"/>
              <w:rPr>
                <w:sz w:val="2"/>
                <w:szCs w:val="2"/>
                <w:color w:val="auto"/>
              </w:rPr>
            </w:pPr>
          </w:p>
        </w:tc>
        <w:tc>
          <w:tcPr>
            <w:tcW w:w="140" w:type="dxa"/>
            <w:vAlign w:val="bottom"/>
            <w:shd w:val="clear" w:color="auto" w:fill="000000"/>
          </w:tcPr>
          <w:p>
            <w:pPr>
              <w:spacing w:after="0"/>
              <w:rPr>
                <w:sz w:val="2"/>
                <w:szCs w:val="2"/>
                <w:color w:val="auto"/>
              </w:rPr>
            </w:pPr>
          </w:p>
        </w:tc>
        <w:tc>
          <w:tcPr>
            <w:tcW w:w="1100" w:type="dxa"/>
            <w:vAlign w:val="bottom"/>
            <w:tcBorders>
              <w:right w:val="single" w:sz="8" w:color="auto"/>
            </w:tcBorders>
            <w:shd w:val="clear" w:color="auto" w:fill="000000"/>
          </w:tcPr>
          <w:p>
            <w:pPr>
              <w:spacing w:after="0"/>
              <w:rPr>
                <w:sz w:val="2"/>
                <w:szCs w:val="2"/>
                <w:color w:val="auto"/>
              </w:rPr>
            </w:pPr>
          </w:p>
        </w:tc>
        <w:tc>
          <w:tcPr>
            <w:tcW w:w="8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8" w:lineRule="exact"/>
        <w:rPr>
          <w:sz w:val="20"/>
          <w:szCs w:val="20"/>
          <w:color w:val="auto"/>
        </w:rPr>
      </w:pPr>
    </w:p>
    <w:p>
      <w:pPr>
        <w:ind w:left="240"/>
        <w:spacing w:after="0"/>
        <w:rPr>
          <w:sz w:val="20"/>
          <w:szCs w:val="20"/>
          <w:color w:val="auto"/>
        </w:rPr>
      </w:pPr>
      <w:r>
        <w:rPr>
          <w:rFonts w:ascii="Arial" w:cs="Arial" w:eastAsia="Arial" w:hAnsi="Arial"/>
          <w:sz w:val="13"/>
          <w:szCs w:val="13"/>
          <w:color w:val="auto"/>
        </w:rPr>
        <w:t>(1) The condensed balance sheet as of December 31,2020 was derived from the audited balance sheet as of that date.</w:t>
      </w:r>
    </w:p>
    <w:p>
      <w:pPr>
        <w:spacing w:after="0" w:line="163"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See accompanying Notes to Condensed Financial Statements.</w:t>
      </w:r>
    </w:p>
    <w:p>
      <w:pPr>
        <w:spacing w:after="0" w:line="320"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5">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91" w:name="page92"/>
    <w:bookmarkEnd w:id="91"/>
    <w:p>
      <w:pPr>
        <w:jc w:val="center"/>
        <w:spacing w:after="0"/>
        <w:rPr>
          <w:sz w:val="20"/>
          <w:szCs w:val="20"/>
          <w:color w:val="auto"/>
        </w:rPr>
      </w:pPr>
      <w:r>
        <w:rPr>
          <w:rFonts w:ascii="Arial" w:cs="Arial" w:eastAsia="Arial" w:hAnsi="Arial"/>
          <w:sz w:val="13"/>
          <w:szCs w:val="13"/>
          <w:b w:val="1"/>
          <w:bCs w:val="1"/>
          <w:color w:val="auto"/>
        </w:rPr>
        <w:t>KNIGHTSCOPE, INC.</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CONDENSED STATEMENTS OF OPERATIONS</w:t>
      </w:r>
    </w:p>
    <w:p>
      <w:pPr>
        <w:spacing w:after="0" w:line="7"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(Unaudited)</w:t>
      </w:r>
    </w:p>
    <w:p>
      <w:pPr>
        <w:spacing w:after="0" w:line="161"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20" w:type="dxa"/>
            <w:vAlign w:val="bottom"/>
          </w:tcPr>
          <w:p>
            <w:pPr>
              <w:spacing w:after="0"/>
              <w:rPr>
                <w:sz w:val="14"/>
                <w:szCs w:val="14"/>
                <w:color w:val="auto"/>
              </w:rPr>
            </w:pPr>
          </w:p>
        </w:tc>
        <w:tc>
          <w:tcPr>
            <w:tcW w:w="6220" w:type="dxa"/>
            <w:vAlign w:val="bottom"/>
          </w:tcPr>
          <w:p>
            <w:pPr>
              <w:spacing w:after="0"/>
              <w:rPr>
                <w:sz w:val="14"/>
                <w:szCs w:val="14"/>
                <w:color w:val="auto"/>
              </w:rPr>
            </w:pP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520" w:type="dxa"/>
            <w:vAlign w:val="bottom"/>
            <w:gridSpan w:val="6"/>
          </w:tcPr>
          <w:p>
            <w:pPr>
              <w:jc w:val="right"/>
              <w:ind w:right="682"/>
              <w:spacing w:after="0"/>
              <w:rPr>
                <w:sz w:val="20"/>
                <w:szCs w:val="20"/>
                <w:color w:val="auto"/>
              </w:rPr>
            </w:pPr>
            <w:r>
              <w:rPr>
                <w:rFonts w:ascii="Arial" w:cs="Arial" w:eastAsia="Arial" w:hAnsi="Arial"/>
                <w:sz w:val="13"/>
                <w:szCs w:val="13"/>
                <w:b w:val="1"/>
                <w:bCs w:val="1"/>
                <w:color w:val="auto"/>
              </w:rPr>
              <w:t>Six months ended June 30,</w:t>
            </w:r>
          </w:p>
        </w:tc>
        <w:tc>
          <w:tcPr>
            <w:tcW w:w="0" w:type="dxa"/>
            <w:vAlign w:val="bottom"/>
          </w:tcPr>
          <w:p>
            <w:pPr>
              <w:spacing w:after="0"/>
              <w:rPr>
                <w:sz w:val="1"/>
                <w:szCs w:val="1"/>
                <w:color w:val="auto"/>
              </w:rPr>
            </w:pPr>
          </w:p>
        </w:tc>
      </w:tr>
      <w:tr>
        <w:trPr>
          <w:trHeight w:val="157"/>
        </w:trPr>
        <w:tc>
          <w:tcPr>
            <w:tcW w:w="20" w:type="dxa"/>
            <w:vAlign w:val="bottom"/>
          </w:tcPr>
          <w:p>
            <w:pPr>
              <w:spacing w:after="0"/>
              <w:rPr>
                <w:sz w:val="13"/>
                <w:szCs w:val="13"/>
                <w:color w:val="auto"/>
              </w:rPr>
            </w:pPr>
          </w:p>
        </w:tc>
        <w:tc>
          <w:tcPr>
            <w:tcW w:w="6220" w:type="dxa"/>
            <w:vAlign w:val="bottom"/>
            <w:tcBorders>
              <w:bottom w:val="single" w:sz="8" w:color="CCEEFF"/>
            </w:tcBorders>
          </w:tcPr>
          <w:p>
            <w:pPr>
              <w:spacing w:after="0"/>
              <w:rPr>
                <w:sz w:val="13"/>
                <w:szCs w:val="13"/>
                <w:color w:val="auto"/>
              </w:rPr>
            </w:pPr>
          </w:p>
        </w:tc>
        <w:tc>
          <w:tcPr>
            <w:tcW w:w="224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140" w:type="dxa"/>
            <w:vAlign w:val="bottom"/>
            <w:tcBorders>
              <w:top w:val="single" w:sz="8" w:color="auto"/>
              <w:bottom w:val="single" w:sz="8" w:color="CCEEFF"/>
            </w:tcBorders>
          </w:tcPr>
          <w:p>
            <w:pPr>
              <w:spacing w:after="0"/>
              <w:rPr>
                <w:sz w:val="13"/>
                <w:szCs w:val="13"/>
                <w:color w:val="auto"/>
              </w:rPr>
            </w:pPr>
          </w:p>
        </w:tc>
        <w:tc>
          <w:tcPr>
            <w:tcW w:w="100" w:type="dxa"/>
            <w:vAlign w:val="bottom"/>
            <w:tcBorders>
              <w:top w:val="single" w:sz="8" w:color="auto"/>
              <w:bottom w:val="single" w:sz="8" w:color="CCEEFF"/>
            </w:tcBorders>
          </w:tcPr>
          <w:p>
            <w:pPr>
              <w:spacing w:after="0"/>
              <w:rPr>
                <w:sz w:val="13"/>
                <w:szCs w:val="13"/>
                <w:color w:val="auto"/>
              </w:rPr>
            </w:pPr>
          </w:p>
        </w:tc>
        <w:tc>
          <w:tcPr>
            <w:tcW w:w="26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22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Revenue</w:t>
            </w:r>
          </w:p>
        </w:tc>
        <w:tc>
          <w:tcPr>
            <w:tcW w:w="2240" w:type="dxa"/>
            <w:vAlign w:val="bottom"/>
            <w:shd w:val="clear" w:color="auto" w:fill="CCEEFF"/>
          </w:tcPr>
          <w:p>
            <w:pPr>
              <w:spacing w:after="0"/>
              <w:rPr>
                <w:sz w:val="12"/>
                <w:szCs w:val="12"/>
                <w:color w:val="auto"/>
              </w:rPr>
            </w:pP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1,778,095</w:t>
            </w: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260" w:type="dxa"/>
            <w:vAlign w:val="bottom"/>
            <w:shd w:val="clear" w:color="auto" w:fill="CCEEFF"/>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1,637,548</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spacing w:after="0"/>
              <w:rPr>
                <w:sz w:val="20"/>
                <w:szCs w:val="20"/>
                <w:color w:val="auto"/>
              </w:rPr>
            </w:pPr>
            <w:r>
              <w:rPr>
                <w:rFonts w:ascii="Arial" w:cs="Arial" w:eastAsia="Arial" w:hAnsi="Arial"/>
                <w:sz w:val="13"/>
                <w:szCs w:val="13"/>
                <w:color w:val="auto"/>
              </w:rPr>
              <w:t>Cost of services</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2,517,675</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2,185,273</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622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gross loss</w:t>
            </w:r>
          </w:p>
        </w:tc>
        <w:tc>
          <w:tcPr>
            <w:tcW w:w="224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(739,580)</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(547,725)</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2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220" w:type="dxa"/>
            <w:vAlign w:val="bottom"/>
            <w:shd w:val="clear" w:color="auto" w:fill="CCEEFF"/>
          </w:tcPr>
          <w:p>
            <w:pPr>
              <w:spacing w:after="0"/>
              <w:rPr>
                <w:sz w:val="20"/>
                <w:szCs w:val="20"/>
                <w:color w:val="auto"/>
              </w:rPr>
            </w:pPr>
            <w:r>
              <w:rPr>
                <w:rFonts w:ascii="Arial" w:cs="Arial" w:eastAsia="Arial" w:hAnsi="Arial"/>
                <w:sz w:val="13"/>
                <w:szCs w:val="13"/>
                <w:color w:val="auto"/>
              </w:rPr>
              <w:t>Operating expenses:</w:t>
            </w:r>
          </w:p>
        </w:tc>
        <w:tc>
          <w:tcPr>
            <w:tcW w:w="22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Research and development</w:t>
            </w:r>
          </w:p>
        </w:tc>
        <w:tc>
          <w:tcPr>
            <w:tcW w:w="224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2,655,149</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1,298,540</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20" w:type="dxa"/>
            <w:vAlign w:val="bottom"/>
            <w:shd w:val="clear" w:color="auto" w:fill="CCEEFF"/>
          </w:tcPr>
          <w:p>
            <w:pPr>
              <w:ind w:left="100"/>
              <w:spacing w:after="0"/>
              <w:rPr>
                <w:sz w:val="20"/>
                <w:szCs w:val="20"/>
                <w:color w:val="auto"/>
              </w:rPr>
            </w:pPr>
            <w:r>
              <w:rPr>
                <w:rFonts w:ascii="Arial" w:cs="Arial" w:eastAsia="Arial" w:hAnsi="Arial"/>
                <w:sz w:val="13"/>
                <w:szCs w:val="13"/>
                <w:color w:val="auto"/>
              </w:rPr>
              <w:t>Sales and marketing</w:t>
            </w:r>
          </w:p>
        </w:tc>
        <w:tc>
          <w:tcPr>
            <w:tcW w:w="22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02"/>
              <w:spacing w:after="0"/>
              <w:rPr>
                <w:sz w:val="20"/>
                <w:szCs w:val="20"/>
                <w:color w:val="auto"/>
              </w:rPr>
            </w:pPr>
            <w:r>
              <w:rPr>
                <w:rFonts w:ascii="Arial" w:cs="Arial" w:eastAsia="Arial" w:hAnsi="Arial"/>
                <w:sz w:val="13"/>
                <w:szCs w:val="13"/>
                <w:color w:val="auto"/>
              </w:rPr>
              <w:t>6,630,731</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2,838,070</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General and administrative</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1,664,819</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980,089</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622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operating expenses</w:t>
            </w:r>
          </w:p>
        </w:tc>
        <w:tc>
          <w:tcPr>
            <w:tcW w:w="224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10,950,699</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5,116,699</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2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vMerge w:val="continue"/>
          </w:tcPr>
          <w:p>
            <w:pPr>
              <w:spacing w:after="0"/>
              <w:rPr>
                <w:sz w:val="14"/>
                <w:szCs w:val="14"/>
                <w:color w:val="auto"/>
              </w:rPr>
            </w:pPr>
          </w:p>
        </w:tc>
        <w:tc>
          <w:tcPr>
            <w:tcW w:w="6220" w:type="dxa"/>
            <w:vAlign w:val="bottom"/>
            <w:shd w:val="clear" w:color="auto" w:fill="CCEEFF"/>
          </w:tcPr>
          <w:p>
            <w:pPr>
              <w:spacing w:after="0"/>
              <w:rPr>
                <w:sz w:val="20"/>
                <w:szCs w:val="20"/>
                <w:color w:val="auto"/>
              </w:rPr>
            </w:pPr>
            <w:r>
              <w:rPr>
                <w:rFonts w:ascii="Arial" w:cs="Arial" w:eastAsia="Arial" w:hAnsi="Arial"/>
                <w:sz w:val="13"/>
                <w:szCs w:val="13"/>
                <w:color w:val="auto"/>
              </w:rPr>
              <w:t>Loss from operations</w:t>
            </w:r>
          </w:p>
        </w:tc>
        <w:tc>
          <w:tcPr>
            <w:tcW w:w="224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62"/>
              <w:spacing w:after="0"/>
              <w:rPr>
                <w:sz w:val="20"/>
                <w:szCs w:val="20"/>
                <w:color w:val="auto"/>
              </w:rPr>
            </w:pPr>
            <w:r>
              <w:rPr>
                <w:rFonts w:ascii="Arial" w:cs="Arial" w:eastAsia="Arial" w:hAnsi="Arial"/>
                <w:sz w:val="13"/>
                <w:szCs w:val="13"/>
                <w:color w:val="auto"/>
              </w:rPr>
              <w:t>(11,690,279)</w:t>
            </w:r>
          </w:p>
        </w:tc>
        <w:tc>
          <w:tcPr>
            <w:tcW w:w="100" w:type="dxa"/>
            <w:vAlign w:val="bottom"/>
            <w:shd w:val="clear" w:color="auto" w:fill="CCEEFF"/>
          </w:tcPr>
          <w:p>
            <w:pPr>
              <w:spacing w:after="0"/>
              <w:rPr>
                <w:sz w:val="14"/>
                <w:szCs w:val="14"/>
                <w:color w:val="auto"/>
              </w:rPr>
            </w:pPr>
          </w:p>
        </w:tc>
        <w:tc>
          <w:tcPr>
            <w:tcW w:w="260" w:type="dxa"/>
            <w:vAlign w:val="bottom"/>
            <w:shd w:val="clear" w:color="auto" w:fill="CCEEFF"/>
          </w:tcPr>
          <w:p>
            <w:pPr>
              <w:spacing w:after="0"/>
              <w:rPr>
                <w:sz w:val="14"/>
                <w:szCs w:val="14"/>
                <w:color w:val="auto"/>
              </w:rPr>
            </w:pPr>
          </w:p>
        </w:tc>
        <w:tc>
          <w:tcPr>
            <w:tcW w:w="1060" w:type="dxa"/>
            <w:vAlign w:val="bottom"/>
            <w:gridSpan w:val="2"/>
            <w:shd w:val="clear" w:color="auto" w:fill="CCEEFF"/>
          </w:tcPr>
          <w:p>
            <w:pPr>
              <w:jc w:val="right"/>
              <w:ind w:right="22"/>
              <w:spacing w:after="0"/>
              <w:rPr>
                <w:sz w:val="20"/>
                <w:szCs w:val="20"/>
                <w:color w:val="auto"/>
              </w:rPr>
            </w:pPr>
            <w:r>
              <w:rPr>
                <w:rFonts w:ascii="Arial" w:cs="Arial" w:eastAsia="Arial" w:hAnsi="Arial"/>
                <w:sz w:val="13"/>
                <w:szCs w:val="13"/>
                <w:color w:val="auto"/>
              </w:rPr>
              <w:t>(5,664,424)</w:t>
            </w: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2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280" w:type="dxa"/>
            <w:vAlign w:val="bottom"/>
            <w:tcBorders>
              <w:top w:val="single" w:sz="8" w:color="auto"/>
            </w:tcBorders>
          </w:tcPr>
          <w:p>
            <w:pPr>
              <w:spacing w:after="0"/>
              <w:rPr>
                <w:sz w:val="12"/>
                <w:szCs w:val="12"/>
                <w:color w:val="auto"/>
              </w:rPr>
            </w:pPr>
          </w:p>
        </w:tc>
        <w:tc>
          <w:tcPr>
            <w:tcW w:w="960" w:type="dxa"/>
            <w:vAlign w:val="bottom"/>
            <w:tcBorders>
              <w:top w:val="single" w:sz="8" w:color="auto"/>
            </w:tcBorders>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Borders>
              <w:top w:val="single" w:sz="8" w:color="auto"/>
            </w:tcBorders>
          </w:tcPr>
          <w:p>
            <w:pPr>
              <w:spacing w:after="0"/>
              <w:rPr>
                <w:sz w:val="12"/>
                <w:szCs w:val="12"/>
                <w:color w:val="auto"/>
              </w:rPr>
            </w:pPr>
          </w:p>
        </w:tc>
        <w:tc>
          <w:tcPr>
            <w:tcW w:w="960" w:type="dxa"/>
            <w:vAlign w:val="bottom"/>
            <w:tcBorders>
              <w:top w:val="single" w:sz="8" w:color="auto"/>
            </w:tcBorders>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220" w:type="dxa"/>
            <w:vAlign w:val="bottom"/>
            <w:shd w:val="clear" w:color="auto" w:fill="CCEEFF"/>
          </w:tcPr>
          <w:p>
            <w:pPr>
              <w:spacing w:after="0"/>
              <w:rPr>
                <w:sz w:val="20"/>
                <w:szCs w:val="20"/>
                <w:color w:val="auto"/>
              </w:rPr>
            </w:pPr>
            <w:r>
              <w:rPr>
                <w:rFonts w:ascii="Arial" w:cs="Arial" w:eastAsia="Arial" w:hAnsi="Arial"/>
                <w:sz w:val="13"/>
                <w:szCs w:val="13"/>
                <w:color w:val="auto"/>
              </w:rPr>
              <w:t>Other income (expense):</w:t>
            </w:r>
          </w:p>
        </w:tc>
        <w:tc>
          <w:tcPr>
            <w:tcW w:w="22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Interest expense, net</w:t>
            </w:r>
          </w:p>
        </w:tc>
        <w:tc>
          <w:tcPr>
            <w:tcW w:w="224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62"/>
              <w:spacing w:after="0"/>
              <w:rPr>
                <w:sz w:val="20"/>
                <w:szCs w:val="20"/>
                <w:color w:val="auto"/>
              </w:rPr>
            </w:pPr>
            <w:r>
              <w:rPr>
                <w:rFonts w:ascii="Arial" w:cs="Arial" w:eastAsia="Arial" w:hAnsi="Arial"/>
                <w:sz w:val="13"/>
                <w:szCs w:val="13"/>
                <w:color w:val="auto"/>
              </w:rPr>
              <w:t>(1,133,755)</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060" w:type="dxa"/>
            <w:vAlign w:val="bottom"/>
            <w:gridSpan w:val="2"/>
          </w:tcPr>
          <w:p>
            <w:pPr>
              <w:jc w:val="right"/>
              <w:ind w:right="22"/>
              <w:spacing w:after="0"/>
              <w:rPr>
                <w:sz w:val="20"/>
                <w:szCs w:val="20"/>
                <w:color w:val="auto"/>
              </w:rPr>
            </w:pPr>
            <w:r>
              <w:rPr>
                <w:rFonts w:ascii="Arial" w:cs="Arial" w:eastAsia="Arial" w:hAnsi="Arial"/>
                <w:sz w:val="13"/>
                <w:szCs w:val="13"/>
                <w:color w:val="auto"/>
              </w:rPr>
              <w:t>(1,082,832)</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20" w:type="dxa"/>
            <w:vAlign w:val="bottom"/>
            <w:shd w:val="clear" w:color="auto" w:fill="CCEEFF"/>
          </w:tcPr>
          <w:p>
            <w:pPr>
              <w:ind w:left="100"/>
              <w:spacing w:after="0"/>
              <w:rPr>
                <w:sz w:val="20"/>
                <w:szCs w:val="20"/>
                <w:color w:val="auto"/>
              </w:rPr>
            </w:pPr>
            <w:r>
              <w:rPr>
                <w:rFonts w:ascii="Arial" w:cs="Arial" w:eastAsia="Arial" w:hAnsi="Arial"/>
                <w:sz w:val="13"/>
                <w:szCs w:val="13"/>
                <w:color w:val="auto"/>
              </w:rPr>
              <w:t>Change in fair value of warrant liabilities</w:t>
            </w:r>
          </w:p>
        </w:tc>
        <w:tc>
          <w:tcPr>
            <w:tcW w:w="22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62"/>
              <w:spacing w:after="0"/>
              <w:rPr>
                <w:sz w:val="20"/>
                <w:szCs w:val="20"/>
                <w:color w:val="auto"/>
              </w:rPr>
            </w:pPr>
            <w:r>
              <w:rPr>
                <w:rFonts w:ascii="Arial" w:cs="Arial" w:eastAsia="Arial" w:hAnsi="Arial"/>
                <w:sz w:val="13"/>
                <w:szCs w:val="13"/>
                <w:color w:val="auto"/>
              </w:rPr>
              <w:t>(10,737,001)</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22"/>
              <w:spacing w:after="0"/>
              <w:rPr>
                <w:sz w:val="20"/>
                <w:szCs w:val="20"/>
                <w:color w:val="auto"/>
              </w:rPr>
            </w:pPr>
            <w:r>
              <w:rPr>
                <w:rFonts w:ascii="Arial" w:cs="Arial" w:eastAsia="Arial" w:hAnsi="Arial"/>
                <w:sz w:val="13"/>
                <w:szCs w:val="13"/>
                <w:color w:val="auto"/>
              </w:rPr>
              <w:t>(2,424,706)</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Other income, net</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820,722</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60" w:type="dxa"/>
            <w:vAlign w:val="bottom"/>
            <w:gridSpan w:val="2"/>
          </w:tcPr>
          <w:p>
            <w:pPr>
              <w:jc w:val="right"/>
              <w:ind w:right="62"/>
              <w:spacing w:after="0"/>
              <w:rPr>
                <w:sz w:val="20"/>
                <w:szCs w:val="20"/>
                <w:color w:val="auto"/>
              </w:rPr>
            </w:pPr>
            <w:r>
              <w:rPr>
                <w:rFonts w:ascii="Arial" w:cs="Arial" w:eastAsia="Arial" w:hAnsi="Arial"/>
                <w:sz w:val="13"/>
                <w:szCs w:val="13"/>
                <w:color w:val="auto"/>
              </w:rPr>
              <w:t>31,853</w:t>
            </w: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622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Total other income (expense)</w:t>
            </w:r>
          </w:p>
        </w:tc>
        <w:tc>
          <w:tcPr>
            <w:tcW w:w="224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(11,050,034)</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(3,475,685)</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220" w:type="dxa"/>
            <w:vAlign w:val="bottom"/>
          </w:tcPr>
          <w:p>
            <w:pPr>
              <w:spacing w:after="0"/>
              <w:rPr>
                <w:sz w:val="12"/>
                <w:szCs w:val="12"/>
                <w:color w:val="auto"/>
              </w:rPr>
            </w:pPr>
          </w:p>
        </w:tc>
        <w:tc>
          <w:tcPr>
            <w:tcW w:w="224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220" w:type="dxa"/>
            <w:vAlign w:val="bottom"/>
            <w:shd w:val="clear" w:color="auto" w:fill="CCEEFF"/>
          </w:tcPr>
          <w:p>
            <w:pPr>
              <w:spacing w:after="0"/>
              <w:rPr>
                <w:sz w:val="20"/>
                <w:szCs w:val="20"/>
                <w:color w:val="auto"/>
              </w:rPr>
            </w:pPr>
            <w:r>
              <w:rPr>
                <w:rFonts w:ascii="Arial" w:cs="Arial" w:eastAsia="Arial" w:hAnsi="Arial"/>
                <w:sz w:val="13"/>
                <w:szCs w:val="13"/>
                <w:color w:val="auto"/>
              </w:rPr>
              <w:t>Net loss before income tax expense</w:t>
            </w:r>
          </w:p>
        </w:tc>
        <w:tc>
          <w:tcPr>
            <w:tcW w:w="224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62"/>
              <w:spacing w:after="0"/>
              <w:rPr>
                <w:sz w:val="20"/>
                <w:szCs w:val="20"/>
                <w:color w:val="auto"/>
              </w:rPr>
            </w:pPr>
            <w:r>
              <w:rPr>
                <w:rFonts w:ascii="Arial" w:cs="Arial" w:eastAsia="Arial" w:hAnsi="Arial"/>
                <w:sz w:val="13"/>
                <w:szCs w:val="13"/>
                <w:color w:val="auto"/>
              </w:rPr>
              <w:t>(22,740,313)</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22"/>
              <w:spacing w:after="0"/>
              <w:rPr>
                <w:sz w:val="20"/>
                <w:szCs w:val="20"/>
                <w:color w:val="auto"/>
              </w:rPr>
            </w:pPr>
            <w:r>
              <w:rPr>
                <w:rFonts w:ascii="Arial" w:cs="Arial" w:eastAsia="Arial" w:hAnsi="Arial"/>
                <w:sz w:val="13"/>
                <w:szCs w:val="13"/>
                <w:color w:val="auto"/>
              </w:rPr>
              <w:t>(9,140,109)</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spacing w:after="0"/>
              <w:rPr>
                <w:sz w:val="20"/>
                <w:szCs w:val="20"/>
                <w:color w:val="auto"/>
              </w:rPr>
            </w:pPr>
            <w:r>
              <w:rPr>
                <w:rFonts w:ascii="Arial" w:cs="Arial" w:eastAsia="Arial" w:hAnsi="Arial"/>
                <w:sz w:val="13"/>
                <w:szCs w:val="13"/>
                <w:color w:val="auto"/>
              </w:rPr>
              <w:t>Income tax expense</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2"/>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60" w:type="dxa"/>
            <w:vAlign w:val="bottom"/>
            <w:gridSpan w:val="2"/>
          </w:tcPr>
          <w:p>
            <w:pPr>
              <w:jc w:val="right"/>
              <w:ind w:right="22"/>
              <w:spacing w:after="0"/>
              <w:rPr>
                <w:sz w:val="20"/>
                <w:szCs w:val="20"/>
                <w:color w:val="auto"/>
              </w:rPr>
            </w:pPr>
            <w:r>
              <w:rPr>
                <w:rFonts w:ascii="Arial" w:cs="Arial" w:eastAsia="Arial" w:hAnsi="Arial"/>
                <w:sz w:val="13"/>
                <w:szCs w:val="13"/>
                <w:color w:val="auto"/>
              </w:rPr>
              <w:t>(800)</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220" w:type="dxa"/>
            <w:vAlign w:val="bottom"/>
            <w:tcBorders>
              <w:top w:val="single" w:sz="8" w:color="CCEEFF"/>
            </w:tcBorders>
            <w:shd w:val="clear" w:color="auto" w:fill="CCEEFF"/>
          </w:tcPr>
          <w:p>
            <w:pPr>
              <w:spacing w:after="0" w:line="145" w:lineRule="exact"/>
              <w:rPr>
                <w:sz w:val="20"/>
                <w:szCs w:val="20"/>
                <w:color w:val="auto"/>
              </w:rPr>
            </w:pPr>
            <w:r>
              <w:rPr>
                <w:rFonts w:ascii="Arial" w:cs="Arial" w:eastAsia="Arial" w:hAnsi="Arial"/>
                <w:sz w:val="13"/>
                <w:szCs w:val="13"/>
                <w:color w:val="auto"/>
              </w:rPr>
              <w:t>Net loss</w:t>
            </w:r>
          </w:p>
        </w:tc>
        <w:tc>
          <w:tcPr>
            <w:tcW w:w="224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tcBorders>
            <w:shd w:val="clear" w:color="auto" w:fill="CCEEFF"/>
          </w:tcPr>
          <w:p>
            <w:pPr>
              <w:spacing w:after="0"/>
              <w:rPr>
                <w:sz w:val="12"/>
                <w:szCs w:val="12"/>
                <w:color w:val="auto"/>
              </w:rPr>
            </w:pPr>
          </w:p>
        </w:tc>
        <w:tc>
          <w:tcPr>
            <w:tcW w:w="960" w:type="dxa"/>
            <w:vAlign w:val="bottom"/>
            <w:tcBorders>
              <w:top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(22,740,313)</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tcBorders>
            <w:shd w:val="clear" w:color="auto" w:fill="CCEEFF"/>
          </w:tcPr>
          <w:p>
            <w:pPr>
              <w:spacing w:after="0"/>
              <w:rPr>
                <w:sz w:val="12"/>
                <w:szCs w:val="12"/>
                <w:color w:val="auto"/>
              </w:rPr>
            </w:pPr>
          </w:p>
        </w:tc>
        <w:tc>
          <w:tcPr>
            <w:tcW w:w="960" w:type="dxa"/>
            <w:vAlign w:val="bottom"/>
            <w:tcBorders>
              <w:top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(9,140,909)</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Pr>
          <w:p>
            <w:pPr>
              <w:ind w:left="100"/>
              <w:spacing w:after="0"/>
              <w:rPr>
                <w:sz w:val="20"/>
                <w:szCs w:val="20"/>
                <w:color w:val="auto"/>
              </w:rPr>
            </w:pPr>
            <w:r>
              <w:rPr>
                <w:rFonts w:ascii="Arial" w:cs="Arial" w:eastAsia="Arial" w:hAnsi="Arial"/>
                <w:sz w:val="13"/>
                <w:szCs w:val="13"/>
                <w:color w:val="auto"/>
              </w:rPr>
              <w:t>Preferred stock dividends</w:t>
            </w:r>
          </w:p>
        </w:tc>
        <w:tc>
          <w:tcPr>
            <w:tcW w:w="22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62"/>
              <w:spacing w:after="0"/>
              <w:rPr>
                <w:sz w:val="20"/>
                <w:szCs w:val="20"/>
                <w:color w:val="auto"/>
              </w:rPr>
            </w:pPr>
            <w:r>
              <w:rPr>
                <w:rFonts w:ascii="Arial" w:cs="Arial" w:eastAsia="Arial" w:hAnsi="Arial"/>
                <w:sz w:val="13"/>
                <w:szCs w:val="13"/>
                <w:color w:val="auto"/>
              </w:rPr>
              <w:t>(359,028)</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60" w:type="dxa"/>
            <w:vAlign w:val="bottom"/>
            <w:gridSpan w:val="2"/>
          </w:tcPr>
          <w:p>
            <w:pPr>
              <w:jc w:val="right"/>
              <w:ind w:right="22"/>
              <w:spacing w:after="0"/>
              <w:rPr>
                <w:sz w:val="20"/>
                <w:szCs w:val="20"/>
                <w:color w:val="auto"/>
              </w:rPr>
            </w:pPr>
            <w:r>
              <w:rPr>
                <w:rFonts w:ascii="Arial" w:cs="Arial" w:eastAsia="Arial" w:hAnsi="Arial"/>
                <w:sz w:val="13"/>
                <w:szCs w:val="13"/>
                <w:color w:val="auto"/>
              </w:rPr>
              <w:t>(319,690)</w:t>
            </w: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6220" w:type="dxa"/>
            <w:vAlign w:val="bottom"/>
            <w:vMerge w:val="restart"/>
            <w:shd w:val="clear" w:color="auto" w:fill="CCEEFF"/>
          </w:tcPr>
          <w:p>
            <w:pPr>
              <w:spacing w:after="0"/>
              <w:rPr>
                <w:sz w:val="20"/>
                <w:szCs w:val="20"/>
                <w:color w:val="auto"/>
              </w:rPr>
            </w:pPr>
            <w:r>
              <w:rPr>
                <w:rFonts w:ascii="Arial" w:cs="Arial" w:eastAsia="Arial" w:hAnsi="Arial"/>
                <w:sz w:val="13"/>
                <w:szCs w:val="13"/>
                <w:color w:val="auto"/>
              </w:rPr>
              <w:t>Net loss attributable to common stockholders</w:t>
            </w:r>
          </w:p>
        </w:tc>
        <w:tc>
          <w:tcPr>
            <w:tcW w:w="2240" w:type="dxa"/>
            <w:vAlign w:val="bottom"/>
            <w:shd w:val="clear" w:color="auto" w:fill="CCEEFF"/>
          </w:tcPr>
          <w:p>
            <w:pPr>
              <w:spacing w:after="0" w:line="20" w:lineRule="exact"/>
              <w:rPr>
                <w:sz w:val="1"/>
                <w:szCs w:val="1"/>
                <w:color w:val="auto"/>
              </w:rPr>
            </w:pPr>
          </w:p>
        </w:tc>
        <w:tc>
          <w:tcPr>
            <w:tcW w:w="28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140" w:type="dxa"/>
            <w:vAlign w:val="bottom"/>
            <w:vMerge w:val="restart"/>
            <w:shd w:val="clear" w:color="auto" w:fill="CCEEFF"/>
          </w:tcPr>
          <w:p>
            <w:pPr>
              <w:jc w:val="right"/>
              <w:ind w:right="62"/>
              <w:spacing w:after="0"/>
              <w:rPr>
                <w:sz w:val="20"/>
                <w:szCs w:val="20"/>
                <w:color w:val="auto"/>
              </w:rPr>
            </w:pPr>
            <w:r>
              <w:rPr>
                <w:rFonts w:ascii="Arial" w:cs="Arial" w:eastAsia="Arial" w:hAnsi="Arial"/>
                <w:sz w:val="8"/>
                <w:szCs w:val="8"/>
                <w:color w:val="auto"/>
                <w:w w:val="73"/>
              </w:rPr>
              <w:t>)</w:t>
            </w:r>
          </w:p>
        </w:tc>
        <w:tc>
          <w:tcPr>
            <w:tcW w:w="100" w:type="dxa"/>
            <w:vAlign w:val="bottom"/>
            <w:shd w:val="clear" w:color="auto" w:fill="CCEEFF"/>
          </w:tcPr>
          <w:p>
            <w:pPr>
              <w:spacing w:after="0" w:line="20" w:lineRule="exact"/>
              <w:rPr>
                <w:sz w:val="1"/>
                <w:szCs w:val="1"/>
                <w:color w:val="auto"/>
              </w:rPr>
            </w:pPr>
          </w:p>
        </w:tc>
        <w:tc>
          <w:tcPr>
            <w:tcW w:w="26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100" w:type="dxa"/>
            <w:vAlign w:val="bottom"/>
            <w:vMerge w:val="restart"/>
            <w:shd w:val="clear" w:color="auto" w:fill="CCEEFF"/>
          </w:tcPr>
          <w:p>
            <w:pPr>
              <w:jc w:val="right"/>
              <w:ind w:right="22"/>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line="20" w:lineRule="exact"/>
              <w:rPr>
                <w:sz w:val="1"/>
                <w:szCs w:val="1"/>
                <w:color w:val="auto"/>
              </w:rPr>
            </w:pPr>
          </w:p>
        </w:tc>
      </w:tr>
      <w:tr>
        <w:trPr>
          <w:trHeight w:val="175"/>
        </w:trPr>
        <w:tc>
          <w:tcPr>
            <w:tcW w:w="20" w:type="dxa"/>
            <w:vAlign w:val="bottom"/>
          </w:tcPr>
          <w:p>
            <w:pPr>
              <w:spacing w:after="0"/>
              <w:rPr>
                <w:sz w:val="15"/>
                <w:szCs w:val="15"/>
                <w:color w:val="auto"/>
              </w:rPr>
            </w:pPr>
          </w:p>
        </w:tc>
        <w:tc>
          <w:tcPr>
            <w:tcW w:w="6220" w:type="dxa"/>
            <w:vAlign w:val="bottom"/>
            <w:vMerge w:val="continue"/>
            <w:shd w:val="clear" w:color="auto" w:fill="CCEEFF"/>
          </w:tcPr>
          <w:p>
            <w:pPr>
              <w:spacing w:after="0"/>
              <w:rPr>
                <w:sz w:val="15"/>
                <w:szCs w:val="15"/>
                <w:color w:val="auto"/>
              </w:rPr>
            </w:pPr>
          </w:p>
        </w:tc>
        <w:tc>
          <w:tcPr>
            <w:tcW w:w="2520" w:type="dxa"/>
            <w:vAlign w:val="bottom"/>
            <w:gridSpan w:val="2"/>
            <w:shd w:val="clear" w:color="auto" w:fill="CCEEFF"/>
          </w:tcPr>
          <w:p>
            <w:pPr>
              <w:jc w:val="right"/>
              <w:ind w:right="171"/>
              <w:spacing w:after="0"/>
              <w:rPr>
                <w:sz w:val="20"/>
                <w:szCs w:val="20"/>
                <w:color w:val="auto"/>
              </w:rPr>
            </w:pPr>
            <w:r>
              <w:rPr>
                <w:rFonts w:ascii="Arial" w:cs="Arial" w:eastAsia="Arial" w:hAnsi="Arial"/>
                <w:sz w:val="13"/>
                <w:szCs w:val="13"/>
                <w:color w:val="auto"/>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(23,099,341</w:t>
            </w:r>
          </w:p>
        </w:tc>
        <w:tc>
          <w:tcPr>
            <w:tcW w:w="140" w:type="dxa"/>
            <w:vAlign w:val="bottom"/>
            <w:vMerge w:val="continue"/>
            <w:shd w:val="clear" w:color="auto" w:fill="CCEEFF"/>
          </w:tcPr>
          <w:p>
            <w:pPr>
              <w:spacing w:after="0"/>
              <w:rPr>
                <w:sz w:val="15"/>
                <w:szCs w:val="15"/>
                <w:color w:val="auto"/>
              </w:rPr>
            </w:pPr>
          </w:p>
        </w:tc>
        <w:tc>
          <w:tcPr>
            <w:tcW w:w="360" w:type="dxa"/>
            <w:vAlign w:val="bottom"/>
            <w:gridSpan w:val="2"/>
            <w:shd w:val="clear" w:color="auto" w:fill="CCEEFF"/>
          </w:tcPr>
          <w:p>
            <w:pPr>
              <w:jc w:val="right"/>
              <w:ind w:right="151"/>
              <w:spacing w:after="0"/>
              <w:rPr>
                <w:sz w:val="20"/>
                <w:szCs w:val="20"/>
                <w:color w:val="auto"/>
              </w:rPr>
            </w:pPr>
            <w:r>
              <w:rPr>
                <w:rFonts w:ascii="Arial" w:cs="Arial" w:eastAsia="Arial" w:hAnsi="Arial"/>
                <w:sz w:val="13"/>
                <w:szCs w:val="13"/>
                <w:color w:val="auto"/>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(9,460,599</w:t>
            </w:r>
          </w:p>
        </w:tc>
        <w:tc>
          <w:tcPr>
            <w:tcW w:w="100" w:type="dxa"/>
            <w:vAlign w:val="bottom"/>
            <w:vMerge w:val="continue"/>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220" w:type="dxa"/>
            <w:vAlign w:val="bottom"/>
            <w:tcBorders>
              <w:top w:val="single" w:sz="8" w:color="CCEEFF"/>
              <w:bottom w:val="single" w:sz="8" w:color="CCEEFF"/>
            </w:tcBorders>
          </w:tcPr>
          <w:p>
            <w:pPr>
              <w:spacing w:after="0" w:line="144" w:lineRule="exact"/>
              <w:rPr>
                <w:sz w:val="20"/>
                <w:szCs w:val="20"/>
                <w:color w:val="auto"/>
              </w:rPr>
            </w:pPr>
            <w:r>
              <w:rPr>
                <w:rFonts w:ascii="Arial" w:cs="Arial" w:eastAsia="Arial" w:hAnsi="Arial"/>
                <w:sz w:val="13"/>
                <w:szCs w:val="13"/>
                <w:color w:val="auto"/>
              </w:rPr>
              <w:t>Basic and diluted net loss per common share</w:t>
            </w:r>
          </w:p>
        </w:tc>
        <w:tc>
          <w:tcPr>
            <w:tcW w:w="2240" w:type="dxa"/>
            <w:vAlign w:val="bottom"/>
            <w:tcBorders>
              <w:top w:val="single" w:sz="8" w:color="CCEEFF"/>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(2.27</w:t>
            </w:r>
          </w:p>
        </w:tc>
        <w:tc>
          <w:tcPr>
            <w:tcW w:w="140" w:type="dxa"/>
            <w:vAlign w:val="bottom"/>
            <w:tcBorders>
              <w:top w:val="single" w:sz="8" w:color="CCEEFF"/>
              <w:bottom w:val="single" w:sz="8" w:color="CCEEFF"/>
            </w:tcBorders>
          </w:tcPr>
          <w:p>
            <w:pPr>
              <w:jc w:val="right"/>
              <w:ind w:right="62"/>
              <w:spacing w:after="0"/>
              <w:rPr>
                <w:sz w:val="20"/>
                <w:szCs w:val="20"/>
                <w:color w:val="auto"/>
              </w:rPr>
            </w:pPr>
            <w:r>
              <w:rPr>
                <w:rFonts w:ascii="Arial" w:cs="Arial" w:eastAsia="Arial" w:hAnsi="Arial"/>
                <w:sz w:val="8"/>
                <w:szCs w:val="8"/>
                <w:color w:val="auto"/>
                <w:w w:val="73"/>
              </w:rPr>
              <w:t>)</w:t>
            </w:r>
          </w:p>
        </w:tc>
        <w:tc>
          <w:tcPr>
            <w:tcW w:w="100" w:type="dxa"/>
            <w:vAlign w:val="bottom"/>
            <w:tcBorders>
              <w:top w:val="single" w:sz="8" w:color="CCEEFF"/>
              <w:bottom w:val="single" w:sz="8" w:color="CCEEFF"/>
            </w:tcBorders>
          </w:tcPr>
          <w:p>
            <w:pPr>
              <w:spacing w:after="0"/>
              <w:rPr>
                <w:sz w:val="13"/>
                <w:szCs w:val="13"/>
                <w:color w:val="auto"/>
              </w:rPr>
            </w:pPr>
          </w:p>
        </w:tc>
        <w:tc>
          <w:tcPr>
            <w:tcW w:w="260" w:type="dxa"/>
            <w:vAlign w:val="bottom"/>
            <w:tcBorders>
              <w:top w:val="single" w:sz="8" w:color="auto"/>
              <w:bottom w:val="single" w:sz="8" w:color="auto"/>
            </w:tcBorders>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(0.93</w:t>
            </w:r>
          </w:p>
        </w:tc>
        <w:tc>
          <w:tcPr>
            <w:tcW w:w="100" w:type="dxa"/>
            <w:vAlign w:val="bottom"/>
            <w:tcBorders>
              <w:top w:val="single" w:sz="8" w:color="CCEEFF"/>
              <w:bottom w:val="single" w:sz="8" w:color="CCEEFF"/>
            </w:tcBorders>
          </w:tcPr>
          <w:p>
            <w:pPr>
              <w:jc w:val="right"/>
              <w:ind w:right="22"/>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220" w:type="dxa"/>
            <w:vAlign w:val="bottom"/>
            <w:tcBorders>
              <w:bottom w:val="single" w:sz="8" w:color="CCEEFF"/>
            </w:tcBorders>
            <w:shd w:val="clear" w:color="auto" w:fill="CCEEFF"/>
          </w:tcPr>
          <w:p>
            <w:pPr>
              <w:spacing w:after="0" w:line="145" w:lineRule="exact"/>
              <w:rPr>
                <w:sz w:val="20"/>
                <w:szCs w:val="20"/>
                <w:color w:val="auto"/>
              </w:rPr>
            </w:pPr>
            <w:r>
              <w:rPr>
                <w:rFonts w:ascii="Arial" w:cs="Arial" w:eastAsia="Arial" w:hAnsi="Arial"/>
                <w:sz w:val="13"/>
                <w:szCs w:val="13"/>
                <w:color w:val="auto"/>
              </w:rPr>
              <w:t>Weighted average shares used to compute basic and diluted net loss per share</w:t>
            </w:r>
          </w:p>
        </w:tc>
        <w:tc>
          <w:tcPr>
            <w:tcW w:w="2240" w:type="dxa"/>
            <w:vAlign w:val="bottom"/>
            <w:tcBorders>
              <w:bottom w:val="single" w:sz="8" w:color="CCEEFF"/>
            </w:tcBorders>
            <w:shd w:val="clear" w:color="auto" w:fill="CCEEFF"/>
          </w:tcPr>
          <w:p>
            <w:pPr>
              <w:spacing w:after="0"/>
              <w:rPr>
                <w:sz w:val="14"/>
                <w:szCs w:val="14"/>
                <w:color w:val="auto"/>
              </w:rPr>
            </w:pPr>
          </w:p>
        </w:tc>
        <w:tc>
          <w:tcPr>
            <w:tcW w:w="280" w:type="dxa"/>
            <w:vAlign w:val="bottom"/>
            <w:tcBorders>
              <w:bottom w:val="single" w:sz="8" w:color="auto"/>
            </w:tcBorders>
            <w:shd w:val="clear" w:color="auto" w:fill="CCEEFF"/>
          </w:tcPr>
          <w:p>
            <w:pPr>
              <w:spacing w:after="0"/>
              <w:rPr>
                <w:sz w:val="14"/>
                <w:szCs w:val="14"/>
                <w:color w:val="auto"/>
              </w:rPr>
            </w:pP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10,189,000</w:t>
            </w:r>
          </w:p>
        </w:tc>
        <w:tc>
          <w:tcPr>
            <w:tcW w:w="140" w:type="dxa"/>
            <w:vAlign w:val="bottom"/>
            <w:tcBorders>
              <w:bottom w:val="single" w:sz="8" w:color="CCEEFF"/>
            </w:tcBorders>
            <w:shd w:val="clear" w:color="auto" w:fill="CCEEFF"/>
          </w:tcPr>
          <w:p>
            <w:pPr>
              <w:spacing w:after="0"/>
              <w:rPr>
                <w:sz w:val="14"/>
                <w:szCs w:val="14"/>
                <w:color w:val="auto"/>
              </w:rPr>
            </w:pPr>
          </w:p>
        </w:tc>
        <w:tc>
          <w:tcPr>
            <w:tcW w:w="100" w:type="dxa"/>
            <w:vAlign w:val="bottom"/>
            <w:tcBorders>
              <w:bottom w:val="single" w:sz="8" w:color="CCEEFF"/>
            </w:tcBorders>
            <w:shd w:val="clear" w:color="auto" w:fill="CCEEFF"/>
          </w:tcPr>
          <w:p>
            <w:pPr>
              <w:spacing w:after="0"/>
              <w:rPr>
                <w:sz w:val="14"/>
                <w:szCs w:val="14"/>
                <w:color w:val="auto"/>
              </w:rPr>
            </w:pPr>
          </w:p>
        </w:tc>
        <w:tc>
          <w:tcPr>
            <w:tcW w:w="260" w:type="dxa"/>
            <w:vAlign w:val="bottom"/>
            <w:tcBorders>
              <w:bottom w:val="single" w:sz="8" w:color="auto"/>
            </w:tcBorders>
            <w:shd w:val="clear" w:color="auto" w:fill="CCEEFF"/>
          </w:tcPr>
          <w:p>
            <w:pPr>
              <w:spacing w:after="0"/>
              <w:rPr>
                <w:sz w:val="14"/>
                <w:szCs w:val="14"/>
                <w:color w:val="auto"/>
              </w:rPr>
            </w:pP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10,189,000</w:t>
            </w:r>
          </w:p>
        </w:tc>
        <w:tc>
          <w:tcPr>
            <w:tcW w:w="100" w:type="dxa"/>
            <w:vAlign w:val="bottom"/>
            <w:tcBorders>
              <w:bottom w:val="single" w:sz="8" w:color="CCEEFF"/>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bl>
    <w:p>
      <w:pPr>
        <w:spacing w:after="0" w:line="148"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See accompanying Notes to Condensed Financial Statements.</w:t>
      </w:r>
    </w:p>
    <w:p>
      <w:pPr>
        <w:spacing w:after="0" w:line="320"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6">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92" w:name="page93"/>
    <w:bookmarkEnd w:id="92"/>
    <w:p>
      <w:pPr>
        <w:jc w:val="center"/>
        <w:spacing w:after="0"/>
        <w:rPr>
          <w:sz w:val="20"/>
          <w:szCs w:val="20"/>
          <w:color w:val="auto"/>
        </w:rPr>
      </w:pPr>
      <w:r>
        <w:rPr>
          <w:rFonts w:ascii="Arial" w:cs="Arial" w:eastAsia="Arial" w:hAnsi="Arial"/>
          <w:sz w:val="13"/>
          <w:szCs w:val="13"/>
          <w:b w:val="1"/>
          <w:bCs w:val="1"/>
          <w:color w:val="auto"/>
        </w:rPr>
        <w:t>KNIGHTSCOPE, INC.</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CONDENSED STATEMENTS OF CASH FLOWS</w:t>
      </w:r>
    </w:p>
    <w:p>
      <w:pPr>
        <w:spacing w:after="0" w:line="7"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(Unaudited)</w:t>
      </w:r>
    </w:p>
    <w:p>
      <w:pPr>
        <w:spacing w:after="0" w:line="161"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20" w:type="dxa"/>
            <w:vAlign w:val="bottom"/>
          </w:tcPr>
          <w:p>
            <w:pPr>
              <w:spacing w:after="0"/>
              <w:rPr>
                <w:sz w:val="14"/>
                <w:szCs w:val="14"/>
                <w:color w:val="auto"/>
              </w:rPr>
            </w:pPr>
          </w:p>
        </w:tc>
        <w:tc>
          <w:tcPr>
            <w:tcW w:w="6400" w:type="dxa"/>
            <w:vAlign w:val="bottom"/>
          </w:tcPr>
          <w:p>
            <w:pPr>
              <w:spacing w:after="0"/>
              <w:rPr>
                <w:sz w:val="14"/>
                <w:szCs w:val="14"/>
                <w:color w:val="auto"/>
              </w:rPr>
            </w:pPr>
          </w:p>
        </w:tc>
        <w:tc>
          <w:tcPr>
            <w:tcW w:w="20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520" w:type="dxa"/>
            <w:vAlign w:val="bottom"/>
            <w:gridSpan w:val="6"/>
          </w:tcPr>
          <w:p>
            <w:pPr>
              <w:jc w:val="right"/>
              <w:ind w:right="720"/>
              <w:spacing w:after="0"/>
              <w:rPr>
                <w:sz w:val="20"/>
                <w:szCs w:val="20"/>
                <w:color w:val="auto"/>
              </w:rPr>
            </w:pPr>
            <w:r>
              <w:rPr>
                <w:rFonts w:ascii="Arial" w:cs="Arial" w:eastAsia="Arial" w:hAnsi="Arial"/>
                <w:sz w:val="13"/>
                <w:szCs w:val="13"/>
                <w:b w:val="1"/>
                <w:bCs w:val="1"/>
                <w:color w:val="auto"/>
              </w:rPr>
              <w:t>Six months ended June 30,</w:t>
            </w:r>
          </w:p>
        </w:tc>
        <w:tc>
          <w:tcPr>
            <w:tcW w:w="0" w:type="dxa"/>
            <w:vAlign w:val="bottom"/>
          </w:tcPr>
          <w:p>
            <w:pPr>
              <w:spacing w:after="0"/>
              <w:rPr>
                <w:sz w:val="1"/>
                <w:szCs w:val="1"/>
                <w:color w:val="auto"/>
              </w:rPr>
            </w:pPr>
          </w:p>
        </w:tc>
      </w:tr>
      <w:tr>
        <w:trPr>
          <w:trHeight w:val="157"/>
        </w:trPr>
        <w:tc>
          <w:tcPr>
            <w:tcW w:w="20" w:type="dxa"/>
            <w:vAlign w:val="bottom"/>
          </w:tcPr>
          <w:p>
            <w:pPr>
              <w:spacing w:after="0"/>
              <w:rPr>
                <w:sz w:val="13"/>
                <w:szCs w:val="13"/>
                <w:color w:val="auto"/>
              </w:rPr>
            </w:pPr>
          </w:p>
        </w:tc>
        <w:tc>
          <w:tcPr>
            <w:tcW w:w="6400" w:type="dxa"/>
            <w:vAlign w:val="bottom"/>
            <w:tcBorders>
              <w:bottom w:val="single" w:sz="8" w:color="CCEEFF"/>
            </w:tcBorders>
          </w:tcPr>
          <w:p>
            <w:pPr>
              <w:spacing w:after="0"/>
              <w:rPr>
                <w:sz w:val="13"/>
                <w:szCs w:val="13"/>
                <w:color w:val="auto"/>
              </w:rPr>
            </w:pPr>
          </w:p>
        </w:tc>
        <w:tc>
          <w:tcPr>
            <w:tcW w:w="2060" w:type="dxa"/>
            <w:vAlign w:val="bottom"/>
            <w:tcBorders>
              <w:bottom w:val="single" w:sz="8" w:color="CCEEFF"/>
            </w:tcBorders>
          </w:tcPr>
          <w:p>
            <w:pPr>
              <w:spacing w:after="0"/>
              <w:rPr>
                <w:sz w:val="13"/>
                <w:szCs w:val="13"/>
                <w:color w:val="auto"/>
              </w:rPr>
            </w:pPr>
          </w:p>
        </w:tc>
        <w:tc>
          <w:tcPr>
            <w:tcW w:w="28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140" w:type="dxa"/>
            <w:vAlign w:val="bottom"/>
            <w:tcBorders>
              <w:top w:val="single" w:sz="8" w:color="auto"/>
              <w:bottom w:val="single" w:sz="8" w:color="CCEEFF"/>
            </w:tcBorders>
          </w:tcPr>
          <w:p>
            <w:pPr>
              <w:spacing w:after="0"/>
              <w:rPr>
                <w:sz w:val="13"/>
                <w:szCs w:val="13"/>
                <w:color w:val="auto"/>
              </w:rPr>
            </w:pPr>
          </w:p>
        </w:tc>
        <w:tc>
          <w:tcPr>
            <w:tcW w:w="100" w:type="dxa"/>
            <w:vAlign w:val="bottom"/>
            <w:tcBorders>
              <w:top w:val="single" w:sz="8" w:color="auto"/>
              <w:bottom w:val="single" w:sz="8" w:color="CCEEFF"/>
            </w:tcBorders>
          </w:tcPr>
          <w:p>
            <w:pPr>
              <w:spacing w:after="0"/>
              <w:rPr>
                <w:sz w:val="13"/>
                <w:szCs w:val="13"/>
                <w:color w:val="auto"/>
              </w:rPr>
            </w:pPr>
          </w:p>
        </w:tc>
        <w:tc>
          <w:tcPr>
            <w:tcW w:w="260" w:type="dxa"/>
            <w:vAlign w:val="bottom"/>
            <w:tcBorders>
              <w:top w:val="single" w:sz="8" w:color="auto"/>
              <w:bottom w:val="single" w:sz="8" w:color="auto"/>
            </w:tcBorders>
          </w:tcPr>
          <w:p>
            <w:pPr>
              <w:spacing w:after="0"/>
              <w:rPr>
                <w:sz w:val="13"/>
                <w:szCs w:val="13"/>
                <w:color w:val="auto"/>
              </w:rPr>
            </w:pPr>
          </w:p>
        </w:tc>
        <w:tc>
          <w:tcPr>
            <w:tcW w:w="960" w:type="dxa"/>
            <w:vAlign w:val="bottom"/>
            <w:tcBorders>
              <w:top w:val="single" w:sz="8" w:color="auto"/>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400" w:type="dxa"/>
            <w:vAlign w:val="bottom"/>
            <w:shd w:val="clear" w:color="auto" w:fill="CCEEFF"/>
          </w:tcPr>
          <w:p>
            <w:pPr>
              <w:spacing w:after="0" w:line="146" w:lineRule="exact"/>
              <w:rPr>
                <w:sz w:val="20"/>
                <w:szCs w:val="20"/>
                <w:color w:val="auto"/>
              </w:rPr>
            </w:pPr>
            <w:r>
              <w:rPr>
                <w:rFonts w:ascii="Arial" w:cs="Arial" w:eastAsia="Arial" w:hAnsi="Arial"/>
                <w:sz w:val="13"/>
                <w:szCs w:val="13"/>
                <w:b w:val="1"/>
                <w:bCs w:val="1"/>
                <w:color w:val="auto"/>
              </w:rPr>
              <w:t>Cash Flows From Operating Activities</w:t>
            </w:r>
          </w:p>
        </w:tc>
        <w:tc>
          <w:tcPr>
            <w:tcW w:w="2060" w:type="dxa"/>
            <w:vAlign w:val="bottom"/>
            <w:shd w:val="clear" w:color="auto" w:fill="CCEEFF"/>
          </w:tcPr>
          <w:p>
            <w:pPr>
              <w:spacing w:after="0"/>
              <w:rPr>
                <w:sz w:val="12"/>
                <w:szCs w:val="12"/>
                <w:color w:val="auto"/>
              </w:rPr>
            </w:pPr>
          </w:p>
        </w:tc>
        <w:tc>
          <w:tcPr>
            <w:tcW w:w="2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26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spacing w:after="0"/>
              <w:rPr>
                <w:sz w:val="20"/>
                <w:szCs w:val="20"/>
                <w:color w:val="auto"/>
              </w:rPr>
            </w:pPr>
            <w:r>
              <w:rPr>
                <w:rFonts w:ascii="Arial" w:cs="Arial" w:eastAsia="Arial" w:hAnsi="Arial"/>
                <w:sz w:val="13"/>
                <w:szCs w:val="13"/>
                <w:color w:val="auto"/>
              </w:rPr>
              <w:t>Net loss</w:t>
            </w:r>
          </w:p>
        </w:tc>
        <w:tc>
          <w:tcPr>
            <w:tcW w:w="2340" w:type="dxa"/>
            <w:vAlign w:val="bottom"/>
            <w:gridSpan w:val="2"/>
          </w:tcPr>
          <w:p>
            <w:pPr>
              <w:jc w:val="right"/>
              <w:ind w:right="171"/>
              <w:spacing w:after="0"/>
              <w:rPr>
                <w:sz w:val="20"/>
                <w:szCs w:val="20"/>
                <w:color w:val="auto"/>
              </w:rPr>
            </w:pPr>
            <w:r>
              <w:rPr>
                <w:rFonts w:ascii="Arial" w:cs="Arial" w:eastAsia="Arial" w:hAnsi="Arial"/>
                <w:sz w:val="13"/>
                <w:szCs w:val="13"/>
                <w:color w:val="auto"/>
              </w:rPr>
              <w:t>$</w:t>
            </w:r>
          </w:p>
        </w:tc>
        <w:tc>
          <w:tcPr>
            <w:tcW w:w="1100" w:type="dxa"/>
            <w:vAlign w:val="bottom"/>
            <w:gridSpan w:val="2"/>
          </w:tcPr>
          <w:p>
            <w:pPr>
              <w:jc w:val="right"/>
              <w:ind w:right="100"/>
              <w:spacing w:after="0"/>
              <w:rPr>
                <w:sz w:val="20"/>
                <w:szCs w:val="20"/>
                <w:color w:val="auto"/>
              </w:rPr>
            </w:pPr>
            <w:r>
              <w:rPr>
                <w:rFonts w:ascii="Arial" w:cs="Arial" w:eastAsia="Arial" w:hAnsi="Arial"/>
                <w:sz w:val="13"/>
                <w:szCs w:val="13"/>
                <w:color w:val="auto"/>
              </w:rPr>
              <w:t>(22,740,313)</w:t>
            </w:r>
          </w:p>
        </w:tc>
        <w:tc>
          <w:tcPr>
            <w:tcW w:w="360" w:type="dxa"/>
            <w:vAlign w:val="bottom"/>
            <w:gridSpan w:val="2"/>
          </w:tcPr>
          <w:p>
            <w:pPr>
              <w:jc w:val="right"/>
              <w:ind w:right="151"/>
              <w:spacing w:after="0"/>
              <w:rPr>
                <w:sz w:val="20"/>
                <w:szCs w:val="20"/>
                <w:color w:val="auto"/>
              </w:rPr>
            </w:pPr>
            <w:r>
              <w:rPr>
                <w:rFonts w:ascii="Arial" w:cs="Arial" w:eastAsia="Arial" w:hAnsi="Arial"/>
                <w:sz w:val="13"/>
                <w:szCs w:val="13"/>
                <w:color w:val="auto"/>
              </w:rPr>
              <w:t>$</w:t>
            </w:r>
          </w:p>
        </w:tc>
        <w:tc>
          <w:tcPr>
            <w:tcW w:w="1060" w:type="dxa"/>
            <w:vAlign w:val="bottom"/>
            <w:gridSpan w:val="2"/>
          </w:tcPr>
          <w:p>
            <w:pPr>
              <w:jc w:val="right"/>
              <w:ind w:right="60"/>
              <w:spacing w:after="0"/>
              <w:rPr>
                <w:sz w:val="20"/>
                <w:szCs w:val="20"/>
                <w:color w:val="auto"/>
              </w:rPr>
            </w:pPr>
            <w:r>
              <w:rPr>
                <w:rFonts w:ascii="Arial" w:cs="Arial" w:eastAsia="Arial" w:hAnsi="Arial"/>
                <w:sz w:val="13"/>
                <w:szCs w:val="13"/>
                <w:color w:val="auto"/>
              </w:rPr>
              <w:t>(9,140,909)</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color w:val="auto"/>
              </w:rPr>
              <w:t>Adjustments to reconcile net loss to net cash used in operating activities: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Depreciation and amortization</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759,001</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965,969</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Stock compensation expense</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458,488</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187,627</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Change in fair value of warrant liabilities</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10,737,001</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2,424,706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PPP loan and interest forgiveness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(831,811)</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Amortization of debt discount</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832,732</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400,187</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(Gain) loss from damage of Autonomous Security Robots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4,998</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(926)</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Changes in operating assets and liabilities:</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220"/>
              <w:spacing w:after="0"/>
              <w:rPr>
                <w:sz w:val="20"/>
                <w:szCs w:val="20"/>
                <w:color w:val="auto"/>
              </w:rPr>
            </w:pPr>
            <w:r>
              <w:rPr>
                <w:rFonts w:ascii="Arial" w:cs="Arial" w:eastAsia="Arial" w:hAnsi="Arial"/>
                <w:sz w:val="13"/>
                <w:szCs w:val="13"/>
                <w:color w:val="auto"/>
              </w:rPr>
              <w:t>Accounts receivable</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113,595</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(55,874)</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220"/>
              <w:spacing w:after="0"/>
              <w:rPr>
                <w:sz w:val="20"/>
                <w:szCs w:val="20"/>
                <w:color w:val="auto"/>
              </w:rPr>
            </w:pPr>
            <w:r>
              <w:rPr>
                <w:rFonts w:ascii="Arial" w:cs="Arial" w:eastAsia="Arial" w:hAnsi="Arial"/>
                <w:sz w:val="13"/>
                <w:szCs w:val="13"/>
                <w:color w:val="auto"/>
              </w:rPr>
              <w:t>Prepaid expenses and other current assets</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45,998</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060" w:type="dxa"/>
            <w:vAlign w:val="bottom"/>
            <w:gridSpan w:val="2"/>
          </w:tcPr>
          <w:p>
            <w:pPr>
              <w:jc w:val="right"/>
              <w:ind w:right="60"/>
              <w:spacing w:after="0"/>
              <w:rPr>
                <w:sz w:val="20"/>
                <w:szCs w:val="20"/>
                <w:color w:val="auto"/>
              </w:rPr>
            </w:pPr>
            <w:r>
              <w:rPr>
                <w:rFonts w:ascii="Arial" w:cs="Arial" w:eastAsia="Arial" w:hAnsi="Arial"/>
                <w:sz w:val="13"/>
                <w:szCs w:val="13"/>
                <w:color w:val="auto"/>
              </w:rPr>
              <w:t>(390,022)</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220"/>
              <w:spacing w:after="0"/>
              <w:rPr>
                <w:sz w:val="20"/>
                <w:szCs w:val="20"/>
                <w:color w:val="auto"/>
              </w:rPr>
            </w:pPr>
            <w:r>
              <w:rPr>
                <w:rFonts w:ascii="Arial" w:cs="Arial" w:eastAsia="Arial" w:hAnsi="Arial"/>
                <w:sz w:val="13"/>
                <w:szCs w:val="13"/>
                <w:color w:val="auto"/>
              </w:rPr>
              <w:t>Other assets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141,992</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220"/>
              <w:spacing w:after="0"/>
              <w:rPr>
                <w:sz w:val="20"/>
                <w:szCs w:val="20"/>
                <w:color w:val="auto"/>
              </w:rPr>
            </w:pPr>
            <w:r>
              <w:rPr>
                <w:rFonts w:ascii="Arial" w:cs="Arial" w:eastAsia="Arial" w:hAnsi="Arial"/>
                <w:sz w:val="13"/>
                <w:szCs w:val="13"/>
                <w:color w:val="auto"/>
              </w:rPr>
              <w:t>Accounts payable</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262,427</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060" w:type="dxa"/>
            <w:vAlign w:val="bottom"/>
            <w:gridSpan w:val="2"/>
          </w:tcPr>
          <w:p>
            <w:pPr>
              <w:jc w:val="right"/>
              <w:ind w:right="60"/>
              <w:spacing w:after="0"/>
              <w:rPr>
                <w:sz w:val="20"/>
                <w:szCs w:val="20"/>
                <w:color w:val="auto"/>
              </w:rPr>
            </w:pPr>
            <w:r>
              <w:rPr>
                <w:rFonts w:ascii="Arial" w:cs="Arial" w:eastAsia="Arial" w:hAnsi="Arial"/>
                <w:sz w:val="13"/>
                <w:szCs w:val="13"/>
                <w:color w:val="auto"/>
              </w:rPr>
              <w:t>(329,238)</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220"/>
              <w:spacing w:after="0"/>
              <w:rPr>
                <w:sz w:val="20"/>
                <w:szCs w:val="20"/>
                <w:color w:val="auto"/>
              </w:rPr>
            </w:pPr>
            <w:r>
              <w:rPr>
                <w:rFonts w:ascii="Arial" w:cs="Arial" w:eastAsia="Arial" w:hAnsi="Arial"/>
                <w:sz w:val="13"/>
                <w:szCs w:val="13"/>
                <w:color w:val="auto"/>
              </w:rPr>
              <w:t>Accrued expenses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(103,627)</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313,163</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220"/>
              <w:spacing w:after="0"/>
              <w:rPr>
                <w:sz w:val="20"/>
                <w:szCs w:val="20"/>
                <w:color w:val="auto"/>
              </w:rPr>
            </w:pPr>
            <w:r>
              <w:rPr>
                <w:rFonts w:ascii="Arial" w:cs="Arial" w:eastAsia="Arial" w:hAnsi="Arial"/>
                <w:sz w:val="13"/>
                <w:szCs w:val="13"/>
                <w:color w:val="auto"/>
              </w:rPr>
              <w:t>Deferred revenue</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00"/>
              <w:spacing w:after="0"/>
              <w:rPr>
                <w:sz w:val="20"/>
                <w:szCs w:val="20"/>
                <w:color w:val="auto"/>
              </w:rPr>
            </w:pPr>
            <w:r>
              <w:rPr>
                <w:rFonts w:ascii="Arial" w:cs="Arial" w:eastAsia="Arial" w:hAnsi="Arial"/>
                <w:sz w:val="13"/>
                <w:szCs w:val="13"/>
                <w:color w:val="auto"/>
              </w:rPr>
              <w:t>(203,543)</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358,173</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shd w:val="clear" w:color="auto" w:fill="CCEEFF"/>
          </w:tcPr>
          <w:p>
            <w:pPr>
              <w:ind w:left="220"/>
              <w:spacing w:after="0"/>
              <w:rPr>
                <w:sz w:val="20"/>
                <w:szCs w:val="20"/>
                <w:color w:val="auto"/>
              </w:rPr>
            </w:pPr>
            <w:r>
              <w:rPr>
                <w:rFonts w:ascii="Arial" w:cs="Arial" w:eastAsia="Arial" w:hAnsi="Arial"/>
                <w:sz w:val="13"/>
                <w:szCs w:val="13"/>
                <w:color w:val="auto"/>
              </w:rPr>
              <w:t>Other current and noncurrent liabilities</w:t>
            </w:r>
          </w:p>
        </w:tc>
        <w:tc>
          <w:tcPr>
            <w:tcW w:w="206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6,711</w:t>
            </w:r>
          </w:p>
        </w:tc>
        <w:tc>
          <w:tcPr>
            <w:tcW w:w="100" w:type="dxa"/>
            <w:vAlign w:val="bottom"/>
            <w:shd w:val="clear" w:color="auto" w:fill="CCEEFF"/>
          </w:tcPr>
          <w:p>
            <w:pPr>
              <w:spacing w:after="0"/>
              <w:rPr>
                <w:sz w:val="14"/>
                <w:szCs w:val="14"/>
                <w:color w:val="auto"/>
              </w:rPr>
            </w:pPr>
          </w:p>
        </w:tc>
        <w:tc>
          <w:tcPr>
            <w:tcW w:w="260" w:type="dxa"/>
            <w:vAlign w:val="bottom"/>
            <w:shd w:val="clear" w:color="auto" w:fill="CCEEFF"/>
          </w:tcPr>
          <w:p>
            <w:pPr>
              <w:spacing w:after="0"/>
              <w:rPr>
                <w:sz w:val="14"/>
                <w:szCs w:val="14"/>
                <w:color w:val="auto"/>
              </w:rPr>
            </w:pPr>
          </w:p>
        </w:tc>
        <w:tc>
          <w:tcPr>
            <w:tcW w:w="10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(111,783)</w:t>
            </w: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400" w:type="dxa"/>
            <w:vAlign w:val="bottom"/>
            <w:tcBorders>
              <w:bottom w:val="single" w:sz="8" w:color="CCEEFF"/>
            </w:tcBorders>
          </w:tcPr>
          <w:p>
            <w:pPr>
              <w:ind w:left="220"/>
              <w:spacing w:after="0" w:line="144" w:lineRule="exact"/>
              <w:rPr>
                <w:sz w:val="20"/>
                <w:szCs w:val="20"/>
                <w:color w:val="auto"/>
              </w:rPr>
            </w:pPr>
            <w:r>
              <w:rPr>
                <w:rFonts w:ascii="Arial" w:cs="Arial" w:eastAsia="Arial" w:hAnsi="Arial"/>
                <w:sz w:val="13"/>
                <w:szCs w:val="13"/>
                <w:color w:val="auto"/>
              </w:rPr>
              <w:t>Net cash used in operating activities</w:t>
            </w:r>
          </w:p>
        </w:tc>
        <w:tc>
          <w:tcPr>
            <w:tcW w:w="2060" w:type="dxa"/>
            <w:vAlign w:val="bottom"/>
            <w:tcBorders>
              <w:bottom w:val="single" w:sz="8" w:color="CCEEFF"/>
            </w:tcBorders>
          </w:tcPr>
          <w:p>
            <w:pPr>
              <w:spacing w:after="0"/>
              <w:rPr>
                <w:sz w:val="12"/>
                <w:szCs w:val="12"/>
                <w:color w:val="auto"/>
              </w:rPr>
            </w:pPr>
          </w:p>
        </w:tc>
        <w:tc>
          <w:tcPr>
            <w:tcW w:w="280" w:type="dxa"/>
            <w:vAlign w:val="bottom"/>
            <w:tcBorders>
              <w:top w:val="single" w:sz="8" w:color="auto"/>
              <w:bottom w:val="single" w:sz="8" w:color="auto"/>
            </w:tcBorders>
          </w:tcPr>
          <w:p>
            <w:pPr>
              <w:spacing w:after="0"/>
              <w:rPr>
                <w:sz w:val="12"/>
                <w:szCs w:val="12"/>
                <w:color w:val="auto"/>
              </w:rPr>
            </w:pP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(10,516,351)</w:t>
            </w:r>
          </w:p>
        </w:tc>
        <w:tc>
          <w:tcPr>
            <w:tcW w:w="140" w:type="dxa"/>
            <w:vAlign w:val="bottom"/>
            <w:tcBorders>
              <w:bottom w:val="single" w:sz="8" w:color="CCEEFF"/>
            </w:tcBorders>
          </w:tcPr>
          <w:p>
            <w:pPr>
              <w:spacing w:after="0"/>
              <w:rPr>
                <w:sz w:val="12"/>
                <w:szCs w:val="12"/>
                <w:color w:val="auto"/>
              </w:rPr>
            </w:pPr>
          </w:p>
        </w:tc>
        <w:tc>
          <w:tcPr>
            <w:tcW w:w="100" w:type="dxa"/>
            <w:vAlign w:val="bottom"/>
            <w:tcBorders>
              <w:bottom w:val="single" w:sz="8" w:color="CCEEFF"/>
            </w:tcBorders>
          </w:tcPr>
          <w:p>
            <w:pPr>
              <w:spacing w:after="0"/>
              <w:rPr>
                <w:sz w:val="12"/>
                <w:szCs w:val="12"/>
                <w:color w:val="auto"/>
              </w:rPr>
            </w:pPr>
          </w:p>
        </w:tc>
        <w:tc>
          <w:tcPr>
            <w:tcW w:w="260" w:type="dxa"/>
            <w:vAlign w:val="bottom"/>
            <w:tcBorders>
              <w:top w:val="single" w:sz="8" w:color="auto"/>
              <w:bottom w:val="single" w:sz="8" w:color="auto"/>
            </w:tcBorders>
          </w:tcPr>
          <w:p>
            <w:pPr>
              <w:spacing w:after="0"/>
              <w:rPr>
                <w:sz w:val="12"/>
                <w:szCs w:val="12"/>
                <w:color w:val="auto"/>
              </w:rPr>
            </w:pPr>
          </w:p>
        </w:tc>
        <w:tc>
          <w:tcPr>
            <w:tcW w:w="960" w:type="dxa"/>
            <w:vAlign w:val="bottom"/>
            <w:tcBorders>
              <w:top w:val="single" w:sz="8" w:color="auto"/>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(5,378,927)</w:t>
            </w:r>
          </w:p>
        </w:tc>
        <w:tc>
          <w:tcPr>
            <w:tcW w:w="100" w:type="dxa"/>
            <w:vAlign w:val="bottom"/>
            <w:tcBorders>
              <w:bottom w:val="single" w:sz="8" w:color="CCEEFF"/>
            </w:tcBorders>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400" w:type="dxa"/>
            <w:vAlign w:val="bottom"/>
            <w:shd w:val="clear" w:color="auto" w:fill="CCEEFF"/>
          </w:tcPr>
          <w:p>
            <w:pPr>
              <w:spacing w:after="0"/>
              <w:rPr>
                <w:sz w:val="12"/>
                <w:szCs w:val="12"/>
                <w:color w:val="auto"/>
              </w:rPr>
            </w:pPr>
          </w:p>
        </w:tc>
        <w:tc>
          <w:tcPr>
            <w:tcW w:w="2060" w:type="dxa"/>
            <w:vAlign w:val="bottom"/>
            <w:shd w:val="clear" w:color="auto" w:fill="CCEEFF"/>
          </w:tcPr>
          <w:p>
            <w:pPr>
              <w:spacing w:after="0"/>
              <w:rPr>
                <w:sz w:val="12"/>
                <w:szCs w:val="12"/>
                <w:color w:val="auto"/>
              </w:rPr>
            </w:pPr>
          </w:p>
        </w:tc>
        <w:tc>
          <w:tcPr>
            <w:tcW w:w="28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260" w:type="dxa"/>
            <w:vAlign w:val="bottom"/>
            <w:shd w:val="clear" w:color="auto" w:fill="CCEEFF"/>
          </w:tcPr>
          <w:p>
            <w:pPr>
              <w:spacing w:after="0"/>
              <w:rPr>
                <w:sz w:val="12"/>
                <w:szCs w:val="12"/>
                <w:color w:val="auto"/>
              </w:rPr>
            </w:pPr>
          </w:p>
        </w:tc>
        <w:tc>
          <w:tcPr>
            <w:tcW w:w="96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400" w:type="dxa"/>
            <w:vAlign w:val="bottom"/>
          </w:tcPr>
          <w:p>
            <w:pPr>
              <w:spacing w:after="0"/>
              <w:rPr>
                <w:sz w:val="20"/>
                <w:szCs w:val="20"/>
                <w:color w:val="auto"/>
              </w:rPr>
            </w:pPr>
            <w:r>
              <w:rPr>
                <w:rFonts w:ascii="Arial" w:cs="Arial" w:eastAsia="Arial" w:hAnsi="Arial"/>
                <w:sz w:val="13"/>
                <w:szCs w:val="13"/>
                <w:b w:val="1"/>
                <w:bCs w:val="1"/>
                <w:color w:val="auto"/>
              </w:rPr>
              <w:t>Cash Flows From Investing Activities</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Purchases and related costs incurred for Autonomous Security Robots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(922,794)</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(312,122)</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Purchase of property and equipment</w:t>
            </w:r>
          </w:p>
        </w:tc>
        <w:tc>
          <w:tcPr>
            <w:tcW w:w="20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00"/>
              <w:spacing w:after="0"/>
              <w:rPr>
                <w:sz w:val="20"/>
                <w:szCs w:val="20"/>
                <w:color w:val="auto"/>
              </w:rPr>
            </w:pPr>
            <w:r>
              <w:rPr>
                <w:rFonts w:ascii="Arial" w:cs="Arial" w:eastAsia="Arial" w:hAnsi="Arial"/>
                <w:sz w:val="13"/>
                <w:szCs w:val="13"/>
                <w:color w:val="auto"/>
              </w:rPr>
              <w:t>(11,488)</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6400" w:type="dxa"/>
            <w:vAlign w:val="bottom"/>
            <w:tcBorders>
              <w:top w:val="single" w:sz="8" w:color="CCEEFF"/>
            </w:tcBorders>
            <w:shd w:val="clear" w:color="auto" w:fill="CCEEFF"/>
          </w:tcPr>
          <w:p>
            <w:pPr>
              <w:ind w:left="220"/>
              <w:spacing w:after="0" w:line="144" w:lineRule="exact"/>
              <w:rPr>
                <w:sz w:val="20"/>
                <w:szCs w:val="20"/>
                <w:color w:val="auto"/>
              </w:rPr>
            </w:pPr>
            <w:r>
              <w:rPr>
                <w:rFonts w:ascii="Arial" w:cs="Arial" w:eastAsia="Arial" w:hAnsi="Arial"/>
                <w:sz w:val="13"/>
                <w:szCs w:val="13"/>
                <w:color w:val="auto"/>
              </w:rPr>
              <w:t>Net cash used in investing activities</w:t>
            </w:r>
          </w:p>
        </w:tc>
        <w:tc>
          <w:tcPr>
            <w:tcW w:w="206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(934,282)</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(312,122)</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6400" w:type="dxa"/>
            <w:vAlign w:val="bottom"/>
          </w:tcPr>
          <w:p>
            <w:pPr>
              <w:spacing w:after="0"/>
              <w:rPr>
                <w:sz w:val="12"/>
                <w:szCs w:val="12"/>
                <w:color w:val="auto"/>
              </w:rPr>
            </w:pPr>
          </w:p>
        </w:tc>
        <w:tc>
          <w:tcPr>
            <w:tcW w:w="20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b w:val="1"/>
                <w:bCs w:val="1"/>
                <w:color w:val="auto"/>
              </w:rPr>
              <w:t>Cash Flows From Financing Activities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Proceeds from stock options exercised</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2,500</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Proceeds from issuance of Series S Preferred Stock offering, net of issuance costs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16,387,122</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5,707,719</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Proceeds for the issuance of convertible notes, net of issuance costs</w:t>
            </w: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778,446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shd w:val="clear" w:color="auto" w:fill="CCEEFF"/>
          </w:tcPr>
          <w:p>
            <w:pPr>
              <w:ind w:left="100"/>
              <w:spacing w:after="0"/>
              <w:rPr>
                <w:sz w:val="20"/>
                <w:szCs w:val="20"/>
                <w:color w:val="auto"/>
              </w:rPr>
            </w:pPr>
            <w:r>
              <w:rPr>
                <w:rFonts w:ascii="Arial" w:cs="Arial" w:eastAsia="Arial" w:hAnsi="Arial"/>
                <w:sz w:val="13"/>
                <w:szCs w:val="13"/>
                <w:color w:val="auto"/>
              </w:rPr>
              <w:t>Principal repayments on loan payable</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w:t>
            </w: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6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(587,838)</w:t>
            </w: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tcPr>
          <w:p>
            <w:pPr>
              <w:ind w:left="100"/>
              <w:spacing w:after="0"/>
              <w:rPr>
                <w:sz w:val="20"/>
                <w:szCs w:val="20"/>
                <w:color w:val="auto"/>
              </w:rPr>
            </w:pPr>
            <w:r>
              <w:rPr>
                <w:rFonts w:ascii="Arial" w:cs="Arial" w:eastAsia="Arial" w:hAnsi="Arial"/>
                <w:sz w:val="13"/>
                <w:szCs w:val="13"/>
                <w:color w:val="auto"/>
              </w:rPr>
              <w:t>Proceeds from issuance of loans payable, net of origination costs</w:t>
            </w:r>
          </w:p>
        </w:tc>
        <w:tc>
          <w:tcPr>
            <w:tcW w:w="20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960" w:type="dxa"/>
            <w:vAlign w:val="bottom"/>
          </w:tcPr>
          <w:p>
            <w:pPr>
              <w:jc w:val="right"/>
              <w:spacing w:after="0"/>
              <w:rPr>
                <w:sz w:val="20"/>
                <w:szCs w:val="20"/>
                <w:color w:val="auto"/>
              </w:rPr>
            </w:pPr>
            <w:r>
              <w:rPr>
                <w:rFonts w:ascii="Arial" w:cs="Arial" w:eastAsia="Arial" w:hAnsi="Arial"/>
                <w:sz w:val="13"/>
                <w:szCs w:val="13"/>
                <w:color w:val="auto"/>
              </w:rPr>
              <w:t>1,097,921</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6400" w:type="dxa"/>
            <w:vAlign w:val="bottom"/>
            <w:tcBorders>
              <w:top w:val="single" w:sz="8" w:color="CCEEFF"/>
            </w:tcBorders>
            <w:shd w:val="clear" w:color="auto" w:fill="CCEEFF"/>
          </w:tcPr>
          <w:p>
            <w:pPr>
              <w:ind w:left="220"/>
              <w:spacing w:after="0" w:line="145" w:lineRule="exact"/>
              <w:rPr>
                <w:sz w:val="20"/>
                <w:szCs w:val="20"/>
                <w:color w:val="auto"/>
              </w:rPr>
            </w:pPr>
            <w:r>
              <w:rPr>
                <w:rFonts w:ascii="Arial" w:cs="Arial" w:eastAsia="Arial" w:hAnsi="Arial"/>
                <w:sz w:val="13"/>
                <w:szCs w:val="13"/>
                <w:color w:val="auto"/>
              </w:rPr>
              <w:t>Net cash provided by financing activities</w:t>
            </w:r>
          </w:p>
        </w:tc>
        <w:tc>
          <w:tcPr>
            <w:tcW w:w="2060" w:type="dxa"/>
            <w:vAlign w:val="bottom"/>
            <w:tcBorders>
              <w:top w:val="single" w:sz="8" w:color="CCEEFF"/>
            </w:tcBorders>
            <w:shd w:val="clear" w:color="auto" w:fill="CCEEFF"/>
          </w:tcPr>
          <w:p>
            <w:pPr>
              <w:spacing w:after="0"/>
              <w:rPr>
                <w:sz w:val="12"/>
                <w:szCs w:val="12"/>
                <w:color w:val="auto"/>
              </w:rPr>
            </w:pPr>
          </w:p>
        </w:tc>
        <w:tc>
          <w:tcPr>
            <w:tcW w:w="28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16,387,122</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260" w:type="dxa"/>
            <w:vAlign w:val="bottom"/>
            <w:tcBorders>
              <w:top w:val="single" w:sz="8" w:color="auto"/>
              <w:bottom w:val="single" w:sz="8" w:color="auto"/>
            </w:tcBorders>
            <w:shd w:val="clear" w:color="auto" w:fill="CCEEFF"/>
          </w:tcPr>
          <w:p>
            <w:pPr>
              <w:spacing w:after="0"/>
              <w:rPr>
                <w:sz w:val="12"/>
                <w:szCs w:val="12"/>
                <w:color w:val="auto"/>
              </w:rPr>
            </w:pPr>
          </w:p>
        </w:tc>
        <w:tc>
          <w:tcPr>
            <w:tcW w:w="960" w:type="dxa"/>
            <w:vAlign w:val="bottom"/>
            <w:tcBorders>
              <w:top w:val="single" w:sz="8" w:color="auto"/>
              <w:bottom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6,998,748</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6420" w:type="dxa"/>
            <w:vAlign w:val="bottom"/>
            <w:gridSpan w:val="2"/>
          </w:tcPr>
          <w:p>
            <w:pPr>
              <w:spacing w:after="0" w:line="145" w:lineRule="exact"/>
              <w:rPr>
                <w:sz w:val="20"/>
                <w:szCs w:val="20"/>
                <w:color w:val="auto"/>
              </w:rPr>
            </w:pPr>
            <w:r>
              <w:rPr>
                <w:rFonts w:ascii="Arial" w:cs="Arial" w:eastAsia="Arial" w:hAnsi="Arial"/>
                <w:sz w:val="13"/>
                <w:szCs w:val="13"/>
                <w:color w:val="auto"/>
              </w:rPr>
              <w:t>Net change in cash and cash equivalents</w:t>
            </w:r>
          </w:p>
        </w:tc>
        <w:tc>
          <w:tcPr>
            <w:tcW w:w="20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960" w:type="dxa"/>
            <w:vAlign w:val="bottom"/>
          </w:tcPr>
          <w:p>
            <w:pPr>
              <w:jc w:val="right"/>
              <w:spacing w:after="0" w:line="146" w:lineRule="exact"/>
              <w:rPr>
                <w:sz w:val="20"/>
                <w:szCs w:val="20"/>
                <w:color w:val="auto"/>
              </w:rPr>
            </w:pPr>
            <w:r>
              <w:rPr>
                <w:rFonts w:ascii="Arial" w:cs="Arial" w:eastAsia="Arial" w:hAnsi="Arial"/>
                <w:sz w:val="13"/>
                <w:szCs w:val="13"/>
                <w:color w:val="auto"/>
              </w:rPr>
              <w:t>4,936,489</w:t>
            </w:r>
          </w:p>
        </w:tc>
        <w:tc>
          <w:tcPr>
            <w:tcW w:w="1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260" w:type="dxa"/>
            <w:vAlign w:val="bottom"/>
          </w:tcPr>
          <w:p>
            <w:pPr>
              <w:spacing w:after="0"/>
              <w:rPr>
                <w:sz w:val="12"/>
                <w:szCs w:val="12"/>
                <w:color w:val="auto"/>
              </w:rPr>
            </w:pPr>
          </w:p>
        </w:tc>
        <w:tc>
          <w:tcPr>
            <w:tcW w:w="960" w:type="dxa"/>
            <w:vAlign w:val="bottom"/>
          </w:tcPr>
          <w:p>
            <w:pPr>
              <w:jc w:val="right"/>
              <w:spacing w:after="0" w:line="146" w:lineRule="exact"/>
              <w:rPr>
                <w:sz w:val="20"/>
                <w:szCs w:val="20"/>
                <w:color w:val="auto"/>
              </w:rPr>
            </w:pPr>
            <w:r>
              <w:rPr>
                <w:rFonts w:ascii="Arial" w:cs="Arial" w:eastAsia="Arial" w:hAnsi="Arial"/>
                <w:sz w:val="13"/>
                <w:szCs w:val="13"/>
                <w:color w:val="auto"/>
              </w:rPr>
              <w:t>1,307,699</w:t>
            </w: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color w:val="auto"/>
              </w:rPr>
              <w:t>Cash, cash equivalents and restricted cash at beginning of the period</w:t>
            </w:r>
          </w:p>
        </w:tc>
        <w:tc>
          <w:tcPr>
            <w:tcW w:w="2060" w:type="dxa"/>
            <w:vAlign w:val="bottom"/>
            <w:shd w:val="clear" w:color="auto" w:fill="CCEEFF"/>
          </w:tcPr>
          <w:p>
            <w:pPr>
              <w:spacing w:after="0"/>
              <w:rPr>
                <w:sz w:val="14"/>
                <w:szCs w:val="14"/>
                <w:color w:val="auto"/>
              </w:rPr>
            </w:pPr>
          </w:p>
        </w:tc>
        <w:tc>
          <w:tcPr>
            <w:tcW w:w="280" w:type="dxa"/>
            <w:vAlign w:val="bottom"/>
            <w:shd w:val="clear" w:color="auto" w:fill="CCEEFF"/>
          </w:tcPr>
          <w:p>
            <w:pPr>
              <w:spacing w:after="0"/>
              <w:rPr>
                <w:sz w:val="14"/>
                <w:szCs w:val="14"/>
                <w:color w:val="auto"/>
              </w:rPr>
            </w:pPr>
          </w:p>
        </w:tc>
        <w:tc>
          <w:tcPr>
            <w:tcW w:w="110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7,156,597</w:t>
            </w:r>
          </w:p>
        </w:tc>
        <w:tc>
          <w:tcPr>
            <w:tcW w:w="100" w:type="dxa"/>
            <w:vAlign w:val="bottom"/>
            <w:shd w:val="clear" w:color="auto" w:fill="CCEEFF"/>
          </w:tcPr>
          <w:p>
            <w:pPr>
              <w:spacing w:after="0"/>
              <w:rPr>
                <w:sz w:val="14"/>
                <w:szCs w:val="14"/>
                <w:color w:val="auto"/>
              </w:rPr>
            </w:pPr>
          </w:p>
        </w:tc>
        <w:tc>
          <w:tcPr>
            <w:tcW w:w="260" w:type="dxa"/>
            <w:vAlign w:val="bottom"/>
            <w:shd w:val="clear" w:color="auto" w:fill="CCEEFF"/>
          </w:tcPr>
          <w:p>
            <w:pPr>
              <w:spacing w:after="0"/>
              <w:rPr>
                <w:sz w:val="14"/>
                <w:szCs w:val="14"/>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708,674</w:t>
            </w:r>
          </w:p>
        </w:tc>
        <w:tc>
          <w:tcPr>
            <w:tcW w:w="10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6400" w:type="dxa"/>
            <w:vAlign w:val="bottom"/>
            <w:vMerge w:val="restart"/>
          </w:tcPr>
          <w:p>
            <w:pPr>
              <w:spacing w:after="0"/>
              <w:rPr>
                <w:sz w:val="20"/>
                <w:szCs w:val="20"/>
                <w:color w:val="auto"/>
              </w:rPr>
            </w:pPr>
            <w:r>
              <w:rPr>
                <w:rFonts w:ascii="Arial" w:cs="Arial" w:eastAsia="Arial" w:hAnsi="Arial"/>
                <w:sz w:val="13"/>
                <w:szCs w:val="13"/>
                <w:color w:val="auto"/>
              </w:rPr>
              <w:t>Cash, cash equivalents and restricted cash at end of the period</w:t>
            </w:r>
          </w:p>
        </w:tc>
        <w:tc>
          <w:tcPr>
            <w:tcW w:w="2060" w:type="dxa"/>
            <w:vAlign w:val="bottom"/>
          </w:tcPr>
          <w:p>
            <w:pPr>
              <w:spacing w:after="0" w:line="20" w:lineRule="exact"/>
              <w:rPr>
                <w:sz w:val="1"/>
                <w:szCs w:val="1"/>
                <w:color w:val="auto"/>
              </w:rPr>
            </w:pPr>
          </w:p>
        </w:tc>
        <w:tc>
          <w:tcPr>
            <w:tcW w:w="28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6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65"/>
        </w:trPr>
        <w:tc>
          <w:tcPr>
            <w:tcW w:w="20" w:type="dxa"/>
            <w:vAlign w:val="bottom"/>
          </w:tcPr>
          <w:p>
            <w:pPr>
              <w:spacing w:after="0"/>
              <w:rPr>
                <w:sz w:val="14"/>
                <w:szCs w:val="14"/>
                <w:color w:val="auto"/>
              </w:rPr>
            </w:pPr>
          </w:p>
        </w:tc>
        <w:tc>
          <w:tcPr>
            <w:tcW w:w="6400" w:type="dxa"/>
            <w:vAlign w:val="bottom"/>
            <w:vMerge w:val="continue"/>
          </w:tcPr>
          <w:p>
            <w:pPr>
              <w:spacing w:after="0"/>
              <w:rPr>
                <w:sz w:val="14"/>
                <w:szCs w:val="14"/>
                <w:color w:val="auto"/>
              </w:rPr>
            </w:pPr>
          </w:p>
        </w:tc>
        <w:tc>
          <w:tcPr>
            <w:tcW w:w="2340" w:type="dxa"/>
            <w:vAlign w:val="bottom"/>
            <w:gridSpan w:val="2"/>
          </w:tcPr>
          <w:p>
            <w:pPr>
              <w:jc w:val="right"/>
              <w:ind w:right="171"/>
              <w:spacing w:after="0"/>
              <w:rPr>
                <w:sz w:val="20"/>
                <w:szCs w:val="20"/>
                <w:color w:val="auto"/>
              </w:rPr>
            </w:pPr>
            <w:r>
              <w:rPr>
                <w:rFonts w:ascii="Arial" w:cs="Arial" w:eastAsia="Arial" w:hAnsi="Arial"/>
                <w:sz w:val="13"/>
                <w:szCs w:val="13"/>
                <w:color w:val="auto"/>
              </w:rPr>
              <w:t>$</w:t>
            </w:r>
          </w:p>
        </w:tc>
        <w:tc>
          <w:tcPr>
            <w:tcW w:w="1100" w:type="dxa"/>
            <w:vAlign w:val="bottom"/>
            <w:gridSpan w:val="2"/>
          </w:tcPr>
          <w:p>
            <w:pPr>
              <w:jc w:val="right"/>
              <w:ind w:right="140"/>
              <w:spacing w:after="0"/>
              <w:rPr>
                <w:sz w:val="20"/>
                <w:szCs w:val="20"/>
                <w:color w:val="auto"/>
              </w:rPr>
            </w:pPr>
            <w:r>
              <w:rPr>
                <w:rFonts w:ascii="Arial" w:cs="Arial" w:eastAsia="Arial" w:hAnsi="Arial"/>
                <w:sz w:val="13"/>
                <w:szCs w:val="13"/>
                <w:color w:val="auto"/>
              </w:rPr>
              <w:t>12,093,086</w:t>
            </w:r>
          </w:p>
        </w:tc>
        <w:tc>
          <w:tcPr>
            <w:tcW w:w="360" w:type="dxa"/>
            <w:vAlign w:val="bottom"/>
            <w:gridSpan w:val="2"/>
          </w:tcPr>
          <w:p>
            <w:pPr>
              <w:jc w:val="right"/>
              <w:ind w:right="151"/>
              <w:spacing w:after="0"/>
              <w:rPr>
                <w:sz w:val="20"/>
                <w:szCs w:val="20"/>
                <w:color w:val="auto"/>
              </w:rPr>
            </w:pPr>
            <w:r>
              <w:rPr>
                <w:rFonts w:ascii="Arial" w:cs="Arial" w:eastAsia="Arial" w:hAnsi="Arial"/>
                <w:sz w:val="13"/>
                <w:szCs w:val="13"/>
                <w:color w:val="auto"/>
              </w:rPr>
              <w:t>$</w:t>
            </w:r>
          </w:p>
        </w:tc>
        <w:tc>
          <w:tcPr>
            <w:tcW w:w="960" w:type="dxa"/>
            <w:vAlign w:val="bottom"/>
          </w:tcPr>
          <w:p>
            <w:pPr>
              <w:jc w:val="right"/>
              <w:spacing w:after="0"/>
              <w:rPr>
                <w:sz w:val="20"/>
                <w:szCs w:val="20"/>
                <w:color w:val="auto"/>
              </w:rPr>
            </w:pPr>
            <w:r>
              <w:rPr>
                <w:rFonts w:ascii="Arial" w:cs="Arial" w:eastAsia="Arial" w:hAnsi="Arial"/>
                <w:sz w:val="13"/>
                <w:szCs w:val="13"/>
                <w:color w:val="auto"/>
              </w:rPr>
              <w:t>2,016,373</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Borders>
              <w:top w:val="single" w:sz="8" w:color="CCEEFF"/>
            </w:tcBorders>
            <w:shd w:val="clear" w:color="auto" w:fill="CCEEFF"/>
          </w:tcPr>
          <w:p>
            <w:pPr>
              <w:spacing w:after="0"/>
              <w:rPr>
                <w:sz w:val="20"/>
                <w:szCs w:val="20"/>
                <w:color w:val="auto"/>
              </w:rPr>
            </w:pPr>
            <w:r>
              <w:rPr>
                <w:rFonts w:ascii="Arial" w:cs="Arial" w:eastAsia="Arial" w:hAnsi="Arial"/>
                <w:sz w:val="13"/>
                <w:szCs w:val="13"/>
                <w:b w:val="1"/>
                <w:bCs w:val="1"/>
                <w:color w:val="auto"/>
              </w:rPr>
              <w:t>Supplemental Disclosure of Cash Flow Information</w:t>
            </w:r>
          </w:p>
        </w:tc>
        <w:tc>
          <w:tcPr>
            <w:tcW w:w="2060" w:type="dxa"/>
            <w:vAlign w:val="bottom"/>
            <w:tcBorders>
              <w:top w:val="single" w:sz="8" w:color="CCEEFF"/>
            </w:tcBorders>
            <w:shd w:val="clear" w:color="auto" w:fill="CCEEFF"/>
          </w:tcPr>
          <w:p>
            <w:pPr>
              <w:spacing w:after="0"/>
              <w:rPr>
                <w:sz w:val="13"/>
                <w:szCs w:val="13"/>
                <w:color w:val="auto"/>
              </w:rPr>
            </w:pPr>
          </w:p>
        </w:tc>
        <w:tc>
          <w:tcPr>
            <w:tcW w:w="280" w:type="dxa"/>
            <w:vAlign w:val="bottom"/>
            <w:tcBorders>
              <w:top w:val="single" w:sz="8" w:color="auto"/>
            </w:tcBorders>
            <w:shd w:val="clear" w:color="auto" w:fill="CCEEFF"/>
          </w:tcPr>
          <w:p>
            <w:pPr>
              <w:spacing w:after="0"/>
              <w:rPr>
                <w:sz w:val="13"/>
                <w:szCs w:val="13"/>
                <w:color w:val="auto"/>
              </w:rPr>
            </w:pPr>
          </w:p>
        </w:tc>
        <w:tc>
          <w:tcPr>
            <w:tcW w:w="960" w:type="dxa"/>
            <w:vAlign w:val="bottom"/>
            <w:tcBorders>
              <w:top w:val="single" w:sz="8" w:color="auto"/>
            </w:tcBorders>
            <w:shd w:val="clear" w:color="auto" w:fill="CCEEFF"/>
          </w:tcPr>
          <w:p>
            <w:pPr>
              <w:spacing w:after="0"/>
              <w:rPr>
                <w:sz w:val="13"/>
                <w:szCs w:val="13"/>
                <w:color w:val="auto"/>
              </w:rPr>
            </w:pPr>
          </w:p>
        </w:tc>
        <w:tc>
          <w:tcPr>
            <w:tcW w:w="140" w:type="dxa"/>
            <w:vAlign w:val="bottom"/>
            <w:tcBorders>
              <w:top w:val="single" w:sz="8" w:color="CCEEFF"/>
            </w:tcBorders>
            <w:shd w:val="clear" w:color="auto" w:fill="CCEEFF"/>
          </w:tcPr>
          <w:p>
            <w:pPr>
              <w:spacing w:after="0"/>
              <w:rPr>
                <w:sz w:val="13"/>
                <w:szCs w:val="13"/>
                <w:color w:val="auto"/>
              </w:rPr>
            </w:pPr>
          </w:p>
        </w:tc>
        <w:tc>
          <w:tcPr>
            <w:tcW w:w="100" w:type="dxa"/>
            <w:vAlign w:val="bottom"/>
            <w:tcBorders>
              <w:top w:val="single" w:sz="8" w:color="CCEEFF"/>
            </w:tcBorders>
            <w:shd w:val="clear" w:color="auto" w:fill="CCEEFF"/>
          </w:tcPr>
          <w:p>
            <w:pPr>
              <w:spacing w:after="0"/>
              <w:rPr>
                <w:sz w:val="13"/>
                <w:szCs w:val="13"/>
                <w:color w:val="auto"/>
              </w:rPr>
            </w:pPr>
          </w:p>
        </w:tc>
        <w:tc>
          <w:tcPr>
            <w:tcW w:w="260" w:type="dxa"/>
            <w:vAlign w:val="bottom"/>
            <w:tcBorders>
              <w:top w:val="single" w:sz="8" w:color="auto"/>
            </w:tcBorders>
            <w:shd w:val="clear" w:color="auto" w:fill="CCEEFF"/>
          </w:tcPr>
          <w:p>
            <w:pPr>
              <w:spacing w:after="0"/>
              <w:rPr>
                <w:sz w:val="13"/>
                <w:szCs w:val="13"/>
                <w:color w:val="auto"/>
              </w:rPr>
            </w:pPr>
          </w:p>
        </w:tc>
        <w:tc>
          <w:tcPr>
            <w:tcW w:w="960" w:type="dxa"/>
            <w:vAlign w:val="bottom"/>
            <w:tcBorders>
              <w:top w:val="single" w:sz="8" w:color="auto"/>
            </w:tcBorders>
            <w:shd w:val="clear" w:color="auto" w:fill="CCEEFF"/>
          </w:tcPr>
          <w:p>
            <w:pPr>
              <w:spacing w:after="0"/>
              <w:rPr>
                <w:sz w:val="13"/>
                <w:szCs w:val="13"/>
                <w:color w:val="auto"/>
              </w:rPr>
            </w:pPr>
          </w:p>
        </w:tc>
        <w:tc>
          <w:tcPr>
            <w:tcW w:w="100" w:type="dxa"/>
            <w:vAlign w:val="bottom"/>
            <w:tcBorders>
              <w:top w:val="single" w:sz="8" w:color="CCEEFF"/>
            </w:tcBorders>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201"/>
        </w:trPr>
        <w:tc>
          <w:tcPr>
            <w:tcW w:w="20" w:type="dxa"/>
            <w:vAlign w:val="bottom"/>
          </w:tcPr>
          <w:p>
            <w:pPr>
              <w:spacing w:after="0"/>
              <w:rPr>
                <w:sz w:val="17"/>
                <w:szCs w:val="17"/>
                <w:color w:val="auto"/>
              </w:rPr>
            </w:pPr>
          </w:p>
        </w:tc>
        <w:tc>
          <w:tcPr>
            <w:tcW w:w="6400" w:type="dxa"/>
            <w:vAlign w:val="bottom"/>
            <w:tcBorders>
              <w:bottom w:val="single" w:sz="8" w:color="CCEEFF"/>
            </w:tcBorders>
          </w:tcPr>
          <w:p>
            <w:pPr>
              <w:ind w:left="100"/>
              <w:spacing w:after="0"/>
              <w:rPr>
                <w:sz w:val="20"/>
                <w:szCs w:val="20"/>
                <w:color w:val="auto"/>
              </w:rPr>
            </w:pPr>
            <w:r>
              <w:rPr>
                <w:rFonts w:ascii="Arial" w:cs="Arial" w:eastAsia="Arial" w:hAnsi="Arial"/>
                <w:sz w:val="13"/>
                <w:szCs w:val="13"/>
                <w:color w:val="auto"/>
              </w:rPr>
              <w:t>Cash paid for interest during the year</w:t>
            </w:r>
          </w:p>
        </w:tc>
        <w:tc>
          <w:tcPr>
            <w:tcW w:w="2340" w:type="dxa"/>
            <w:vAlign w:val="bottom"/>
            <w:tcBorders>
              <w:bottom w:val="single" w:sz="8" w:color="CCEEFF"/>
            </w:tcBorders>
            <w:gridSpan w:val="2"/>
          </w:tcPr>
          <w:p>
            <w:pPr>
              <w:jc w:val="right"/>
              <w:ind w:right="171"/>
              <w:spacing w:after="0"/>
              <w:rPr>
                <w:sz w:val="20"/>
                <w:szCs w:val="20"/>
                <w:color w:val="auto"/>
              </w:rPr>
            </w:pPr>
            <w:r>
              <w:rPr>
                <w:rFonts w:ascii="Arial" w:cs="Arial" w:eastAsia="Arial" w:hAnsi="Arial"/>
                <w:sz w:val="13"/>
                <w:szCs w:val="13"/>
                <w:color w:val="auto"/>
              </w:rPr>
              <w:t>$</w:t>
            </w:r>
          </w:p>
        </w:tc>
        <w:tc>
          <w:tcPr>
            <w:tcW w:w="1100" w:type="dxa"/>
            <w:vAlign w:val="bottom"/>
            <w:tcBorders>
              <w:bottom w:val="single" w:sz="8" w:color="auto"/>
            </w:tcBorders>
            <w:gridSpan w:val="2"/>
          </w:tcPr>
          <w:p>
            <w:pPr>
              <w:jc w:val="right"/>
              <w:ind w:right="140"/>
              <w:spacing w:after="0"/>
              <w:rPr>
                <w:sz w:val="20"/>
                <w:szCs w:val="20"/>
                <w:color w:val="auto"/>
              </w:rPr>
            </w:pPr>
            <w:r>
              <w:rPr>
                <w:rFonts w:ascii="Arial" w:cs="Arial" w:eastAsia="Arial" w:hAnsi="Arial"/>
                <w:sz w:val="13"/>
                <w:szCs w:val="13"/>
                <w:color w:val="auto"/>
              </w:rPr>
              <w:t>-</w:t>
            </w:r>
          </w:p>
        </w:tc>
        <w:tc>
          <w:tcPr>
            <w:tcW w:w="360" w:type="dxa"/>
            <w:vAlign w:val="bottom"/>
            <w:tcBorders>
              <w:bottom w:val="single" w:sz="8" w:color="CCEEFF"/>
            </w:tcBorders>
            <w:gridSpan w:val="2"/>
          </w:tcPr>
          <w:p>
            <w:pPr>
              <w:jc w:val="right"/>
              <w:ind w:right="151"/>
              <w:spacing w:after="0"/>
              <w:rPr>
                <w:sz w:val="20"/>
                <w:szCs w:val="20"/>
                <w:color w:val="auto"/>
              </w:rPr>
            </w:pPr>
            <w:r>
              <w:rPr>
                <w:rFonts w:ascii="Arial" w:cs="Arial" w:eastAsia="Arial" w:hAnsi="Arial"/>
                <w:sz w:val="13"/>
                <w:szCs w:val="13"/>
                <w:color w:val="auto"/>
              </w:rPr>
              <w:t>$</w:t>
            </w:r>
          </w:p>
        </w:tc>
        <w:tc>
          <w:tcPr>
            <w:tcW w:w="96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293,248</w:t>
            </w:r>
          </w:p>
        </w:tc>
        <w:tc>
          <w:tcPr>
            <w:tcW w:w="100" w:type="dxa"/>
            <w:vAlign w:val="bottom"/>
            <w:tcBorders>
              <w:bottom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6400" w:type="dxa"/>
            <w:vAlign w:val="bottom"/>
            <w:tcBorders>
              <w:top w:val="single" w:sz="8" w:color="CCEEFF"/>
              <w:bottom w:val="single" w:sz="8" w:color="CCEEFF"/>
            </w:tcBorders>
            <w:shd w:val="clear" w:color="auto" w:fill="CCEEFF"/>
          </w:tcPr>
          <w:p>
            <w:pPr>
              <w:ind w:left="100"/>
              <w:spacing w:after="0" w:line="134" w:lineRule="exact"/>
              <w:rPr>
                <w:sz w:val="20"/>
                <w:szCs w:val="20"/>
                <w:color w:val="auto"/>
              </w:rPr>
            </w:pPr>
            <w:r>
              <w:rPr>
                <w:rFonts w:ascii="Arial" w:cs="Arial" w:eastAsia="Arial" w:hAnsi="Arial"/>
                <w:sz w:val="13"/>
                <w:szCs w:val="13"/>
                <w:color w:val="auto"/>
              </w:rPr>
              <w:t>Cash paid for income taxes</w:t>
            </w:r>
          </w:p>
        </w:tc>
        <w:tc>
          <w:tcPr>
            <w:tcW w:w="2060" w:type="dxa"/>
            <w:vAlign w:val="bottom"/>
            <w:tcBorders>
              <w:top w:val="single" w:sz="8" w:color="CCEEFF"/>
              <w:bottom w:val="single" w:sz="8" w:color="CCEEFF"/>
            </w:tcBorders>
            <w:shd w:val="clear" w:color="auto" w:fill="CCEEFF"/>
          </w:tcPr>
          <w:p>
            <w:pPr>
              <w:spacing w:after="0"/>
              <w:rPr>
                <w:sz w:val="13"/>
                <w:szCs w:val="13"/>
                <w:color w:val="auto"/>
              </w:rPr>
            </w:pPr>
          </w:p>
        </w:tc>
        <w:tc>
          <w:tcPr>
            <w:tcW w:w="280" w:type="dxa"/>
            <w:vAlign w:val="bottom"/>
            <w:tcBorders>
              <w:top w:val="single" w:sz="8" w:color="auto"/>
              <w:bottom w:val="single" w:sz="8" w:color="auto"/>
            </w:tcBorders>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w:t>
            </w:r>
          </w:p>
        </w:tc>
        <w:tc>
          <w:tcPr>
            <w:tcW w:w="140" w:type="dxa"/>
            <w:vAlign w:val="bottom"/>
            <w:tcBorders>
              <w:top w:val="single" w:sz="8" w:color="CCEEFF"/>
              <w:bottom w:val="single" w:sz="8" w:color="CCEEFF"/>
            </w:tcBorders>
            <w:shd w:val="clear" w:color="auto" w:fill="CCEEFF"/>
          </w:tcPr>
          <w:p>
            <w:pPr>
              <w:spacing w:after="0"/>
              <w:rPr>
                <w:sz w:val="13"/>
                <w:szCs w:val="13"/>
                <w:color w:val="auto"/>
              </w:rPr>
            </w:pPr>
          </w:p>
        </w:tc>
        <w:tc>
          <w:tcPr>
            <w:tcW w:w="100" w:type="dxa"/>
            <w:vAlign w:val="bottom"/>
            <w:tcBorders>
              <w:top w:val="single" w:sz="8" w:color="CCEEFF"/>
              <w:bottom w:val="single" w:sz="8" w:color="CCEEFF"/>
            </w:tcBorders>
            <w:shd w:val="clear" w:color="auto" w:fill="CCEEFF"/>
          </w:tcPr>
          <w:p>
            <w:pPr>
              <w:spacing w:after="0"/>
              <w:rPr>
                <w:sz w:val="13"/>
                <w:szCs w:val="13"/>
                <w:color w:val="auto"/>
              </w:rPr>
            </w:pPr>
          </w:p>
        </w:tc>
        <w:tc>
          <w:tcPr>
            <w:tcW w:w="260" w:type="dxa"/>
            <w:vAlign w:val="bottom"/>
            <w:tcBorders>
              <w:top w:val="single" w:sz="8" w:color="auto"/>
              <w:bottom w:val="single" w:sz="8" w:color="auto"/>
            </w:tcBorders>
            <w:shd w:val="clear" w:color="auto" w:fill="CCEEFF"/>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800</w:t>
            </w:r>
          </w:p>
        </w:tc>
        <w:tc>
          <w:tcPr>
            <w:tcW w:w="100" w:type="dxa"/>
            <w:vAlign w:val="bottom"/>
            <w:tcBorders>
              <w:top w:val="single" w:sz="8" w:color="CCEEFF"/>
              <w:bottom w:val="single" w:sz="8" w:color="CCEEFF"/>
            </w:tcBorders>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6400" w:type="dxa"/>
            <w:vAlign w:val="bottom"/>
          </w:tcPr>
          <w:p>
            <w:pPr>
              <w:spacing w:after="0"/>
              <w:rPr>
                <w:sz w:val="13"/>
                <w:szCs w:val="13"/>
                <w:color w:val="auto"/>
              </w:rPr>
            </w:pPr>
          </w:p>
        </w:tc>
        <w:tc>
          <w:tcPr>
            <w:tcW w:w="20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6400" w:type="dxa"/>
            <w:vAlign w:val="bottom"/>
            <w:shd w:val="clear" w:color="auto" w:fill="CCEEFF"/>
          </w:tcPr>
          <w:p>
            <w:pPr>
              <w:spacing w:after="0"/>
              <w:rPr>
                <w:sz w:val="20"/>
                <w:szCs w:val="20"/>
                <w:color w:val="auto"/>
              </w:rPr>
            </w:pPr>
            <w:r>
              <w:rPr>
                <w:rFonts w:ascii="Arial" w:cs="Arial" w:eastAsia="Arial" w:hAnsi="Arial"/>
                <w:sz w:val="13"/>
                <w:szCs w:val="13"/>
                <w:b w:val="1"/>
                <w:bCs w:val="1"/>
                <w:color w:val="auto"/>
              </w:rPr>
              <w:t>Supplemental Disclosure of Non-Cash Financing Activities</w:t>
            </w:r>
          </w:p>
        </w:tc>
        <w:tc>
          <w:tcPr>
            <w:tcW w:w="2060" w:type="dxa"/>
            <w:vAlign w:val="bottom"/>
            <w:shd w:val="clear" w:color="auto" w:fill="CCEEFF"/>
          </w:tcPr>
          <w:p>
            <w:pPr>
              <w:spacing w:after="0"/>
              <w:rPr>
                <w:sz w:val="13"/>
                <w:szCs w:val="13"/>
                <w:color w:val="auto"/>
              </w:rPr>
            </w:pPr>
          </w:p>
        </w:tc>
        <w:tc>
          <w:tcPr>
            <w:tcW w:w="2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201"/>
        </w:trPr>
        <w:tc>
          <w:tcPr>
            <w:tcW w:w="20" w:type="dxa"/>
            <w:vAlign w:val="bottom"/>
          </w:tcPr>
          <w:p>
            <w:pPr>
              <w:spacing w:after="0"/>
              <w:rPr>
                <w:sz w:val="17"/>
                <w:szCs w:val="17"/>
                <w:color w:val="auto"/>
              </w:rPr>
            </w:pPr>
          </w:p>
        </w:tc>
        <w:tc>
          <w:tcPr>
            <w:tcW w:w="6400" w:type="dxa"/>
            <w:vAlign w:val="bottom"/>
            <w:tcBorders>
              <w:bottom w:val="single" w:sz="8" w:color="CCEEFF"/>
            </w:tcBorders>
          </w:tcPr>
          <w:p>
            <w:pPr>
              <w:ind w:left="100"/>
              <w:spacing w:after="0"/>
              <w:rPr>
                <w:sz w:val="20"/>
                <w:szCs w:val="20"/>
                <w:color w:val="auto"/>
              </w:rPr>
            </w:pPr>
            <w:r>
              <w:rPr>
                <w:rFonts w:ascii="Arial" w:cs="Arial" w:eastAsia="Arial" w:hAnsi="Arial"/>
                <w:sz w:val="13"/>
                <w:szCs w:val="13"/>
                <w:color w:val="auto"/>
              </w:rPr>
              <w:t>Forfeiture of security deposit for debt</w:t>
            </w:r>
          </w:p>
        </w:tc>
        <w:tc>
          <w:tcPr>
            <w:tcW w:w="2340" w:type="dxa"/>
            <w:vAlign w:val="bottom"/>
            <w:tcBorders>
              <w:bottom w:val="single" w:sz="8" w:color="CCEEFF"/>
            </w:tcBorders>
            <w:gridSpan w:val="2"/>
          </w:tcPr>
          <w:p>
            <w:pPr>
              <w:jc w:val="right"/>
              <w:ind w:right="171"/>
              <w:spacing w:after="0"/>
              <w:rPr>
                <w:sz w:val="20"/>
                <w:szCs w:val="20"/>
                <w:color w:val="auto"/>
              </w:rPr>
            </w:pPr>
            <w:r>
              <w:rPr>
                <w:rFonts w:ascii="Arial" w:cs="Arial" w:eastAsia="Arial" w:hAnsi="Arial"/>
                <w:sz w:val="13"/>
                <w:szCs w:val="13"/>
                <w:color w:val="auto"/>
              </w:rPr>
              <w:t>$</w:t>
            </w:r>
          </w:p>
        </w:tc>
        <w:tc>
          <w:tcPr>
            <w:tcW w:w="1100" w:type="dxa"/>
            <w:vAlign w:val="bottom"/>
            <w:tcBorders>
              <w:bottom w:val="single" w:sz="8" w:color="auto"/>
            </w:tcBorders>
            <w:gridSpan w:val="2"/>
          </w:tcPr>
          <w:p>
            <w:pPr>
              <w:jc w:val="right"/>
              <w:ind w:right="140"/>
              <w:spacing w:after="0"/>
              <w:rPr>
                <w:sz w:val="20"/>
                <w:szCs w:val="20"/>
                <w:color w:val="auto"/>
              </w:rPr>
            </w:pPr>
            <w:r>
              <w:rPr>
                <w:rFonts w:ascii="Arial" w:cs="Arial" w:eastAsia="Arial" w:hAnsi="Arial"/>
                <w:sz w:val="13"/>
                <w:szCs w:val="13"/>
                <w:color w:val="auto"/>
              </w:rPr>
              <w:t>-</w:t>
            </w:r>
          </w:p>
        </w:tc>
        <w:tc>
          <w:tcPr>
            <w:tcW w:w="360" w:type="dxa"/>
            <w:vAlign w:val="bottom"/>
            <w:tcBorders>
              <w:bottom w:val="single" w:sz="8" w:color="CCEEFF"/>
            </w:tcBorders>
            <w:gridSpan w:val="2"/>
          </w:tcPr>
          <w:p>
            <w:pPr>
              <w:jc w:val="right"/>
              <w:ind w:right="151"/>
              <w:spacing w:after="0"/>
              <w:rPr>
                <w:sz w:val="20"/>
                <w:szCs w:val="20"/>
                <w:color w:val="auto"/>
              </w:rPr>
            </w:pPr>
            <w:r>
              <w:rPr>
                <w:rFonts w:ascii="Arial" w:cs="Arial" w:eastAsia="Arial" w:hAnsi="Arial"/>
                <w:sz w:val="13"/>
                <w:szCs w:val="13"/>
                <w:color w:val="auto"/>
              </w:rPr>
              <w:t>$</w:t>
            </w:r>
          </w:p>
        </w:tc>
        <w:tc>
          <w:tcPr>
            <w:tcW w:w="96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242,120</w:t>
            </w:r>
          </w:p>
        </w:tc>
        <w:tc>
          <w:tcPr>
            <w:tcW w:w="100" w:type="dxa"/>
            <w:vAlign w:val="bottom"/>
            <w:tcBorders>
              <w:bottom w:val="single" w:sz="8" w:color="CCEEFF"/>
            </w:tcBorders>
          </w:tcPr>
          <w:p>
            <w:pPr>
              <w:spacing w:after="0"/>
              <w:rPr>
                <w:sz w:val="17"/>
                <w:szCs w:val="17"/>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tcBorders>
              <w:top w:val="single" w:sz="8" w:color="CCEEFF"/>
              <w:bottom w:val="single" w:sz="8" w:color="CCEEFF"/>
            </w:tcBorders>
            <w:shd w:val="clear" w:color="auto" w:fill="CCEEFF"/>
          </w:tcPr>
          <w:p>
            <w:pPr>
              <w:ind w:left="100"/>
              <w:spacing w:after="0" w:line="134" w:lineRule="exact"/>
              <w:rPr>
                <w:sz w:val="20"/>
                <w:szCs w:val="20"/>
                <w:color w:val="auto"/>
              </w:rPr>
            </w:pPr>
            <w:r>
              <w:rPr>
                <w:rFonts w:ascii="Arial" w:cs="Arial" w:eastAsia="Arial" w:hAnsi="Arial"/>
                <w:sz w:val="13"/>
                <w:szCs w:val="13"/>
                <w:color w:val="auto"/>
              </w:rPr>
              <w:t>Issuance of warrants for Preferred Stock</w:t>
            </w:r>
          </w:p>
        </w:tc>
        <w:tc>
          <w:tcPr>
            <w:tcW w:w="2060" w:type="dxa"/>
            <w:vAlign w:val="bottom"/>
            <w:tcBorders>
              <w:top w:val="single" w:sz="8" w:color="CCEEFF"/>
              <w:bottom w:val="single" w:sz="8" w:color="CCEEFF"/>
            </w:tcBorders>
            <w:shd w:val="clear" w:color="auto" w:fill="CCEEFF"/>
          </w:tcPr>
          <w:p>
            <w:pPr>
              <w:spacing w:after="0"/>
              <w:rPr>
                <w:sz w:val="14"/>
                <w:szCs w:val="14"/>
                <w:color w:val="auto"/>
              </w:rPr>
            </w:pPr>
          </w:p>
        </w:tc>
        <w:tc>
          <w:tcPr>
            <w:tcW w:w="280" w:type="dxa"/>
            <w:vAlign w:val="bottom"/>
            <w:tcBorders>
              <w:top w:val="single" w:sz="8" w:color="auto"/>
              <w:bottom w:val="single" w:sz="8" w:color="auto"/>
            </w:tcBorders>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w:t>
            </w:r>
          </w:p>
        </w:tc>
        <w:tc>
          <w:tcPr>
            <w:tcW w:w="140" w:type="dxa"/>
            <w:vAlign w:val="bottom"/>
            <w:tcBorders>
              <w:top w:val="single" w:sz="8" w:color="CCEEFF"/>
              <w:bottom w:val="single" w:sz="8" w:color="CCEEFF"/>
            </w:tcBorders>
            <w:shd w:val="clear" w:color="auto" w:fill="CCEEFF"/>
          </w:tcPr>
          <w:p>
            <w:pPr>
              <w:spacing w:after="0"/>
              <w:rPr>
                <w:sz w:val="14"/>
                <w:szCs w:val="14"/>
                <w:color w:val="auto"/>
              </w:rPr>
            </w:pPr>
          </w:p>
        </w:tc>
        <w:tc>
          <w:tcPr>
            <w:tcW w:w="100" w:type="dxa"/>
            <w:vAlign w:val="bottom"/>
            <w:tcBorders>
              <w:top w:val="single" w:sz="8" w:color="CCEEFF"/>
              <w:bottom w:val="single" w:sz="8" w:color="CCEEFF"/>
            </w:tcBorders>
            <w:shd w:val="clear" w:color="auto" w:fill="CCEEFF"/>
          </w:tcPr>
          <w:p>
            <w:pPr>
              <w:spacing w:after="0"/>
              <w:rPr>
                <w:sz w:val="14"/>
                <w:szCs w:val="14"/>
                <w:color w:val="auto"/>
              </w:rPr>
            </w:pPr>
          </w:p>
        </w:tc>
        <w:tc>
          <w:tcPr>
            <w:tcW w:w="260" w:type="dxa"/>
            <w:vAlign w:val="bottom"/>
            <w:tcBorders>
              <w:top w:val="single" w:sz="8" w:color="auto"/>
              <w:bottom w:val="single" w:sz="8" w:color="auto"/>
            </w:tcBorders>
            <w:shd w:val="clear" w:color="auto" w:fill="CCEEFF"/>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tcBorders>
              <w:top w:val="single" w:sz="8" w:color="auto"/>
              <w:bottom w:val="single" w:sz="8" w:color="auto"/>
            </w:tcBorders>
            <w:shd w:val="clear" w:color="auto" w:fill="CCEEFF"/>
          </w:tcPr>
          <w:p>
            <w:pPr>
              <w:jc w:val="right"/>
              <w:spacing w:after="0" w:line="146" w:lineRule="exact"/>
              <w:rPr>
                <w:sz w:val="20"/>
                <w:szCs w:val="20"/>
                <w:color w:val="auto"/>
              </w:rPr>
            </w:pPr>
            <w:r>
              <w:rPr>
                <w:rFonts w:ascii="Arial" w:cs="Arial" w:eastAsia="Arial" w:hAnsi="Arial"/>
                <w:sz w:val="13"/>
                <w:szCs w:val="13"/>
                <w:color w:val="auto"/>
              </w:rPr>
              <w:t>454,374</w:t>
            </w:r>
          </w:p>
        </w:tc>
        <w:tc>
          <w:tcPr>
            <w:tcW w:w="100" w:type="dxa"/>
            <w:vAlign w:val="bottom"/>
            <w:tcBorders>
              <w:top w:val="single" w:sz="8" w:color="CCEEFF"/>
              <w:bottom w:val="single" w:sz="8" w:color="CCEEFF"/>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55"/>
        </w:trPr>
        <w:tc>
          <w:tcPr>
            <w:tcW w:w="20" w:type="dxa"/>
            <w:vAlign w:val="bottom"/>
          </w:tcPr>
          <w:p>
            <w:pPr>
              <w:spacing w:after="0"/>
              <w:rPr>
                <w:sz w:val="13"/>
                <w:szCs w:val="13"/>
                <w:color w:val="auto"/>
              </w:rPr>
            </w:pPr>
          </w:p>
        </w:tc>
        <w:tc>
          <w:tcPr>
            <w:tcW w:w="6400" w:type="dxa"/>
            <w:vAlign w:val="bottom"/>
            <w:tcBorders>
              <w:bottom w:val="single" w:sz="8" w:color="CCEEFF"/>
            </w:tcBorders>
          </w:tcPr>
          <w:p>
            <w:pPr>
              <w:ind w:left="100"/>
              <w:spacing w:after="0" w:line="144" w:lineRule="exact"/>
              <w:rPr>
                <w:sz w:val="20"/>
                <w:szCs w:val="20"/>
                <w:color w:val="auto"/>
              </w:rPr>
            </w:pPr>
            <w:r>
              <w:rPr>
                <w:rFonts w:ascii="Arial" w:cs="Arial" w:eastAsia="Arial" w:hAnsi="Arial"/>
                <w:sz w:val="13"/>
                <w:szCs w:val="13"/>
                <w:color w:val="auto"/>
              </w:rPr>
              <w:t>Series m-4 accrued dividend</w:t>
            </w:r>
          </w:p>
        </w:tc>
        <w:tc>
          <w:tcPr>
            <w:tcW w:w="2060" w:type="dxa"/>
            <w:vAlign w:val="bottom"/>
            <w:tcBorders>
              <w:bottom w:val="single" w:sz="8" w:color="CCEEFF"/>
            </w:tcBorders>
          </w:tcPr>
          <w:p>
            <w:pPr>
              <w:spacing w:after="0"/>
              <w:rPr>
                <w:sz w:val="13"/>
                <w:szCs w:val="13"/>
                <w:color w:val="auto"/>
              </w:rPr>
            </w:pPr>
          </w:p>
        </w:tc>
        <w:tc>
          <w:tcPr>
            <w:tcW w:w="280" w:type="dxa"/>
            <w:vAlign w:val="bottom"/>
            <w:tcBorders>
              <w:bottom w:val="single" w:sz="8" w:color="auto"/>
            </w:tcBorders>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tcBorders>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359,028</w:t>
            </w:r>
          </w:p>
        </w:tc>
        <w:tc>
          <w:tcPr>
            <w:tcW w:w="140" w:type="dxa"/>
            <w:vAlign w:val="bottom"/>
            <w:tcBorders>
              <w:bottom w:val="single" w:sz="8" w:color="CCEEFF"/>
            </w:tcBorders>
          </w:tcPr>
          <w:p>
            <w:pPr>
              <w:spacing w:after="0"/>
              <w:rPr>
                <w:sz w:val="13"/>
                <w:szCs w:val="13"/>
                <w:color w:val="auto"/>
              </w:rPr>
            </w:pPr>
          </w:p>
        </w:tc>
        <w:tc>
          <w:tcPr>
            <w:tcW w:w="100" w:type="dxa"/>
            <w:vAlign w:val="bottom"/>
            <w:tcBorders>
              <w:bottom w:val="single" w:sz="8" w:color="CCEEFF"/>
            </w:tcBorders>
          </w:tcPr>
          <w:p>
            <w:pPr>
              <w:spacing w:after="0"/>
              <w:rPr>
                <w:sz w:val="13"/>
                <w:szCs w:val="13"/>
                <w:color w:val="auto"/>
              </w:rPr>
            </w:pPr>
          </w:p>
        </w:tc>
        <w:tc>
          <w:tcPr>
            <w:tcW w:w="260" w:type="dxa"/>
            <w:vAlign w:val="bottom"/>
            <w:tcBorders>
              <w:bottom w:val="single" w:sz="8" w:color="auto"/>
            </w:tcBorders>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tcBorders>
              <w:bottom w:val="single" w:sz="8" w:color="auto"/>
            </w:tcBorders>
          </w:tcPr>
          <w:p>
            <w:pPr>
              <w:jc w:val="right"/>
              <w:spacing w:after="0" w:line="146" w:lineRule="exact"/>
              <w:rPr>
                <w:sz w:val="20"/>
                <w:szCs w:val="20"/>
                <w:color w:val="auto"/>
              </w:rPr>
            </w:pPr>
            <w:r>
              <w:rPr>
                <w:rFonts w:ascii="Arial" w:cs="Arial" w:eastAsia="Arial" w:hAnsi="Arial"/>
                <w:sz w:val="13"/>
                <w:szCs w:val="13"/>
                <w:color w:val="auto"/>
              </w:rPr>
              <w:t>319,690</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6400" w:type="dxa"/>
            <w:vAlign w:val="bottom"/>
            <w:tcBorders>
              <w:bottom w:val="single" w:sz="8" w:color="CCEEFF"/>
            </w:tcBorders>
            <w:shd w:val="clear" w:color="auto" w:fill="CCEEFF"/>
          </w:tcPr>
          <w:p>
            <w:pPr>
              <w:ind w:left="100"/>
              <w:spacing w:after="0" w:line="145" w:lineRule="exact"/>
              <w:rPr>
                <w:sz w:val="20"/>
                <w:szCs w:val="20"/>
                <w:color w:val="auto"/>
              </w:rPr>
            </w:pPr>
            <w:r>
              <w:rPr>
                <w:rFonts w:ascii="Arial" w:cs="Arial" w:eastAsia="Arial" w:hAnsi="Arial"/>
                <w:sz w:val="13"/>
                <w:szCs w:val="13"/>
                <w:color w:val="auto"/>
              </w:rPr>
              <w:t>PPP loan and interest forgiveness</w:t>
            </w:r>
          </w:p>
        </w:tc>
        <w:tc>
          <w:tcPr>
            <w:tcW w:w="2060" w:type="dxa"/>
            <w:vAlign w:val="bottom"/>
            <w:tcBorders>
              <w:bottom w:val="single" w:sz="8" w:color="CCEEFF"/>
            </w:tcBorders>
            <w:shd w:val="clear" w:color="auto" w:fill="CCEEFF"/>
          </w:tcPr>
          <w:p>
            <w:pPr>
              <w:spacing w:after="0"/>
              <w:rPr>
                <w:sz w:val="14"/>
                <w:szCs w:val="14"/>
                <w:color w:val="auto"/>
              </w:rPr>
            </w:pPr>
          </w:p>
        </w:tc>
        <w:tc>
          <w:tcPr>
            <w:tcW w:w="280" w:type="dxa"/>
            <w:vAlign w:val="bottom"/>
            <w:tcBorders>
              <w:bottom w:val="single" w:sz="8" w:color="auto"/>
            </w:tcBorders>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831,811</w:t>
            </w:r>
          </w:p>
        </w:tc>
        <w:tc>
          <w:tcPr>
            <w:tcW w:w="140" w:type="dxa"/>
            <w:vAlign w:val="bottom"/>
            <w:tcBorders>
              <w:bottom w:val="single" w:sz="8" w:color="CCEEFF"/>
            </w:tcBorders>
            <w:shd w:val="clear" w:color="auto" w:fill="CCEEFF"/>
          </w:tcPr>
          <w:p>
            <w:pPr>
              <w:spacing w:after="0"/>
              <w:rPr>
                <w:sz w:val="14"/>
                <w:szCs w:val="14"/>
                <w:color w:val="auto"/>
              </w:rPr>
            </w:pPr>
          </w:p>
        </w:tc>
        <w:tc>
          <w:tcPr>
            <w:tcW w:w="100" w:type="dxa"/>
            <w:vAlign w:val="bottom"/>
            <w:tcBorders>
              <w:bottom w:val="single" w:sz="8" w:color="CCEEFF"/>
            </w:tcBorders>
            <w:shd w:val="clear" w:color="auto" w:fill="CCEEFF"/>
          </w:tcPr>
          <w:p>
            <w:pPr>
              <w:spacing w:after="0"/>
              <w:rPr>
                <w:sz w:val="14"/>
                <w:szCs w:val="14"/>
                <w:color w:val="auto"/>
              </w:rPr>
            </w:pPr>
          </w:p>
        </w:tc>
        <w:tc>
          <w:tcPr>
            <w:tcW w:w="260" w:type="dxa"/>
            <w:vAlign w:val="bottom"/>
            <w:tcBorders>
              <w:bottom w:val="single" w:sz="8" w:color="auto"/>
            </w:tcBorders>
            <w:shd w:val="clear" w:color="auto" w:fill="CCEEFF"/>
          </w:tcPr>
          <w:p>
            <w:pPr>
              <w:jc w:val="right"/>
              <w:ind w:right="151"/>
              <w:spacing w:after="0"/>
              <w:rPr>
                <w:sz w:val="20"/>
                <w:szCs w:val="20"/>
                <w:color w:val="auto"/>
              </w:rPr>
            </w:pPr>
            <w:r>
              <w:rPr>
                <w:rFonts w:ascii="Arial" w:cs="Arial" w:eastAsia="Arial" w:hAnsi="Arial"/>
                <w:sz w:val="10"/>
                <w:szCs w:val="10"/>
                <w:color w:val="auto"/>
                <w:w w:val="71"/>
              </w:rPr>
              <w:t>$</w:t>
            </w: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w:t>
            </w:r>
          </w:p>
        </w:tc>
        <w:tc>
          <w:tcPr>
            <w:tcW w:w="100" w:type="dxa"/>
            <w:vAlign w:val="bottom"/>
            <w:tcBorders>
              <w:bottom w:val="single" w:sz="8" w:color="CCEEFF"/>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bl>
    <w:p>
      <w:pPr>
        <w:spacing w:after="0" w:line="148"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See accompanying Notes to Condensed Financial Statements.</w:t>
      </w:r>
    </w:p>
    <w:p>
      <w:pPr>
        <w:spacing w:after="0" w:line="320"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93" w:name="page94"/>
    <w:bookmarkEnd w:id="93"/>
    <w:p>
      <w:pPr>
        <w:jc w:val="center"/>
        <w:ind w:right="80"/>
        <w:spacing w:after="0"/>
        <w:rPr>
          <w:sz w:val="20"/>
          <w:szCs w:val="20"/>
          <w:color w:val="auto"/>
        </w:rPr>
      </w:pPr>
      <w:r>
        <w:rPr>
          <w:rFonts w:ascii="Arial" w:cs="Arial" w:eastAsia="Arial" w:hAnsi="Arial"/>
          <w:sz w:val="13"/>
          <w:szCs w:val="13"/>
          <w:b w:val="1"/>
          <w:bCs w:val="1"/>
          <w:color w:val="auto"/>
        </w:rPr>
        <w:t>KNIGHTSCOPE, INC.</w:t>
      </w:r>
    </w:p>
    <w:p>
      <w:pPr>
        <w:spacing w:after="0" w:line="19" w:lineRule="exact"/>
        <w:rPr>
          <w:sz w:val="20"/>
          <w:szCs w:val="20"/>
          <w:color w:val="auto"/>
        </w:rPr>
      </w:pPr>
    </w:p>
    <w:p>
      <w:pPr>
        <w:jc w:val="center"/>
        <w:ind w:right="80"/>
        <w:spacing w:after="0"/>
        <w:rPr>
          <w:sz w:val="20"/>
          <w:szCs w:val="20"/>
          <w:color w:val="auto"/>
        </w:rPr>
      </w:pPr>
      <w:r>
        <w:rPr>
          <w:rFonts w:ascii="Arial" w:cs="Arial" w:eastAsia="Arial" w:hAnsi="Arial"/>
          <w:sz w:val="13"/>
          <w:szCs w:val="13"/>
          <w:b w:val="1"/>
          <w:bCs w:val="1"/>
          <w:color w:val="auto"/>
        </w:rPr>
        <w:t>CONDENSED STATEMENTS OF PREFERRED STOCK AND CHANGES IN STOCKHOLDERS’ DEFICIT</w:t>
      </w:r>
    </w:p>
    <w:p>
      <w:pPr>
        <w:spacing w:after="0" w:line="7" w:lineRule="exact"/>
        <w:rPr>
          <w:sz w:val="20"/>
          <w:szCs w:val="20"/>
          <w:color w:val="auto"/>
        </w:rPr>
      </w:pPr>
    </w:p>
    <w:p>
      <w:pPr>
        <w:jc w:val="center"/>
        <w:ind w:right="80"/>
        <w:spacing w:after="0"/>
        <w:rPr>
          <w:sz w:val="20"/>
          <w:szCs w:val="20"/>
          <w:color w:val="auto"/>
        </w:rPr>
      </w:pPr>
      <w:r>
        <w:rPr>
          <w:rFonts w:ascii="Arial" w:cs="Arial" w:eastAsia="Arial" w:hAnsi="Arial"/>
          <w:sz w:val="13"/>
          <w:szCs w:val="13"/>
          <w:b w:val="1"/>
          <w:bCs w:val="1"/>
          <w:color w:val="auto"/>
        </w:rPr>
        <w:t>(Unaudited)</w:t>
      </w:r>
    </w:p>
    <w:p>
      <w:pPr>
        <w:spacing w:after="0" w:line="146" w:lineRule="exact"/>
        <w:rPr>
          <w:sz w:val="20"/>
          <w:szCs w:val="20"/>
          <w:color w:val="auto"/>
        </w:rPr>
      </w:pPr>
    </w:p>
    <w:tbl>
      <w:tblPr>
        <w:tblLayout w:type="fixed"/>
        <w:tblInd w:w="0" w:type="dxa"/>
        <w:tblCellMar>
          <w:top w:w="0" w:type="dxa"/>
          <w:left w:w="0" w:type="dxa"/>
          <w:bottom w:w="0" w:type="dxa"/>
          <w:right w:w="0" w:type="dxa"/>
        </w:tblCellMar>
      </w:tblPr>
      <w:tr>
        <w:trPr>
          <w:trHeight w:val="103"/>
        </w:trPr>
        <w:tc>
          <w:tcPr>
            <w:tcW w:w="2140" w:type="dxa"/>
            <w:vAlign w:val="bottom"/>
          </w:tcPr>
          <w:p>
            <w:pPr>
              <w:spacing w:after="0"/>
              <w:rPr>
                <w:sz w:val="8"/>
                <w:szCs w:val="8"/>
                <w:color w:val="auto"/>
              </w:rPr>
            </w:pPr>
          </w:p>
        </w:tc>
        <w:tc>
          <w:tcPr>
            <w:tcW w:w="940" w:type="dxa"/>
            <w:vAlign w:val="bottom"/>
            <w:gridSpan w:val="4"/>
          </w:tcPr>
          <w:p>
            <w:pPr>
              <w:jc w:val="center"/>
              <w:ind w:right="20"/>
              <w:spacing w:after="0"/>
              <w:rPr>
                <w:sz w:val="20"/>
                <w:szCs w:val="20"/>
                <w:color w:val="auto"/>
              </w:rPr>
            </w:pPr>
            <w:r>
              <w:rPr>
                <w:rFonts w:ascii="Arial" w:cs="Arial" w:eastAsia="Arial" w:hAnsi="Arial"/>
                <w:sz w:val="9"/>
                <w:szCs w:val="9"/>
                <w:b w:val="1"/>
                <w:bCs w:val="1"/>
                <w:color w:val="auto"/>
                <w:w w:val="85"/>
              </w:rPr>
              <w:t>Series m</w:t>
            </w:r>
          </w:p>
        </w:tc>
        <w:tc>
          <w:tcPr>
            <w:tcW w:w="880" w:type="dxa"/>
            <w:vAlign w:val="bottom"/>
            <w:gridSpan w:val="4"/>
          </w:tcPr>
          <w:p>
            <w:pPr>
              <w:jc w:val="right"/>
              <w:ind w:right="260"/>
              <w:spacing w:after="0"/>
              <w:rPr>
                <w:sz w:val="20"/>
                <w:szCs w:val="20"/>
                <w:color w:val="auto"/>
              </w:rPr>
            </w:pPr>
            <w:r>
              <w:rPr>
                <w:rFonts w:ascii="Arial" w:cs="Arial" w:eastAsia="Arial" w:hAnsi="Arial"/>
                <w:sz w:val="9"/>
                <w:szCs w:val="9"/>
                <w:b w:val="1"/>
                <w:bCs w:val="1"/>
                <w:color w:val="auto"/>
              </w:rPr>
              <w:t>Series m-2</w:t>
            </w:r>
          </w:p>
        </w:tc>
        <w:tc>
          <w:tcPr>
            <w:tcW w:w="680" w:type="dxa"/>
            <w:vAlign w:val="bottom"/>
            <w:gridSpan w:val="4"/>
          </w:tcPr>
          <w:p>
            <w:pPr>
              <w:jc w:val="center"/>
              <w:ind w:right="40"/>
              <w:spacing w:after="0"/>
              <w:rPr>
                <w:sz w:val="20"/>
                <w:szCs w:val="20"/>
                <w:color w:val="auto"/>
              </w:rPr>
            </w:pPr>
            <w:r>
              <w:rPr>
                <w:rFonts w:ascii="Arial" w:cs="Arial" w:eastAsia="Arial" w:hAnsi="Arial"/>
                <w:sz w:val="9"/>
                <w:szCs w:val="9"/>
                <w:b w:val="1"/>
                <w:bCs w:val="1"/>
                <w:color w:val="auto"/>
                <w:w w:val="87"/>
              </w:rPr>
              <w:t>Series m-3</w:t>
            </w:r>
          </w:p>
        </w:tc>
        <w:tc>
          <w:tcPr>
            <w:tcW w:w="880" w:type="dxa"/>
            <w:vAlign w:val="bottom"/>
            <w:gridSpan w:val="5"/>
          </w:tcPr>
          <w:p>
            <w:pPr>
              <w:jc w:val="center"/>
              <w:ind w:right="40"/>
              <w:spacing w:after="0"/>
              <w:rPr>
                <w:sz w:val="20"/>
                <w:szCs w:val="20"/>
                <w:color w:val="auto"/>
              </w:rPr>
            </w:pPr>
            <w:r>
              <w:rPr>
                <w:rFonts w:ascii="Arial" w:cs="Arial" w:eastAsia="Arial" w:hAnsi="Arial"/>
                <w:sz w:val="9"/>
                <w:szCs w:val="9"/>
                <w:b w:val="1"/>
                <w:bCs w:val="1"/>
                <w:color w:val="auto"/>
                <w:w w:val="87"/>
              </w:rPr>
              <w:t>Series m-4</w:t>
            </w:r>
          </w:p>
        </w:tc>
        <w:tc>
          <w:tcPr>
            <w:tcW w:w="920" w:type="dxa"/>
            <w:vAlign w:val="bottom"/>
            <w:gridSpan w:val="5"/>
          </w:tcPr>
          <w:p>
            <w:pPr>
              <w:jc w:val="right"/>
              <w:ind w:right="320"/>
              <w:spacing w:after="0"/>
              <w:rPr>
                <w:sz w:val="20"/>
                <w:szCs w:val="20"/>
                <w:color w:val="auto"/>
              </w:rPr>
            </w:pPr>
            <w:r>
              <w:rPr>
                <w:rFonts w:ascii="Arial" w:cs="Arial" w:eastAsia="Arial" w:hAnsi="Arial"/>
                <w:sz w:val="9"/>
                <w:szCs w:val="9"/>
                <w:b w:val="1"/>
                <w:bCs w:val="1"/>
                <w:color w:val="auto"/>
              </w:rPr>
              <w:t>Series S</w:t>
            </w:r>
          </w:p>
        </w:tc>
        <w:tc>
          <w:tcPr>
            <w:tcW w:w="880" w:type="dxa"/>
            <w:vAlign w:val="bottom"/>
            <w:gridSpan w:val="4"/>
          </w:tcPr>
          <w:p>
            <w:pPr>
              <w:jc w:val="center"/>
              <w:ind w:right="40"/>
              <w:spacing w:after="0"/>
              <w:rPr>
                <w:sz w:val="20"/>
                <w:szCs w:val="20"/>
                <w:color w:val="auto"/>
              </w:rPr>
            </w:pPr>
            <w:r>
              <w:rPr>
                <w:rFonts w:ascii="Arial" w:cs="Arial" w:eastAsia="Arial" w:hAnsi="Arial"/>
                <w:sz w:val="9"/>
                <w:szCs w:val="9"/>
                <w:b w:val="1"/>
                <w:bCs w:val="1"/>
                <w:color w:val="auto"/>
                <w:w w:val="88"/>
              </w:rPr>
              <w:t>Series A</w:t>
            </w:r>
          </w:p>
        </w:tc>
        <w:tc>
          <w:tcPr>
            <w:tcW w:w="880" w:type="dxa"/>
            <w:vAlign w:val="bottom"/>
            <w:gridSpan w:val="4"/>
          </w:tcPr>
          <w:p>
            <w:pPr>
              <w:jc w:val="center"/>
              <w:ind w:right="40"/>
              <w:spacing w:after="0"/>
              <w:rPr>
                <w:sz w:val="20"/>
                <w:szCs w:val="20"/>
                <w:color w:val="auto"/>
              </w:rPr>
            </w:pPr>
            <w:r>
              <w:rPr>
                <w:rFonts w:ascii="Arial" w:cs="Arial" w:eastAsia="Arial" w:hAnsi="Arial"/>
                <w:sz w:val="9"/>
                <w:szCs w:val="9"/>
                <w:b w:val="1"/>
                <w:bCs w:val="1"/>
                <w:color w:val="auto"/>
                <w:w w:val="88"/>
              </w:rPr>
              <w:t>Series B</w:t>
            </w:r>
          </w:p>
        </w:tc>
        <w:tc>
          <w:tcPr>
            <w:tcW w:w="520" w:type="dxa"/>
            <w:vAlign w:val="bottom"/>
            <w:gridSpan w:val="4"/>
          </w:tcPr>
          <w:p>
            <w:pPr>
              <w:jc w:val="center"/>
              <w:ind w:left="14"/>
              <w:spacing w:after="0"/>
              <w:rPr>
                <w:sz w:val="20"/>
                <w:szCs w:val="20"/>
                <w:color w:val="auto"/>
              </w:rPr>
            </w:pPr>
            <w:r>
              <w:rPr>
                <w:rFonts w:ascii="Arial" w:cs="Arial" w:eastAsia="Arial" w:hAnsi="Arial"/>
                <w:sz w:val="9"/>
                <w:szCs w:val="9"/>
                <w:b w:val="1"/>
                <w:bCs w:val="1"/>
                <w:color w:val="auto"/>
                <w:w w:val="90"/>
              </w:rPr>
              <w:t>Class A</w:t>
            </w: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640" w:type="dxa"/>
            <w:vAlign w:val="bottom"/>
            <w:gridSpan w:val="4"/>
          </w:tcPr>
          <w:p>
            <w:pPr>
              <w:jc w:val="center"/>
              <w:ind w:left="114"/>
              <w:spacing w:after="0"/>
              <w:rPr>
                <w:sz w:val="20"/>
                <w:szCs w:val="20"/>
                <w:color w:val="auto"/>
              </w:rPr>
            </w:pPr>
            <w:r>
              <w:rPr>
                <w:rFonts w:ascii="Arial" w:cs="Arial" w:eastAsia="Arial" w:hAnsi="Arial"/>
                <w:sz w:val="9"/>
                <w:szCs w:val="9"/>
                <w:b w:val="1"/>
                <w:bCs w:val="1"/>
                <w:color w:val="auto"/>
                <w:w w:val="84"/>
              </w:rPr>
              <w:t>Class B</w:t>
            </w: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940" w:type="dxa"/>
            <w:vAlign w:val="bottom"/>
            <w:gridSpan w:val="4"/>
          </w:tcPr>
          <w:p>
            <w:pPr>
              <w:jc w:val="center"/>
              <w:ind w:right="40"/>
              <w:spacing w:after="0" w:line="98" w:lineRule="exact"/>
              <w:rPr>
                <w:sz w:val="20"/>
                <w:szCs w:val="20"/>
                <w:color w:val="auto"/>
              </w:rPr>
            </w:pPr>
            <w:r>
              <w:rPr>
                <w:rFonts w:ascii="Arial" w:cs="Arial" w:eastAsia="Arial" w:hAnsi="Arial"/>
                <w:sz w:val="9"/>
                <w:szCs w:val="9"/>
                <w:b w:val="1"/>
                <w:bCs w:val="1"/>
                <w:color w:val="auto"/>
                <w:w w:val="94"/>
              </w:rPr>
              <w:t>Preferred</w:t>
            </w:r>
          </w:p>
        </w:tc>
        <w:tc>
          <w:tcPr>
            <w:tcW w:w="880" w:type="dxa"/>
            <w:vAlign w:val="bottom"/>
            <w:gridSpan w:val="4"/>
          </w:tcPr>
          <w:p>
            <w:pPr>
              <w:jc w:val="right"/>
              <w:ind w:right="260"/>
              <w:spacing w:after="0" w:line="98" w:lineRule="exact"/>
              <w:rPr>
                <w:sz w:val="20"/>
                <w:szCs w:val="20"/>
                <w:color w:val="auto"/>
              </w:rPr>
            </w:pPr>
            <w:r>
              <w:rPr>
                <w:rFonts w:ascii="Arial" w:cs="Arial" w:eastAsia="Arial" w:hAnsi="Arial"/>
                <w:sz w:val="9"/>
                <w:szCs w:val="9"/>
                <w:b w:val="1"/>
                <w:bCs w:val="1"/>
                <w:color w:val="auto"/>
              </w:rPr>
              <w:t>Preferred</w:t>
            </w:r>
          </w:p>
        </w:tc>
        <w:tc>
          <w:tcPr>
            <w:tcW w:w="680" w:type="dxa"/>
            <w:vAlign w:val="bottom"/>
            <w:gridSpan w:val="4"/>
          </w:tcPr>
          <w:p>
            <w:pPr>
              <w:jc w:val="center"/>
              <w:ind w:right="40"/>
              <w:spacing w:after="0" w:line="98" w:lineRule="exact"/>
              <w:rPr>
                <w:sz w:val="20"/>
                <w:szCs w:val="20"/>
                <w:color w:val="auto"/>
              </w:rPr>
            </w:pPr>
            <w:r>
              <w:rPr>
                <w:rFonts w:ascii="Arial" w:cs="Arial" w:eastAsia="Arial" w:hAnsi="Arial"/>
                <w:sz w:val="9"/>
                <w:szCs w:val="9"/>
                <w:b w:val="1"/>
                <w:bCs w:val="1"/>
                <w:color w:val="auto"/>
                <w:w w:val="89"/>
              </w:rPr>
              <w:t>Preferred</w:t>
            </w:r>
          </w:p>
        </w:tc>
        <w:tc>
          <w:tcPr>
            <w:tcW w:w="880" w:type="dxa"/>
            <w:vAlign w:val="bottom"/>
            <w:gridSpan w:val="5"/>
          </w:tcPr>
          <w:p>
            <w:pPr>
              <w:jc w:val="center"/>
              <w:ind w:right="60"/>
              <w:spacing w:after="0" w:line="98" w:lineRule="exact"/>
              <w:rPr>
                <w:sz w:val="20"/>
                <w:szCs w:val="20"/>
                <w:color w:val="auto"/>
              </w:rPr>
            </w:pPr>
            <w:r>
              <w:rPr>
                <w:rFonts w:ascii="Arial" w:cs="Arial" w:eastAsia="Arial" w:hAnsi="Arial"/>
                <w:sz w:val="9"/>
                <w:szCs w:val="9"/>
                <w:b w:val="1"/>
                <w:bCs w:val="1"/>
                <w:color w:val="auto"/>
                <w:w w:val="94"/>
              </w:rPr>
              <w:t>Preferred</w:t>
            </w:r>
          </w:p>
        </w:tc>
        <w:tc>
          <w:tcPr>
            <w:tcW w:w="920" w:type="dxa"/>
            <w:vAlign w:val="bottom"/>
            <w:gridSpan w:val="5"/>
          </w:tcPr>
          <w:p>
            <w:pPr>
              <w:jc w:val="right"/>
              <w:ind w:right="300"/>
              <w:spacing w:after="0" w:line="98" w:lineRule="exact"/>
              <w:rPr>
                <w:sz w:val="20"/>
                <w:szCs w:val="20"/>
                <w:color w:val="auto"/>
              </w:rPr>
            </w:pPr>
            <w:r>
              <w:rPr>
                <w:rFonts w:ascii="Arial" w:cs="Arial" w:eastAsia="Arial" w:hAnsi="Arial"/>
                <w:sz w:val="9"/>
                <w:szCs w:val="9"/>
                <w:b w:val="1"/>
                <w:bCs w:val="1"/>
                <w:color w:val="auto"/>
              </w:rPr>
              <w:t>Preferred</w:t>
            </w:r>
          </w:p>
        </w:tc>
        <w:tc>
          <w:tcPr>
            <w:tcW w:w="880" w:type="dxa"/>
            <w:vAlign w:val="bottom"/>
            <w:gridSpan w:val="4"/>
          </w:tcPr>
          <w:p>
            <w:pPr>
              <w:jc w:val="center"/>
              <w:ind w:right="60"/>
              <w:spacing w:after="0" w:line="98" w:lineRule="exact"/>
              <w:rPr>
                <w:sz w:val="20"/>
                <w:szCs w:val="20"/>
                <w:color w:val="auto"/>
              </w:rPr>
            </w:pPr>
            <w:r>
              <w:rPr>
                <w:rFonts w:ascii="Arial" w:cs="Arial" w:eastAsia="Arial" w:hAnsi="Arial"/>
                <w:sz w:val="9"/>
                <w:szCs w:val="9"/>
                <w:b w:val="1"/>
                <w:bCs w:val="1"/>
                <w:color w:val="auto"/>
                <w:w w:val="94"/>
              </w:rPr>
              <w:t>Preferred</w:t>
            </w:r>
          </w:p>
        </w:tc>
        <w:tc>
          <w:tcPr>
            <w:tcW w:w="880" w:type="dxa"/>
            <w:vAlign w:val="bottom"/>
            <w:gridSpan w:val="4"/>
          </w:tcPr>
          <w:p>
            <w:pPr>
              <w:jc w:val="center"/>
              <w:ind w:right="60"/>
              <w:spacing w:after="0" w:line="98" w:lineRule="exact"/>
              <w:rPr>
                <w:sz w:val="20"/>
                <w:szCs w:val="20"/>
                <w:color w:val="auto"/>
              </w:rPr>
            </w:pPr>
            <w:r>
              <w:rPr>
                <w:rFonts w:ascii="Arial" w:cs="Arial" w:eastAsia="Arial" w:hAnsi="Arial"/>
                <w:sz w:val="9"/>
                <w:szCs w:val="9"/>
                <w:b w:val="1"/>
                <w:bCs w:val="1"/>
                <w:color w:val="auto"/>
                <w:w w:val="94"/>
              </w:rPr>
              <w:t>Preferred</w:t>
            </w:r>
          </w:p>
        </w:tc>
        <w:tc>
          <w:tcPr>
            <w:tcW w:w="520" w:type="dxa"/>
            <w:vAlign w:val="bottom"/>
            <w:gridSpan w:val="4"/>
          </w:tcPr>
          <w:p>
            <w:pPr>
              <w:jc w:val="center"/>
              <w:ind w:left="14"/>
              <w:spacing w:after="0" w:line="98" w:lineRule="exact"/>
              <w:rPr>
                <w:sz w:val="20"/>
                <w:szCs w:val="20"/>
                <w:color w:val="auto"/>
              </w:rPr>
            </w:pPr>
            <w:r>
              <w:rPr>
                <w:rFonts w:ascii="Arial" w:cs="Arial" w:eastAsia="Arial" w:hAnsi="Arial"/>
                <w:sz w:val="9"/>
                <w:szCs w:val="9"/>
                <w:b w:val="1"/>
                <w:bCs w:val="1"/>
                <w:color w:val="auto"/>
                <w:w w:val="90"/>
              </w:rPr>
              <w:t>common</w:t>
            </w: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640" w:type="dxa"/>
            <w:vAlign w:val="bottom"/>
            <w:gridSpan w:val="4"/>
          </w:tcPr>
          <w:p>
            <w:pPr>
              <w:jc w:val="center"/>
              <w:ind w:left="94"/>
              <w:spacing w:after="0" w:line="98" w:lineRule="exact"/>
              <w:rPr>
                <w:sz w:val="20"/>
                <w:szCs w:val="20"/>
                <w:color w:val="auto"/>
              </w:rPr>
            </w:pPr>
            <w:r>
              <w:rPr>
                <w:rFonts w:ascii="Arial" w:cs="Arial" w:eastAsia="Arial" w:hAnsi="Arial"/>
                <w:sz w:val="9"/>
                <w:szCs w:val="9"/>
                <w:b w:val="1"/>
                <w:bCs w:val="1"/>
                <w:color w:val="auto"/>
                <w:w w:val="90"/>
              </w:rPr>
              <w:t>common</w:t>
            </w: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11"/>
        </w:trPr>
        <w:tc>
          <w:tcPr>
            <w:tcW w:w="2140" w:type="dxa"/>
            <w:vAlign w:val="bottom"/>
          </w:tcPr>
          <w:p>
            <w:pPr>
              <w:spacing w:after="0"/>
              <w:rPr>
                <w:sz w:val="9"/>
                <w:szCs w:val="9"/>
                <w:color w:val="auto"/>
              </w:rPr>
            </w:pPr>
          </w:p>
        </w:tc>
        <w:tc>
          <w:tcPr>
            <w:tcW w:w="940" w:type="dxa"/>
            <w:vAlign w:val="bottom"/>
            <w:gridSpan w:val="4"/>
          </w:tcPr>
          <w:p>
            <w:pPr>
              <w:jc w:val="center"/>
              <w:ind w:right="20"/>
              <w:spacing w:after="0"/>
              <w:rPr>
                <w:sz w:val="20"/>
                <w:szCs w:val="20"/>
                <w:color w:val="auto"/>
              </w:rPr>
            </w:pPr>
            <w:r>
              <w:rPr>
                <w:rFonts w:ascii="Arial" w:cs="Arial" w:eastAsia="Arial" w:hAnsi="Arial"/>
                <w:sz w:val="9"/>
                <w:szCs w:val="9"/>
                <w:b w:val="1"/>
                <w:bCs w:val="1"/>
                <w:color w:val="auto"/>
                <w:w w:val="84"/>
              </w:rPr>
              <w:t>stock</w:t>
            </w:r>
          </w:p>
        </w:tc>
        <w:tc>
          <w:tcPr>
            <w:tcW w:w="880" w:type="dxa"/>
            <w:vAlign w:val="bottom"/>
            <w:gridSpan w:val="4"/>
          </w:tcPr>
          <w:p>
            <w:pPr>
              <w:ind w:left="340"/>
              <w:spacing w:after="0"/>
              <w:rPr>
                <w:sz w:val="20"/>
                <w:szCs w:val="20"/>
                <w:color w:val="auto"/>
              </w:rPr>
            </w:pPr>
            <w:r>
              <w:rPr>
                <w:rFonts w:ascii="Arial" w:cs="Arial" w:eastAsia="Arial" w:hAnsi="Arial"/>
                <w:sz w:val="9"/>
                <w:szCs w:val="9"/>
                <w:b w:val="1"/>
                <w:bCs w:val="1"/>
                <w:color w:val="auto"/>
              </w:rPr>
              <w:t>stock</w:t>
            </w:r>
          </w:p>
        </w:tc>
        <w:tc>
          <w:tcPr>
            <w:tcW w:w="680" w:type="dxa"/>
            <w:vAlign w:val="bottom"/>
            <w:gridSpan w:val="4"/>
          </w:tcPr>
          <w:p>
            <w:pPr>
              <w:ind w:left="220"/>
              <w:spacing w:after="0"/>
              <w:rPr>
                <w:sz w:val="20"/>
                <w:szCs w:val="20"/>
                <w:color w:val="auto"/>
              </w:rPr>
            </w:pPr>
            <w:r>
              <w:rPr>
                <w:rFonts w:ascii="Arial" w:cs="Arial" w:eastAsia="Arial" w:hAnsi="Arial"/>
                <w:sz w:val="9"/>
                <w:szCs w:val="9"/>
                <w:b w:val="1"/>
                <w:bCs w:val="1"/>
                <w:color w:val="auto"/>
              </w:rPr>
              <w:t>stock</w:t>
            </w:r>
          </w:p>
        </w:tc>
        <w:tc>
          <w:tcPr>
            <w:tcW w:w="880" w:type="dxa"/>
            <w:vAlign w:val="bottom"/>
            <w:gridSpan w:val="5"/>
          </w:tcPr>
          <w:p>
            <w:pPr>
              <w:jc w:val="right"/>
              <w:ind w:right="360"/>
              <w:spacing w:after="0"/>
              <w:rPr>
                <w:sz w:val="20"/>
                <w:szCs w:val="20"/>
                <w:color w:val="auto"/>
              </w:rPr>
            </w:pPr>
            <w:r>
              <w:rPr>
                <w:rFonts w:ascii="Arial" w:cs="Arial" w:eastAsia="Arial" w:hAnsi="Arial"/>
                <w:sz w:val="9"/>
                <w:szCs w:val="9"/>
                <w:b w:val="1"/>
                <w:bCs w:val="1"/>
                <w:color w:val="auto"/>
              </w:rPr>
              <w:t>stock</w:t>
            </w:r>
          </w:p>
        </w:tc>
        <w:tc>
          <w:tcPr>
            <w:tcW w:w="920" w:type="dxa"/>
            <w:vAlign w:val="bottom"/>
            <w:gridSpan w:val="5"/>
          </w:tcPr>
          <w:p>
            <w:pPr>
              <w:jc w:val="right"/>
              <w:ind w:right="380"/>
              <w:spacing w:after="0"/>
              <w:rPr>
                <w:sz w:val="20"/>
                <w:szCs w:val="20"/>
                <w:color w:val="auto"/>
              </w:rPr>
            </w:pPr>
            <w:r>
              <w:rPr>
                <w:rFonts w:ascii="Arial" w:cs="Arial" w:eastAsia="Arial" w:hAnsi="Arial"/>
                <w:sz w:val="9"/>
                <w:szCs w:val="9"/>
                <w:b w:val="1"/>
                <w:bCs w:val="1"/>
                <w:color w:val="auto"/>
              </w:rPr>
              <w:t>stock</w:t>
            </w:r>
          </w:p>
        </w:tc>
        <w:tc>
          <w:tcPr>
            <w:tcW w:w="880" w:type="dxa"/>
            <w:vAlign w:val="bottom"/>
            <w:gridSpan w:val="4"/>
          </w:tcPr>
          <w:p>
            <w:pPr>
              <w:ind w:left="320"/>
              <w:spacing w:after="0"/>
              <w:rPr>
                <w:sz w:val="20"/>
                <w:szCs w:val="20"/>
                <w:color w:val="auto"/>
              </w:rPr>
            </w:pPr>
            <w:r>
              <w:rPr>
                <w:rFonts w:ascii="Arial" w:cs="Arial" w:eastAsia="Arial" w:hAnsi="Arial"/>
                <w:sz w:val="9"/>
                <w:szCs w:val="9"/>
                <w:b w:val="1"/>
                <w:bCs w:val="1"/>
                <w:color w:val="auto"/>
              </w:rPr>
              <w:t>stock</w:t>
            </w:r>
          </w:p>
        </w:tc>
        <w:tc>
          <w:tcPr>
            <w:tcW w:w="880" w:type="dxa"/>
            <w:vAlign w:val="bottom"/>
            <w:gridSpan w:val="4"/>
          </w:tcPr>
          <w:p>
            <w:pPr>
              <w:jc w:val="center"/>
              <w:ind w:right="40"/>
              <w:spacing w:after="0"/>
              <w:rPr>
                <w:sz w:val="20"/>
                <w:szCs w:val="20"/>
                <w:color w:val="auto"/>
              </w:rPr>
            </w:pPr>
            <w:r>
              <w:rPr>
                <w:rFonts w:ascii="Arial" w:cs="Arial" w:eastAsia="Arial" w:hAnsi="Arial"/>
                <w:sz w:val="9"/>
                <w:szCs w:val="9"/>
                <w:b w:val="1"/>
                <w:bCs w:val="1"/>
                <w:color w:val="auto"/>
                <w:w w:val="84"/>
              </w:rPr>
              <w:t>stock</w:t>
            </w:r>
          </w:p>
        </w:tc>
        <w:tc>
          <w:tcPr>
            <w:tcW w:w="520" w:type="dxa"/>
            <w:vAlign w:val="bottom"/>
            <w:gridSpan w:val="4"/>
          </w:tcPr>
          <w:p>
            <w:pPr>
              <w:jc w:val="center"/>
              <w:ind w:left="34"/>
              <w:spacing w:after="0"/>
              <w:rPr>
                <w:sz w:val="20"/>
                <w:szCs w:val="20"/>
                <w:color w:val="auto"/>
              </w:rPr>
            </w:pPr>
            <w:r>
              <w:rPr>
                <w:rFonts w:ascii="Arial" w:cs="Arial" w:eastAsia="Arial" w:hAnsi="Arial"/>
                <w:sz w:val="9"/>
                <w:szCs w:val="9"/>
                <w:b w:val="1"/>
                <w:bCs w:val="1"/>
                <w:color w:val="auto"/>
                <w:w w:val="84"/>
              </w:rPr>
              <w:t>stock</w:t>
            </w:r>
          </w:p>
        </w:tc>
        <w:tc>
          <w:tcPr>
            <w:tcW w:w="80" w:type="dxa"/>
            <w:vAlign w:val="bottom"/>
          </w:tcPr>
          <w:p>
            <w:pPr>
              <w:spacing w:after="0"/>
              <w:rPr>
                <w:sz w:val="9"/>
                <w:szCs w:val="9"/>
                <w:color w:val="auto"/>
              </w:rPr>
            </w:pPr>
          </w:p>
        </w:tc>
        <w:tc>
          <w:tcPr>
            <w:tcW w:w="20" w:type="dxa"/>
            <w:vAlign w:val="bottom"/>
          </w:tcPr>
          <w:p>
            <w:pPr>
              <w:spacing w:after="0"/>
              <w:rPr>
                <w:sz w:val="9"/>
                <w:szCs w:val="9"/>
                <w:color w:val="auto"/>
              </w:rPr>
            </w:pPr>
          </w:p>
        </w:tc>
        <w:tc>
          <w:tcPr>
            <w:tcW w:w="640" w:type="dxa"/>
            <w:vAlign w:val="bottom"/>
            <w:gridSpan w:val="4"/>
          </w:tcPr>
          <w:p>
            <w:pPr>
              <w:ind w:left="300"/>
              <w:spacing w:after="0"/>
              <w:rPr>
                <w:sz w:val="20"/>
                <w:szCs w:val="20"/>
                <w:color w:val="auto"/>
              </w:rPr>
            </w:pPr>
            <w:r>
              <w:rPr>
                <w:rFonts w:ascii="Arial" w:cs="Arial" w:eastAsia="Arial" w:hAnsi="Arial"/>
                <w:sz w:val="9"/>
                <w:szCs w:val="9"/>
                <w:b w:val="1"/>
                <w:bCs w:val="1"/>
                <w:color w:val="auto"/>
              </w:rPr>
              <w:t>stock</w:t>
            </w:r>
          </w:p>
        </w:tc>
        <w:tc>
          <w:tcPr>
            <w:tcW w:w="140" w:type="dxa"/>
            <w:vAlign w:val="bottom"/>
          </w:tcPr>
          <w:p>
            <w:pPr>
              <w:spacing w:after="0"/>
              <w:rPr>
                <w:sz w:val="9"/>
                <w:szCs w:val="9"/>
                <w:color w:val="auto"/>
              </w:rPr>
            </w:pPr>
          </w:p>
        </w:tc>
        <w:tc>
          <w:tcPr>
            <w:tcW w:w="20" w:type="dxa"/>
            <w:vAlign w:val="bottom"/>
          </w:tcPr>
          <w:p>
            <w:pPr>
              <w:spacing w:after="0"/>
              <w:rPr>
                <w:sz w:val="9"/>
                <w:szCs w:val="9"/>
                <w:color w:val="auto"/>
              </w:rPr>
            </w:pPr>
          </w:p>
        </w:tc>
        <w:tc>
          <w:tcPr>
            <w:tcW w:w="40" w:type="dxa"/>
            <w:vAlign w:val="bottom"/>
          </w:tcPr>
          <w:p>
            <w:pPr>
              <w:spacing w:after="0"/>
              <w:rPr>
                <w:sz w:val="9"/>
                <w:szCs w:val="9"/>
                <w:color w:val="auto"/>
              </w:rPr>
            </w:pPr>
          </w:p>
        </w:tc>
        <w:tc>
          <w:tcPr>
            <w:tcW w:w="440" w:type="dxa"/>
            <w:vAlign w:val="bottom"/>
            <w:gridSpan w:val="2"/>
            <w:vMerge w:val="restart"/>
          </w:tcPr>
          <w:p>
            <w:pPr>
              <w:spacing w:after="0"/>
              <w:rPr>
                <w:sz w:val="20"/>
                <w:szCs w:val="20"/>
                <w:color w:val="auto"/>
              </w:rPr>
            </w:pPr>
            <w:r>
              <w:rPr>
                <w:rFonts w:ascii="Arial" w:cs="Arial" w:eastAsia="Arial" w:hAnsi="Arial"/>
                <w:sz w:val="9"/>
                <w:szCs w:val="9"/>
                <w:b w:val="1"/>
                <w:bCs w:val="1"/>
                <w:color w:val="auto"/>
                <w:w w:val="90"/>
              </w:rPr>
              <w:t>Additional</w:t>
            </w:r>
          </w:p>
        </w:tc>
        <w:tc>
          <w:tcPr>
            <w:tcW w:w="20" w:type="dxa"/>
            <w:vAlign w:val="bottom"/>
          </w:tcPr>
          <w:p>
            <w:pPr>
              <w:spacing w:after="0"/>
              <w:rPr>
                <w:sz w:val="9"/>
                <w:szCs w:val="9"/>
                <w:color w:val="auto"/>
              </w:rPr>
            </w:pPr>
          </w:p>
        </w:tc>
        <w:tc>
          <w:tcPr>
            <w:tcW w:w="20" w:type="dxa"/>
            <w:vAlign w:val="bottom"/>
          </w:tcPr>
          <w:p>
            <w:pPr>
              <w:spacing w:after="0"/>
              <w:rPr>
                <w:sz w:val="9"/>
                <w:szCs w:val="9"/>
                <w:color w:val="auto"/>
              </w:rPr>
            </w:pPr>
          </w:p>
        </w:tc>
        <w:tc>
          <w:tcPr>
            <w:tcW w:w="80" w:type="dxa"/>
            <w:vAlign w:val="bottom"/>
          </w:tcPr>
          <w:p>
            <w:pPr>
              <w:spacing w:after="0"/>
              <w:rPr>
                <w:sz w:val="9"/>
                <w:szCs w:val="9"/>
                <w:color w:val="auto"/>
              </w:rPr>
            </w:pPr>
          </w:p>
        </w:tc>
        <w:tc>
          <w:tcPr>
            <w:tcW w:w="46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540" w:type="dxa"/>
            <w:vAlign w:val="bottom"/>
            <w:gridSpan w:val="3"/>
            <w:vMerge w:val="restart"/>
          </w:tcPr>
          <w:p>
            <w:pPr>
              <w:jc w:val="right"/>
              <w:ind w:right="180"/>
              <w:spacing w:after="0"/>
              <w:rPr>
                <w:sz w:val="20"/>
                <w:szCs w:val="20"/>
                <w:color w:val="auto"/>
              </w:rPr>
            </w:pPr>
            <w:r>
              <w:rPr>
                <w:rFonts w:ascii="Arial" w:cs="Arial" w:eastAsia="Arial" w:hAnsi="Arial"/>
                <w:sz w:val="9"/>
                <w:szCs w:val="9"/>
                <w:b w:val="1"/>
                <w:bCs w:val="1"/>
                <w:color w:val="auto"/>
              </w:rPr>
              <w:t>Total</w:t>
            </w:r>
          </w:p>
        </w:tc>
        <w:tc>
          <w:tcPr>
            <w:tcW w:w="0" w:type="dxa"/>
            <w:vAlign w:val="bottom"/>
          </w:tcPr>
          <w:p>
            <w:pPr>
              <w:spacing w:after="0"/>
              <w:rPr>
                <w:sz w:val="1"/>
                <w:szCs w:val="1"/>
                <w:color w:val="auto"/>
              </w:rPr>
            </w:pPr>
          </w:p>
        </w:tc>
      </w:tr>
      <w:tr>
        <w:trPr>
          <w:trHeight w:val="65"/>
        </w:trPr>
        <w:tc>
          <w:tcPr>
            <w:tcW w:w="2140" w:type="dxa"/>
            <w:vAlign w:val="bottom"/>
          </w:tcPr>
          <w:p>
            <w:pPr>
              <w:spacing w:after="0"/>
              <w:rPr>
                <w:sz w:val="5"/>
                <w:szCs w:val="5"/>
                <w:color w:val="auto"/>
              </w:rPr>
            </w:pPr>
          </w:p>
        </w:tc>
        <w:tc>
          <w:tcPr>
            <w:tcW w:w="40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42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26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280" w:type="dxa"/>
            <w:vAlign w:val="bottom"/>
            <w:tcBorders>
              <w:top w:val="single" w:sz="8" w:color="auto"/>
            </w:tcBorders>
          </w:tcPr>
          <w:p>
            <w:pPr>
              <w:spacing w:after="0"/>
              <w:rPr>
                <w:sz w:val="5"/>
                <w:szCs w:val="5"/>
                <w:color w:val="auto"/>
              </w:rPr>
            </w:pPr>
          </w:p>
        </w:tc>
        <w:tc>
          <w:tcPr>
            <w:tcW w:w="80" w:type="dxa"/>
            <w:vAlign w:val="bottom"/>
            <w:tcBorders>
              <w:top w:val="single" w:sz="8" w:color="auto"/>
            </w:tcBorders>
          </w:tcPr>
          <w:p>
            <w:pPr>
              <w:spacing w:after="0"/>
              <w:rPr>
                <w:sz w:val="5"/>
                <w:szCs w:val="5"/>
                <w:color w:val="auto"/>
              </w:rPr>
            </w:pPr>
          </w:p>
        </w:tc>
        <w:tc>
          <w:tcPr>
            <w:tcW w:w="360" w:type="dxa"/>
            <w:vAlign w:val="bottom"/>
            <w:tcBorders>
              <w:top w:val="single" w:sz="8" w:color="auto"/>
            </w:tcBorders>
          </w:tcPr>
          <w:p>
            <w:pPr>
              <w:spacing w:after="0"/>
              <w:rPr>
                <w:sz w:val="5"/>
                <w:szCs w:val="5"/>
                <w:color w:val="auto"/>
              </w:rPr>
            </w:pPr>
          </w:p>
        </w:tc>
        <w:tc>
          <w:tcPr>
            <w:tcW w:w="80" w:type="dxa"/>
            <w:vAlign w:val="bottom"/>
            <w:tcBorders>
              <w:top w:val="single" w:sz="8" w:color="auto"/>
            </w:tcBorders>
          </w:tcPr>
          <w:p>
            <w:pPr>
              <w:spacing w:after="0"/>
              <w:rPr>
                <w:sz w:val="5"/>
                <w:szCs w:val="5"/>
                <w:color w:val="auto"/>
              </w:rPr>
            </w:pPr>
          </w:p>
        </w:tc>
        <w:tc>
          <w:tcPr>
            <w:tcW w:w="40" w:type="dxa"/>
            <w:vAlign w:val="bottom"/>
            <w:tcBorders>
              <w:top w:val="single" w:sz="8" w:color="auto"/>
            </w:tcBorders>
          </w:tcPr>
          <w:p>
            <w:pPr>
              <w:spacing w:after="0"/>
              <w:rPr>
                <w:sz w:val="5"/>
                <w:szCs w:val="5"/>
                <w:color w:val="auto"/>
              </w:rPr>
            </w:pPr>
          </w:p>
        </w:tc>
        <w:tc>
          <w:tcPr>
            <w:tcW w:w="34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4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220" w:type="dxa"/>
            <w:vAlign w:val="bottom"/>
            <w:tcBorders>
              <w:top w:val="single" w:sz="8" w:color="auto"/>
            </w:tcBorders>
          </w:tcPr>
          <w:p>
            <w:pPr>
              <w:spacing w:after="0"/>
              <w:rPr>
                <w:sz w:val="5"/>
                <w:szCs w:val="5"/>
                <w:color w:val="auto"/>
              </w:rPr>
            </w:pPr>
          </w:p>
        </w:tc>
        <w:tc>
          <w:tcPr>
            <w:tcW w:w="40" w:type="dxa"/>
            <w:vAlign w:val="bottom"/>
            <w:tcBorders>
              <w:top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240" w:type="dxa"/>
            <w:vAlign w:val="bottom"/>
            <w:tcBorders>
              <w:top w:val="single" w:sz="8" w:color="auto"/>
            </w:tcBorders>
          </w:tcPr>
          <w:p>
            <w:pPr>
              <w:spacing w:after="0"/>
              <w:rPr>
                <w:sz w:val="5"/>
                <w:szCs w:val="5"/>
                <w:color w:val="auto"/>
              </w:rPr>
            </w:pPr>
          </w:p>
        </w:tc>
        <w:tc>
          <w:tcPr>
            <w:tcW w:w="80" w:type="dxa"/>
            <w:vAlign w:val="bottom"/>
            <w:tcBorders>
              <w:top w:val="single" w:sz="8" w:color="auto"/>
            </w:tcBorders>
          </w:tcPr>
          <w:p>
            <w:pPr>
              <w:spacing w:after="0"/>
              <w:rPr>
                <w:sz w:val="5"/>
                <w:szCs w:val="5"/>
                <w:color w:val="auto"/>
              </w:rPr>
            </w:pPr>
          </w:p>
        </w:tc>
        <w:tc>
          <w:tcPr>
            <w:tcW w:w="20" w:type="dxa"/>
            <w:vAlign w:val="bottom"/>
          </w:tcPr>
          <w:p>
            <w:pPr>
              <w:spacing w:after="0"/>
              <w:rPr>
                <w:sz w:val="5"/>
                <w:szCs w:val="5"/>
                <w:color w:val="auto"/>
              </w:rPr>
            </w:pPr>
          </w:p>
        </w:tc>
        <w:tc>
          <w:tcPr>
            <w:tcW w:w="440" w:type="dxa"/>
            <w:vAlign w:val="bottom"/>
            <w:tcBorders>
              <w:top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160" w:type="dxa"/>
            <w:vAlign w:val="bottom"/>
            <w:tcBorders>
              <w:top w:val="single" w:sz="8" w:color="auto"/>
            </w:tcBorders>
          </w:tcPr>
          <w:p>
            <w:pPr>
              <w:spacing w:after="0"/>
              <w:rPr>
                <w:sz w:val="5"/>
                <w:szCs w:val="5"/>
                <w:color w:val="auto"/>
              </w:rPr>
            </w:pPr>
          </w:p>
        </w:tc>
        <w:tc>
          <w:tcPr>
            <w:tcW w:w="140" w:type="dxa"/>
            <w:vAlign w:val="bottom"/>
            <w:tcBorders>
              <w:top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40" w:type="dxa"/>
            <w:vAlign w:val="bottom"/>
          </w:tcPr>
          <w:p>
            <w:pPr>
              <w:spacing w:after="0"/>
              <w:rPr>
                <w:sz w:val="5"/>
                <w:szCs w:val="5"/>
                <w:color w:val="auto"/>
              </w:rPr>
            </w:pPr>
          </w:p>
        </w:tc>
        <w:tc>
          <w:tcPr>
            <w:tcW w:w="440" w:type="dxa"/>
            <w:vAlign w:val="bottom"/>
            <w:gridSpan w:val="2"/>
            <w:vMerge w:val="continue"/>
          </w:tcPr>
          <w:p>
            <w:pPr>
              <w:spacing w:after="0"/>
              <w:rPr>
                <w:sz w:val="5"/>
                <w:szCs w:val="5"/>
                <w:color w:val="auto"/>
              </w:rPr>
            </w:pPr>
          </w:p>
        </w:tc>
        <w:tc>
          <w:tcPr>
            <w:tcW w:w="20" w:type="dxa"/>
            <w:vAlign w:val="bottom"/>
          </w:tcPr>
          <w:p>
            <w:pPr>
              <w:spacing w:after="0"/>
              <w:rPr>
                <w:sz w:val="5"/>
                <w:szCs w:val="5"/>
                <w:color w:val="auto"/>
              </w:rPr>
            </w:pPr>
          </w:p>
        </w:tc>
        <w:tc>
          <w:tcPr>
            <w:tcW w:w="20" w:type="dxa"/>
            <w:vAlign w:val="bottom"/>
          </w:tcPr>
          <w:p>
            <w:pPr>
              <w:spacing w:after="0"/>
              <w:rPr>
                <w:sz w:val="5"/>
                <w:szCs w:val="5"/>
                <w:color w:val="auto"/>
              </w:rPr>
            </w:pPr>
          </w:p>
        </w:tc>
        <w:tc>
          <w:tcPr>
            <w:tcW w:w="80" w:type="dxa"/>
            <w:vAlign w:val="bottom"/>
          </w:tcPr>
          <w:p>
            <w:pPr>
              <w:spacing w:after="0"/>
              <w:rPr>
                <w:sz w:val="5"/>
                <w:szCs w:val="5"/>
                <w:color w:val="auto"/>
              </w:rPr>
            </w:pPr>
          </w:p>
        </w:tc>
        <w:tc>
          <w:tcPr>
            <w:tcW w:w="460" w:type="dxa"/>
            <w:vAlign w:val="bottom"/>
          </w:tcPr>
          <w:p>
            <w:pPr>
              <w:spacing w:after="0"/>
              <w:rPr>
                <w:sz w:val="5"/>
                <w:szCs w:val="5"/>
                <w:color w:val="auto"/>
              </w:rPr>
            </w:pPr>
          </w:p>
        </w:tc>
        <w:tc>
          <w:tcPr>
            <w:tcW w:w="80" w:type="dxa"/>
            <w:vAlign w:val="bottom"/>
          </w:tcPr>
          <w:p>
            <w:pPr>
              <w:spacing w:after="0"/>
              <w:rPr>
                <w:sz w:val="5"/>
                <w:szCs w:val="5"/>
                <w:color w:val="auto"/>
              </w:rPr>
            </w:pPr>
          </w:p>
        </w:tc>
        <w:tc>
          <w:tcPr>
            <w:tcW w:w="60" w:type="dxa"/>
            <w:vAlign w:val="bottom"/>
          </w:tcPr>
          <w:p>
            <w:pPr>
              <w:spacing w:after="0"/>
              <w:rPr>
                <w:sz w:val="5"/>
                <w:szCs w:val="5"/>
                <w:color w:val="auto"/>
              </w:rPr>
            </w:pPr>
          </w:p>
        </w:tc>
        <w:tc>
          <w:tcPr>
            <w:tcW w:w="540" w:type="dxa"/>
            <w:vAlign w:val="bottom"/>
            <w:gridSpan w:val="3"/>
            <w:vMerge w:val="continue"/>
          </w:tcPr>
          <w:p>
            <w:pPr>
              <w:spacing w:after="0"/>
              <w:rPr>
                <w:sz w:val="5"/>
                <w:szCs w:val="5"/>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1640" w:type="dxa"/>
            <w:vAlign w:val="bottom"/>
            <w:gridSpan w:val="10"/>
          </w:tcPr>
          <w:p>
            <w:pPr>
              <w:jc w:val="right"/>
              <w:ind w:right="20"/>
              <w:spacing w:after="0" w:line="98" w:lineRule="exact"/>
              <w:rPr>
                <w:sz w:val="20"/>
                <w:szCs w:val="20"/>
                <w:color w:val="auto"/>
              </w:rPr>
            </w:pPr>
            <w:r>
              <w:rPr>
                <w:rFonts w:ascii="Arial" w:cs="Arial" w:eastAsia="Arial" w:hAnsi="Arial"/>
                <w:sz w:val="9"/>
                <w:szCs w:val="9"/>
                <w:b w:val="1"/>
                <w:bCs w:val="1"/>
                <w:color w:val="auto"/>
                <w:w w:val="95"/>
              </w:rPr>
              <w:t>Paid-in-  Accumulative   Stockholders'</w:t>
            </w:r>
          </w:p>
        </w:tc>
        <w:tc>
          <w:tcPr>
            <w:tcW w:w="0" w:type="dxa"/>
            <w:vAlign w:val="bottom"/>
          </w:tcPr>
          <w:p>
            <w:pPr>
              <w:spacing w:after="0"/>
              <w:rPr>
                <w:sz w:val="1"/>
                <w:szCs w:val="1"/>
                <w:color w:val="auto"/>
              </w:rPr>
            </w:pPr>
          </w:p>
        </w:tc>
      </w:tr>
      <w:tr>
        <w:trPr>
          <w:trHeight w:val="111"/>
        </w:trPr>
        <w:tc>
          <w:tcPr>
            <w:tcW w:w="2140" w:type="dxa"/>
            <w:vAlign w:val="bottom"/>
          </w:tcPr>
          <w:p>
            <w:pPr>
              <w:spacing w:after="0"/>
              <w:rPr>
                <w:sz w:val="9"/>
                <w:szCs w:val="9"/>
                <w:color w:val="auto"/>
              </w:rPr>
            </w:pPr>
          </w:p>
        </w:tc>
        <w:tc>
          <w:tcPr>
            <w:tcW w:w="400" w:type="dxa"/>
            <w:vAlign w:val="bottom"/>
          </w:tcPr>
          <w:p>
            <w:pPr>
              <w:jc w:val="right"/>
              <w:ind w:right="14"/>
              <w:spacing w:after="0"/>
              <w:rPr>
                <w:sz w:val="20"/>
                <w:szCs w:val="20"/>
                <w:color w:val="auto"/>
              </w:rPr>
            </w:pPr>
            <w:r>
              <w:rPr>
                <w:rFonts w:ascii="Arial" w:cs="Arial" w:eastAsia="Arial" w:hAnsi="Arial"/>
                <w:sz w:val="9"/>
                <w:szCs w:val="9"/>
                <w:b w:val="1"/>
                <w:bCs w:val="1"/>
                <w:color w:val="auto"/>
              </w:rPr>
              <w:t>Shares</w:t>
            </w:r>
          </w:p>
        </w:tc>
        <w:tc>
          <w:tcPr>
            <w:tcW w:w="60" w:type="dxa"/>
            <w:vAlign w:val="bottom"/>
          </w:tcPr>
          <w:p>
            <w:pPr>
              <w:spacing w:after="0"/>
              <w:rPr>
                <w:sz w:val="9"/>
                <w:szCs w:val="9"/>
                <w:color w:val="auto"/>
              </w:rPr>
            </w:pPr>
          </w:p>
        </w:tc>
        <w:tc>
          <w:tcPr>
            <w:tcW w:w="480" w:type="dxa"/>
            <w:vAlign w:val="bottom"/>
            <w:gridSpan w:val="2"/>
          </w:tcPr>
          <w:p>
            <w:pPr>
              <w:jc w:val="center"/>
              <w:ind w:right="40"/>
              <w:spacing w:after="0"/>
              <w:rPr>
                <w:sz w:val="20"/>
                <w:szCs w:val="20"/>
                <w:color w:val="auto"/>
              </w:rPr>
            </w:pPr>
            <w:r>
              <w:rPr>
                <w:rFonts w:ascii="Arial" w:cs="Arial" w:eastAsia="Arial" w:hAnsi="Arial"/>
                <w:sz w:val="9"/>
                <w:szCs w:val="9"/>
                <w:b w:val="1"/>
                <w:bCs w:val="1"/>
                <w:color w:val="auto"/>
                <w:w w:val="93"/>
              </w:rPr>
              <w:t>Amount</w:t>
            </w:r>
          </w:p>
        </w:tc>
        <w:tc>
          <w:tcPr>
            <w:tcW w:w="440" w:type="dxa"/>
            <w:vAlign w:val="bottom"/>
            <w:gridSpan w:val="2"/>
          </w:tcPr>
          <w:p>
            <w:pPr>
              <w:jc w:val="center"/>
              <w:ind w:right="20"/>
              <w:spacing w:after="0"/>
              <w:rPr>
                <w:sz w:val="20"/>
                <w:szCs w:val="20"/>
                <w:color w:val="auto"/>
              </w:rPr>
            </w:pPr>
            <w:r>
              <w:rPr>
                <w:rFonts w:ascii="Arial" w:cs="Arial" w:eastAsia="Arial" w:hAnsi="Arial"/>
                <w:sz w:val="9"/>
                <w:szCs w:val="9"/>
                <w:b w:val="1"/>
                <w:bCs w:val="1"/>
                <w:color w:val="auto"/>
                <w:w w:val="86"/>
              </w:rPr>
              <w:t>Shares</w:t>
            </w:r>
          </w:p>
        </w:tc>
        <w:tc>
          <w:tcPr>
            <w:tcW w:w="440" w:type="dxa"/>
            <w:vAlign w:val="bottom"/>
            <w:gridSpan w:val="2"/>
          </w:tcPr>
          <w:p>
            <w:pPr>
              <w:jc w:val="center"/>
              <w:ind w:right="40"/>
              <w:spacing w:after="0"/>
              <w:rPr>
                <w:sz w:val="20"/>
                <w:szCs w:val="20"/>
                <w:color w:val="auto"/>
              </w:rPr>
            </w:pPr>
            <w:r>
              <w:rPr>
                <w:rFonts w:ascii="Arial" w:cs="Arial" w:eastAsia="Arial" w:hAnsi="Arial"/>
                <w:sz w:val="9"/>
                <w:szCs w:val="9"/>
                <w:b w:val="1"/>
                <w:bCs w:val="1"/>
                <w:color w:val="auto"/>
                <w:w w:val="93"/>
              </w:rPr>
              <w:t>Amount</w:t>
            </w:r>
          </w:p>
        </w:tc>
        <w:tc>
          <w:tcPr>
            <w:tcW w:w="680" w:type="dxa"/>
            <w:vAlign w:val="bottom"/>
            <w:gridSpan w:val="4"/>
          </w:tcPr>
          <w:p>
            <w:pPr>
              <w:ind w:left="20"/>
              <w:spacing w:after="0"/>
              <w:rPr>
                <w:sz w:val="20"/>
                <w:szCs w:val="20"/>
                <w:color w:val="auto"/>
              </w:rPr>
            </w:pPr>
            <w:r>
              <w:rPr>
                <w:rFonts w:ascii="Arial" w:cs="Arial" w:eastAsia="Arial" w:hAnsi="Arial"/>
                <w:sz w:val="9"/>
                <w:szCs w:val="9"/>
                <w:b w:val="1"/>
                <w:bCs w:val="1"/>
                <w:color w:val="auto"/>
                <w:w w:val="93"/>
              </w:rPr>
              <w:t>Shares Amount</w:t>
            </w:r>
          </w:p>
        </w:tc>
        <w:tc>
          <w:tcPr>
            <w:tcW w:w="360" w:type="dxa"/>
            <w:vAlign w:val="bottom"/>
          </w:tcPr>
          <w:p>
            <w:pPr>
              <w:jc w:val="right"/>
              <w:spacing w:after="0"/>
              <w:rPr>
                <w:sz w:val="20"/>
                <w:szCs w:val="20"/>
                <w:color w:val="auto"/>
              </w:rPr>
            </w:pPr>
            <w:r>
              <w:rPr>
                <w:rFonts w:ascii="Arial" w:cs="Arial" w:eastAsia="Arial" w:hAnsi="Arial"/>
                <w:sz w:val="9"/>
                <w:szCs w:val="9"/>
                <w:b w:val="1"/>
                <w:bCs w:val="1"/>
                <w:color w:val="auto"/>
              </w:rPr>
              <w:t>Shares</w:t>
            </w:r>
          </w:p>
        </w:tc>
        <w:tc>
          <w:tcPr>
            <w:tcW w:w="80" w:type="dxa"/>
            <w:vAlign w:val="bottom"/>
          </w:tcPr>
          <w:p>
            <w:pPr>
              <w:spacing w:after="0"/>
              <w:rPr>
                <w:sz w:val="9"/>
                <w:szCs w:val="9"/>
                <w:color w:val="auto"/>
              </w:rPr>
            </w:pPr>
          </w:p>
        </w:tc>
        <w:tc>
          <w:tcPr>
            <w:tcW w:w="40" w:type="dxa"/>
            <w:vAlign w:val="bottom"/>
          </w:tcPr>
          <w:p>
            <w:pPr>
              <w:spacing w:after="0"/>
              <w:rPr>
                <w:sz w:val="9"/>
                <w:szCs w:val="9"/>
                <w:color w:val="auto"/>
              </w:rPr>
            </w:pPr>
          </w:p>
        </w:tc>
        <w:tc>
          <w:tcPr>
            <w:tcW w:w="400" w:type="dxa"/>
            <w:vAlign w:val="bottom"/>
            <w:gridSpan w:val="2"/>
          </w:tcPr>
          <w:p>
            <w:pPr>
              <w:jc w:val="right"/>
              <w:ind w:right="80"/>
              <w:spacing w:after="0"/>
              <w:rPr>
                <w:sz w:val="20"/>
                <w:szCs w:val="20"/>
                <w:color w:val="auto"/>
              </w:rPr>
            </w:pPr>
            <w:r>
              <w:rPr>
                <w:rFonts w:ascii="Arial" w:cs="Arial" w:eastAsia="Arial" w:hAnsi="Arial"/>
                <w:sz w:val="9"/>
                <w:szCs w:val="9"/>
                <w:b w:val="1"/>
                <w:bCs w:val="1"/>
                <w:color w:val="auto"/>
                <w:w w:val="88"/>
              </w:rPr>
              <w:t>Amount</w:t>
            </w:r>
          </w:p>
        </w:tc>
        <w:tc>
          <w:tcPr>
            <w:tcW w:w="440" w:type="dxa"/>
            <w:vAlign w:val="bottom"/>
            <w:gridSpan w:val="2"/>
          </w:tcPr>
          <w:p>
            <w:pPr>
              <w:jc w:val="center"/>
              <w:ind w:right="20"/>
              <w:spacing w:after="0"/>
              <w:rPr>
                <w:sz w:val="20"/>
                <w:szCs w:val="20"/>
                <w:color w:val="auto"/>
              </w:rPr>
            </w:pPr>
            <w:r>
              <w:rPr>
                <w:rFonts w:ascii="Arial" w:cs="Arial" w:eastAsia="Arial" w:hAnsi="Arial"/>
                <w:sz w:val="9"/>
                <w:szCs w:val="9"/>
                <w:b w:val="1"/>
                <w:bCs w:val="1"/>
                <w:color w:val="auto"/>
                <w:w w:val="86"/>
              </w:rPr>
              <w:t>Shares</w:t>
            </w:r>
          </w:p>
        </w:tc>
        <w:tc>
          <w:tcPr>
            <w:tcW w:w="40" w:type="dxa"/>
            <w:vAlign w:val="bottom"/>
          </w:tcPr>
          <w:p>
            <w:pPr>
              <w:spacing w:after="0"/>
              <w:rPr>
                <w:sz w:val="9"/>
                <w:szCs w:val="9"/>
                <w:color w:val="auto"/>
              </w:rPr>
            </w:pPr>
          </w:p>
        </w:tc>
        <w:tc>
          <w:tcPr>
            <w:tcW w:w="440" w:type="dxa"/>
            <w:vAlign w:val="bottom"/>
            <w:gridSpan w:val="2"/>
          </w:tcPr>
          <w:p>
            <w:pPr>
              <w:jc w:val="right"/>
              <w:ind w:right="100"/>
              <w:spacing w:after="0"/>
              <w:rPr>
                <w:sz w:val="20"/>
                <w:szCs w:val="20"/>
                <w:color w:val="auto"/>
              </w:rPr>
            </w:pPr>
            <w:r>
              <w:rPr>
                <w:rFonts w:ascii="Arial" w:cs="Arial" w:eastAsia="Arial" w:hAnsi="Arial"/>
                <w:sz w:val="9"/>
                <w:szCs w:val="9"/>
                <w:b w:val="1"/>
                <w:bCs w:val="1"/>
                <w:color w:val="auto"/>
                <w:w w:val="93"/>
              </w:rPr>
              <w:t>Amount</w:t>
            </w:r>
          </w:p>
        </w:tc>
        <w:tc>
          <w:tcPr>
            <w:tcW w:w="440" w:type="dxa"/>
            <w:vAlign w:val="bottom"/>
            <w:gridSpan w:val="2"/>
          </w:tcPr>
          <w:p>
            <w:pPr>
              <w:jc w:val="center"/>
              <w:ind w:right="20"/>
              <w:spacing w:after="0"/>
              <w:rPr>
                <w:sz w:val="20"/>
                <w:szCs w:val="20"/>
                <w:color w:val="auto"/>
              </w:rPr>
            </w:pPr>
            <w:r>
              <w:rPr>
                <w:rFonts w:ascii="Arial" w:cs="Arial" w:eastAsia="Arial" w:hAnsi="Arial"/>
                <w:sz w:val="9"/>
                <w:szCs w:val="9"/>
                <w:b w:val="1"/>
                <w:bCs w:val="1"/>
                <w:color w:val="auto"/>
                <w:w w:val="86"/>
              </w:rPr>
              <w:t>Shares</w:t>
            </w:r>
          </w:p>
        </w:tc>
        <w:tc>
          <w:tcPr>
            <w:tcW w:w="440" w:type="dxa"/>
            <w:vAlign w:val="bottom"/>
            <w:gridSpan w:val="2"/>
          </w:tcPr>
          <w:p>
            <w:pPr>
              <w:jc w:val="center"/>
              <w:ind w:right="40"/>
              <w:spacing w:after="0"/>
              <w:rPr>
                <w:sz w:val="20"/>
                <w:szCs w:val="20"/>
                <w:color w:val="auto"/>
              </w:rPr>
            </w:pPr>
            <w:r>
              <w:rPr>
                <w:rFonts w:ascii="Arial" w:cs="Arial" w:eastAsia="Arial" w:hAnsi="Arial"/>
                <w:sz w:val="9"/>
                <w:szCs w:val="9"/>
                <w:b w:val="1"/>
                <w:bCs w:val="1"/>
                <w:color w:val="auto"/>
                <w:w w:val="93"/>
              </w:rPr>
              <w:t>Amount</w:t>
            </w:r>
          </w:p>
        </w:tc>
        <w:tc>
          <w:tcPr>
            <w:tcW w:w="440" w:type="dxa"/>
            <w:vAlign w:val="bottom"/>
            <w:gridSpan w:val="2"/>
          </w:tcPr>
          <w:p>
            <w:pPr>
              <w:jc w:val="center"/>
              <w:ind w:right="20"/>
              <w:spacing w:after="0"/>
              <w:rPr>
                <w:sz w:val="20"/>
                <w:szCs w:val="20"/>
                <w:color w:val="auto"/>
              </w:rPr>
            </w:pPr>
            <w:r>
              <w:rPr>
                <w:rFonts w:ascii="Arial" w:cs="Arial" w:eastAsia="Arial" w:hAnsi="Arial"/>
                <w:sz w:val="9"/>
                <w:szCs w:val="9"/>
                <w:b w:val="1"/>
                <w:bCs w:val="1"/>
                <w:color w:val="auto"/>
                <w:w w:val="86"/>
              </w:rPr>
              <w:t>Shares</w:t>
            </w:r>
          </w:p>
        </w:tc>
        <w:tc>
          <w:tcPr>
            <w:tcW w:w="440" w:type="dxa"/>
            <w:vAlign w:val="bottom"/>
            <w:gridSpan w:val="2"/>
          </w:tcPr>
          <w:p>
            <w:pPr>
              <w:jc w:val="center"/>
              <w:ind w:right="40"/>
              <w:spacing w:after="0"/>
              <w:rPr>
                <w:sz w:val="20"/>
                <w:szCs w:val="20"/>
                <w:color w:val="auto"/>
              </w:rPr>
            </w:pPr>
            <w:r>
              <w:rPr>
                <w:rFonts w:ascii="Arial" w:cs="Arial" w:eastAsia="Arial" w:hAnsi="Arial"/>
                <w:sz w:val="9"/>
                <w:szCs w:val="9"/>
                <w:b w:val="1"/>
                <w:bCs w:val="1"/>
                <w:color w:val="auto"/>
                <w:w w:val="93"/>
              </w:rPr>
              <w:t>Amount</w:t>
            </w:r>
          </w:p>
        </w:tc>
        <w:tc>
          <w:tcPr>
            <w:tcW w:w="620" w:type="dxa"/>
            <w:vAlign w:val="bottom"/>
            <w:gridSpan w:val="6"/>
          </w:tcPr>
          <w:p>
            <w:pPr>
              <w:jc w:val="center"/>
              <w:ind w:right="20"/>
              <w:spacing w:after="0"/>
              <w:rPr>
                <w:sz w:val="20"/>
                <w:szCs w:val="20"/>
                <w:color w:val="auto"/>
              </w:rPr>
            </w:pPr>
            <w:r>
              <w:rPr>
                <w:rFonts w:ascii="Arial" w:cs="Arial" w:eastAsia="Arial" w:hAnsi="Arial"/>
                <w:sz w:val="9"/>
                <w:szCs w:val="9"/>
                <w:b w:val="1"/>
                <w:bCs w:val="1"/>
                <w:color w:val="auto"/>
                <w:w w:val="90"/>
              </w:rPr>
              <w:t>Shares Amount</w:t>
            </w:r>
          </w:p>
        </w:tc>
        <w:tc>
          <w:tcPr>
            <w:tcW w:w="460" w:type="dxa"/>
            <w:vAlign w:val="bottom"/>
            <w:gridSpan w:val="2"/>
          </w:tcPr>
          <w:p>
            <w:pPr>
              <w:jc w:val="right"/>
              <w:ind w:right="100"/>
              <w:spacing w:after="0"/>
              <w:rPr>
                <w:sz w:val="20"/>
                <w:szCs w:val="20"/>
                <w:color w:val="auto"/>
              </w:rPr>
            </w:pPr>
            <w:r>
              <w:rPr>
                <w:rFonts w:ascii="Arial" w:cs="Arial" w:eastAsia="Arial" w:hAnsi="Arial"/>
                <w:sz w:val="9"/>
                <w:szCs w:val="9"/>
                <w:b w:val="1"/>
                <w:bCs w:val="1"/>
                <w:color w:val="auto"/>
              </w:rPr>
              <w:t>Shares</w:t>
            </w:r>
          </w:p>
        </w:tc>
        <w:tc>
          <w:tcPr>
            <w:tcW w:w="20" w:type="dxa"/>
            <w:vAlign w:val="bottom"/>
          </w:tcPr>
          <w:p>
            <w:pPr>
              <w:spacing w:after="0"/>
              <w:rPr>
                <w:sz w:val="9"/>
                <w:szCs w:val="9"/>
                <w:color w:val="auto"/>
              </w:rPr>
            </w:pPr>
          </w:p>
        </w:tc>
        <w:tc>
          <w:tcPr>
            <w:tcW w:w="360" w:type="dxa"/>
            <w:vAlign w:val="bottom"/>
            <w:gridSpan w:val="4"/>
          </w:tcPr>
          <w:p>
            <w:pPr>
              <w:spacing w:after="0"/>
              <w:rPr>
                <w:sz w:val="20"/>
                <w:szCs w:val="20"/>
                <w:color w:val="auto"/>
              </w:rPr>
            </w:pPr>
            <w:r>
              <w:rPr>
                <w:rFonts w:ascii="Arial" w:cs="Arial" w:eastAsia="Arial" w:hAnsi="Arial"/>
                <w:sz w:val="9"/>
                <w:szCs w:val="9"/>
                <w:b w:val="1"/>
                <w:bCs w:val="1"/>
                <w:color w:val="auto"/>
                <w:w w:val="99"/>
              </w:rPr>
              <w:t>Amount</w:t>
            </w:r>
          </w:p>
        </w:tc>
        <w:tc>
          <w:tcPr>
            <w:tcW w:w="60" w:type="dxa"/>
            <w:vAlign w:val="bottom"/>
          </w:tcPr>
          <w:p>
            <w:pPr>
              <w:spacing w:after="0"/>
              <w:rPr>
                <w:sz w:val="9"/>
                <w:szCs w:val="9"/>
                <w:color w:val="auto"/>
              </w:rPr>
            </w:pPr>
          </w:p>
        </w:tc>
        <w:tc>
          <w:tcPr>
            <w:tcW w:w="380" w:type="dxa"/>
            <w:vAlign w:val="bottom"/>
          </w:tcPr>
          <w:p>
            <w:pPr>
              <w:jc w:val="right"/>
              <w:ind w:right="54"/>
              <w:spacing w:after="0"/>
              <w:rPr>
                <w:sz w:val="20"/>
                <w:szCs w:val="20"/>
                <w:color w:val="auto"/>
              </w:rPr>
            </w:pPr>
            <w:r>
              <w:rPr>
                <w:rFonts w:ascii="Arial" w:cs="Arial" w:eastAsia="Arial" w:hAnsi="Arial"/>
                <w:sz w:val="9"/>
                <w:szCs w:val="9"/>
                <w:b w:val="1"/>
                <w:bCs w:val="1"/>
                <w:color w:val="auto"/>
                <w:w w:val="91"/>
              </w:rPr>
              <w:t>capital</w:t>
            </w:r>
          </w:p>
        </w:tc>
        <w:tc>
          <w:tcPr>
            <w:tcW w:w="20" w:type="dxa"/>
            <w:vAlign w:val="bottom"/>
          </w:tcPr>
          <w:p>
            <w:pPr>
              <w:spacing w:after="0"/>
              <w:rPr>
                <w:sz w:val="9"/>
                <w:szCs w:val="9"/>
                <w:color w:val="auto"/>
              </w:rPr>
            </w:pPr>
          </w:p>
        </w:tc>
        <w:tc>
          <w:tcPr>
            <w:tcW w:w="20" w:type="dxa"/>
            <w:vAlign w:val="bottom"/>
          </w:tcPr>
          <w:p>
            <w:pPr>
              <w:spacing w:after="0"/>
              <w:rPr>
                <w:sz w:val="9"/>
                <w:szCs w:val="9"/>
                <w:color w:val="auto"/>
              </w:rPr>
            </w:pPr>
          </w:p>
        </w:tc>
        <w:tc>
          <w:tcPr>
            <w:tcW w:w="80" w:type="dxa"/>
            <w:vAlign w:val="bottom"/>
          </w:tcPr>
          <w:p>
            <w:pPr>
              <w:spacing w:after="0"/>
              <w:rPr>
                <w:sz w:val="9"/>
                <w:szCs w:val="9"/>
                <w:color w:val="auto"/>
              </w:rPr>
            </w:pPr>
          </w:p>
        </w:tc>
        <w:tc>
          <w:tcPr>
            <w:tcW w:w="540" w:type="dxa"/>
            <w:vAlign w:val="bottom"/>
            <w:gridSpan w:val="2"/>
          </w:tcPr>
          <w:p>
            <w:pPr>
              <w:jc w:val="right"/>
              <w:ind w:right="200"/>
              <w:spacing w:after="0"/>
              <w:rPr>
                <w:sz w:val="20"/>
                <w:szCs w:val="20"/>
                <w:color w:val="auto"/>
              </w:rPr>
            </w:pPr>
            <w:r>
              <w:rPr>
                <w:rFonts w:ascii="Arial" w:cs="Arial" w:eastAsia="Arial" w:hAnsi="Arial"/>
                <w:sz w:val="9"/>
                <w:szCs w:val="9"/>
                <w:b w:val="1"/>
                <w:bCs w:val="1"/>
                <w:color w:val="auto"/>
              </w:rPr>
              <w:t>Deficit</w:t>
            </w:r>
          </w:p>
        </w:tc>
        <w:tc>
          <w:tcPr>
            <w:tcW w:w="60" w:type="dxa"/>
            <w:vAlign w:val="bottom"/>
          </w:tcPr>
          <w:p>
            <w:pPr>
              <w:spacing w:after="0"/>
              <w:rPr>
                <w:sz w:val="9"/>
                <w:szCs w:val="9"/>
                <w:color w:val="auto"/>
              </w:rPr>
            </w:pPr>
          </w:p>
        </w:tc>
        <w:tc>
          <w:tcPr>
            <w:tcW w:w="540" w:type="dxa"/>
            <w:vAlign w:val="bottom"/>
            <w:gridSpan w:val="3"/>
          </w:tcPr>
          <w:p>
            <w:pPr>
              <w:jc w:val="right"/>
              <w:ind w:right="160"/>
              <w:spacing w:after="0"/>
              <w:rPr>
                <w:sz w:val="20"/>
                <w:szCs w:val="20"/>
                <w:color w:val="auto"/>
              </w:rPr>
            </w:pPr>
            <w:r>
              <w:rPr>
                <w:rFonts w:ascii="Arial" w:cs="Arial" w:eastAsia="Arial" w:hAnsi="Arial"/>
                <w:sz w:val="9"/>
                <w:szCs w:val="9"/>
                <w:b w:val="1"/>
                <w:bCs w:val="1"/>
                <w:color w:val="auto"/>
              </w:rPr>
              <w:t>Deficit</w:t>
            </w:r>
          </w:p>
        </w:tc>
        <w:tc>
          <w:tcPr>
            <w:tcW w:w="0" w:type="dxa"/>
            <w:vAlign w:val="bottom"/>
          </w:tcPr>
          <w:p>
            <w:pPr>
              <w:spacing w:after="0"/>
              <w:rPr>
                <w:sz w:val="1"/>
                <w:szCs w:val="1"/>
                <w:color w:val="auto"/>
              </w:rPr>
            </w:pPr>
          </w:p>
        </w:tc>
      </w:tr>
      <w:tr>
        <w:trPr>
          <w:trHeight w:val="88"/>
        </w:trPr>
        <w:tc>
          <w:tcPr>
            <w:tcW w:w="2140" w:type="dxa"/>
            <w:vAlign w:val="bottom"/>
            <w:tcBorders>
              <w:top w:val="single" w:sz="8" w:color="CCEEFF"/>
            </w:tcBorders>
            <w:shd w:val="clear" w:color="auto" w:fill="CCEEFF"/>
          </w:tcPr>
          <w:p>
            <w:pPr>
              <w:spacing w:after="0" w:line="88" w:lineRule="exact"/>
              <w:rPr>
                <w:sz w:val="20"/>
                <w:szCs w:val="20"/>
                <w:color w:val="auto"/>
              </w:rPr>
            </w:pPr>
            <w:r>
              <w:rPr>
                <w:rFonts w:ascii="Arial" w:cs="Arial" w:eastAsia="Arial" w:hAnsi="Arial"/>
                <w:sz w:val="9"/>
                <w:szCs w:val="9"/>
                <w:color w:val="auto"/>
              </w:rPr>
              <w:t>Balance - December 31, 2019</w:t>
            </w:r>
          </w:p>
        </w:tc>
        <w:tc>
          <w:tcPr>
            <w:tcW w:w="40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94"/>
              </w:rPr>
              <w:t>5,339,215</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480" w:type="dxa"/>
            <w:vAlign w:val="bottom"/>
            <w:tcBorders>
              <w:top w:val="single" w:sz="8" w:color="auto"/>
              <w:right w:val="single" w:sz="8" w:color="CCEEFF"/>
            </w:tcBorders>
            <w:gridSpan w:val="2"/>
            <w:shd w:val="clear" w:color="auto" w:fill="CCEEFF"/>
          </w:tcPr>
          <w:p>
            <w:pPr>
              <w:jc w:val="center"/>
              <w:ind w:right="20"/>
              <w:spacing w:after="0" w:line="88" w:lineRule="exact"/>
              <w:rPr>
                <w:sz w:val="20"/>
                <w:szCs w:val="20"/>
                <w:color w:val="auto"/>
              </w:rPr>
            </w:pPr>
            <w:r>
              <w:rPr>
                <w:rFonts w:ascii="Arial" w:cs="Arial" w:eastAsia="Arial" w:hAnsi="Arial"/>
                <w:sz w:val="9"/>
                <w:szCs w:val="9"/>
                <w:b w:val="1"/>
                <w:bCs w:val="1"/>
                <w:color w:val="auto"/>
                <w:w w:val="91"/>
              </w:rPr>
              <w:t>$13,865,715</w:t>
            </w:r>
          </w:p>
        </w:tc>
        <w:tc>
          <w:tcPr>
            <w:tcW w:w="440" w:type="dxa"/>
            <w:vAlign w:val="bottom"/>
            <w:tcBorders>
              <w:top w:val="single" w:sz="8" w:color="auto"/>
              <w:right w:val="single" w:sz="8" w:color="CCEEFF"/>
            </w:tcBorders>
            <w:gridSpan w:val="2"/>
            <w:shd w:val="clear" w:color="auto" w:fill="CCEEFF"/>
          </w:tcPr>
          <w:p>
            <w:pPr>
              <w:ind w:left="40"/>
              <w:spacing w:after="0" w:line="88" w:lineRule="exact"/>
              <w:rPr>
                <w:sz w:val="20"/>
                <w:szCs w:val="20"/>
                <w:color w:val="auto"/>
              </w:rPr>
            </w:pPr>
            <w:r>
              <w:rPr>
                <w:rFonts w:ascii="Arial" w:cs="Arial" w:eastAsia="Arial" w:hAnsi="Arial"/>
                <w:sz w:val="9"/>
                <w:szCs w:val="9"/>
                <w:b w:val="1"/>
                <w:bCs w:val="1"/>
                <w:color w:val="auto"/>
                <w:w w:val="89"/>
              </w:rPr>
              <w:t>1,660,756</w:t>
            </w:r>
          </w:p>
        </w:tc>
        <w:tc>
          <w:tcPr>
            <w:tcW w:w="440" w:type="dxa"/>
            <w:vAlign w:val="bottom"/>
            <w:tcBorders>
              <w:top w:val="single" w:sz="8" w:color="auto"/>
              <w:right w:val="single" w:sz="8" w:color="CCEEFF"/>
            </w:tcBorders>
            <w:gridSpan w:val="2"/>
            <w:shd w:val="clear" w:color="auto" w:fill="CCEEFF"/>
          </w:tcPr>
          <w:p>
            <w:pPr>
              <w:jc w:val="center"/>
              <w:ind w:right="20"/>
              <w:spacing w:after="0" w:line="88" w:lineRule="exact"/>
              <w:rPr>
                <w:sz w:val="20"/>
                <w:szCs w:val="20"/>
                <w:color w:val="auto"/>
              </w:rPr>
            </w:pPr>
            <w:r>
              <w:rPr>
                <w:rFonts w:ascii="Arial" w:cs="Arial" w:eastAsia="Arial" w:hAnsi="Arial"/>
                <w:sz w:val="9"/>
                <w:szCs w:val="9"/>
                <w:b w:val="1"/>
                <w:bCs w:val="1"/>
                <w:color w:val="auto"/>
                <w:w w:val="88"/>
              </w:rPr>
              <w:t>$ 4,982,268</w:t>
            </w:r>
          </w:p>
        </w:tc>
        <w:tc>
          <w:tcPr>
            <w:tcW w:w="320" w:type="dxa"/>
            <w:vAlign w:val="bottom"/>
            <w:tcBorders>
              <w:top w:val="single" w:sz="8" w:color="auto"/>
              <w:right w:val="single" w:sz="8" w:color="CCEEFF"/>
            </w:tcBorders>
            <w:gridSpan w:val="2"/>
            <w:shd w:val="clear" w:color="auto" w:fill="CCEEFF"/>
          </w:tcPr>
          <w:p>
            <w:pPr>
              <w:jc w:val="right"/>
              <w:ind w:right="20"/>
              <w:spacing w:after="0" w:line="88" w:lineRule="exact"/>
              <w:rPr>
                <w:sz w:val="20"/>
                <w:szCs w:val="20"/>
                <w:color w:val="auto"/>
              </w:rPr>
            </w:pPr>
            <w:r>
              <w:rPr>
                <w:rFonts w:ascii="Arial" w:cs="Arial" w:eastAsia="Arial" w:hAnsi="Arial"/>
                <w:sz w:val="9"/>
                <w:szCs w:val="9"/>
                <w:b w:val="1"/>
                <w:bCs w:val="1"/>
                <w:color w:val="auto"/>
              </w:rPr>
              <w:t>16,757</w:t>
            </w:r>
          </w:p>
        </w:tc>
        <w:tc>
          <w:tcPr>
            <w:tcW w:w="360" w:type="dxa"/>
            <w:vAlign w:val="bottom"/>
            <w:tcBorders>
              <w:top w:val="single" w:sz="8" w:color="auto"/>
              <w:right w:val="single" w:sz="8" w:color="CCEEFF"/>
            </w:tcBorders>
            <w:gridSpan w:val="2"/>
            <w:shd w:val="clear" w:color="auto" w:fill="CCEEFF"/>
          </w:tcPr>
          <w:p>
            <w:pPr>
              <w:jc w:val="right"/>
              <w:ind w:right="20"/>
              <w:spacing w:after="0" w:line="88" w:lineRule="exact"/>
              <w:rPr>
                <w:sz w:val="20"/>
                <w:szCs w:val="20"/>
                <w:color w:val="auto"/>
              </w:rPr>
            </w:pPr>
            <w:r>
              <w:rPr>
                <w:rFonts w:ascii="Arial" w:cs="Arial" w:eastAsia="Arial" w:hAnsi="Arial"/>
                <w:sz w:val="9"/>
                <w:szCs w:val="9"/>
                <w:b w:val="1"/>
                <w:bCs w:val="1"/>
                <w:color w:val="auto"/>
                <w:w w:val="91"/>
              </w:rPr>
              <w:t>$ 45,945</w:t>
            </w:r>
          </w:p>
        </w:tc>
        <w:tc>
          <w:tcPr>
            <w:tcW w:w="440" w:type="dxa"/>
            <w:vAlign w:val="bottom"/>
            <w:tcBorders>
              <w:top w:val="single" w:sz="8" w:color="auto"/>
              <w:right w:val="single" w:sz="8" w:color="CCEEFF"/>
            </w:tcBorders>
            <w:gridSpan w:val="2"/>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94"/>
              </w:rPr>
              <w:t>1,432,786</w:t>
            </w:r>
          </w:p>
        </w:tc>
        <w:tc>
          <w:tcPr>
            <w:tcW w:w="40" w:type="dxa"/>
            <w:vAlign w:val="bottom"/>
            <w:tcBorders>
              <w:top w:val="single" w:sz="8" w:color="auto"/>
            </w:tcBorders>
            <w:shd w:val="clear" w:color="auto" w:fill="CCEEFF"/>
          </w:tcPr>
          <w:p>
            <w:pPr>
              <w:spacing w:after="0"/>
              <w:rPr>
                <w:sz w:val="20"/>
                <w:szCs w:val="20"/>
                <w:color w:val="auto"/>
              </w:rPr>
            </w:pPr>
            <w:r>
              <w:rPr>
                <w:rFonts w:ascii="Arial" w:cs="Arial" w:eastAsia="Arial" w:hAnsi="Arial"/>
                <w:sz w:val="5"/>
                <w:szCs w:val="5"/>
                <w:b w:val="1"/>
                <w:bCs w:val="1"/>
                <w:color w:val="auto"/>
                <w:w w:val="70"/>
              </w:rPr>
              <w:t>$</w:t>
            </w:r>
          </w:p>
        </w:tc>
        <w:tc>
          <w:tcPr>
            <w:tcW w:w="400" w:type="dxa"/>
            <w:vAlign w:val="bottom"/>
            <w:tcBorders>
              <w:top w:val="single" w:sz="8" w:color="auto"/>
              <w:right w:val="single" w:sz="8" w:color="CCEEFF"/>
            </w:tcBorders>
            <w:gridSpan w:val="2"/>
            <w:shd w:val="clear" w:color="auto" w:fill="CCEEFF"/>
          </w:tcPr>
          <w:p>
            <w:pPr>
              <w:jc w:val="right"/>
              <w:ind w:right="20"/>
              <w:spacing w:after="0" w:line="88" w:lineRule="exact"/>
              <w:rPr>
                <w:sz w:val="20"/>
                <w:szCs w:val="20"/>
                <w:color w:val="auto"/>
              </w:rPr>
            </w:pPr>
            <w:r>
              <w:rPr>
                <w:rFonts w:ascii="Arial" w:cs="Arial" w:eastAsia="Arial" w:hAnsi="Arial"/>
                <w:sz w:val="9"/>
                <w:szCs w:val="9"/>
                <w:b w:val="1"/>
                <w:bCs w:val="1"/>
                <w:color w:val="auto"/>
                <w:w w:val="89"/>
              </w:rPr>
              <w:t>5,167,402</w:t>
            </w:r>
          </w:p>
        </w:tc>
        <w:tc>
          <w:tcPr>
            <w:tcW w:w="440" w:type="dxa"/>
            <w:vAlign w:val="bottom"/>
            <w:tcBorders>
              <w:top w:val="single" w:sz="8" w:color="auto"/>
              <w:right w:val="single" w:sz="8" w:color="CCEEFF"/>
            </w:tcBorders>
            <w:gridSpan w:val="2"/>
            <w:shd w:val="clear" w:color="auto" w:fill="CCEEFF"/>
          </w:tcPr>
          <w:p>
            <w:pPr>
              <w:jc w:val="right"/>
              <w:ind w:right="40"/>
              <w:spacing w:after="0" w:line="88" w:lineRule="exact"/>
              <w:rPr>
                <w:sz w:val="20"/>
                <w:szCs w:val="20"/>
                <w:color w:val="auto"/>
              </w:rPr>
            </w:pPr>
            <w:r>
              <w:rPr>
                <w:rFonts w:ascii="Arial" w:cs="Arial" w:eastAsia="Arial" w:hAnsi="Arial"/>
                <w:sz w:val="9"/>
                <w:szCs w:val="9"/>
                <w:b w:val="1"/>
                <w:bCs w:val="1"/>
                <w:color w:val="auto"/>
              </w:rPr>
              <w:t>781,870</w:t>
            </w:r>
          </w:p>
        </w:tc>
        <w:tc>
          <w:tcPr>
            <w:tcW w:w="4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5"/>
                <w:szCs w:val="5"/>
                <w:b w:val="1"/>
                <w:bCs w:val="1"/>
                <w:color w:val="auto"/>
                <w:w w:val="70"/>
              </w:rPr>
              <w:t>$</w:t>
            </w:r>
          </w:p>
        </w:tc>
        <w:tc>
          <w:tcPr>
            <w:tcW w:w="440" w:type="dxa"/>
            <w:vAlign w:val="bottom"/>
            <w:tcBorders>
              <w:top w:val="single" w:sz="8" w:color="auto"/>
              <w:right w:val="single" w:sz="8" w:color="CCEEFF"/>
            </w:tcBorders>
            <w:gridSpan w:val="2"/>
            <w:shd w:val="clear" w:color="auto" w:fill="CCEEFF"/>
          </w:tcPr>
          <w:p>
            <w:pPr>
              <w:jc w:val="right"/>
              <w:ind w:right="20"/>
              <w:spacing w:after="0" w:line="88" w:lineRule="exact"/>
              <w:rPr>
                <w:sz w:val="20"/>
                <w:szCs w:val="20"/>
                <w:color w:val="auto"/>
              </w:rPr>
            </w:pPr>
            <w:r>
              <w:rPr>
                <w:rFonts w:ascii="Arial" w:cs="Arial" w:eastAsia="Arial" w:hAnsi="Arial"/>
                <w:sz w:val="9"/>
                <w:szCs w:val="9"/>
                <w:b w:val="1"/>
                <w:bCs w:val="1"/>
                <w:color w:val="auto"/>
                <w:w w:val="99"/>
              </w:rPr>
              <w:t>5,604,450</w:t>
            </w:r>
          </w:p>
        </w:tc>
        <w:tc>
          <w:tcPr>
            <w:tcW w:w="440" w:type="dxa"/>
            <w:vAlign w:val="bottom"/>
            <w:tcBorders>
              <w:top w:val="single" w:sz="8" w:color="auto"/>
              <w:right w:val="single" w:sz="8" w:color="CCEEFF"/>
            </w:tcBorders>
            <w:gridSpan w:val="2"/>
            <w:shd w:val="clear" w:color="auto" w:fill="CCEEFF"/>
          </w:tcPr>
          <w:p>
            <w:pPr>
              <w:ind w:left="40"/>
              <w:spacing w:after="0" w:line="88" w:lineRule="exact"/>
              <w:rPr>
                <w:sz w:val="20"/>
                <w:szCs w:val="20"/>
                <w:color w:val="auto"/>
              </w:rPr>
            </w:pPr>
            <w:r>
              <w:rPr>
                <w:rFonts w:ascii="Arial" w:cs="Arial" w:eastAsia="Arial" w:hAnsi="Arial"/>
                <w:sz w:val="9"/>
                <w:szCs w:val="9"/>
                <w:b w:val="1"/>
                <w:bCs w:val="1"/>
                <w:color w:val="auto"/>
                <w:w w:val="89"/>
              </w:rPr>
              <w:t>8,936,015</w:t>
            </w:r>
          </w:p>
        </w:tc>
        <w:tc>
          <w:tcPr>
            <w:tcW w:w="440" w:type="dxa"/>
            <w:vAlign w:val="bottom"/>
            <w:tcBorders>
              <w:top w:val="single" w:sz="8" w:color="auto"/>
              <w:right w:val="single" w:sz="8" w:color="CCEEFF"/>
            </w:tcBorders>
            <w:gridSpan w:val="2"/>
            <w:shd w:val="clear" w:color="auto" w:fill="CCEEFF"/>
          </w:tcPr>
          <w:p>
            <w:pPr>
              <w:jc w:val="center"/>
              <w:ind w:right="20"/>
              <w:spacing w:after="0" w:line="88" w:lineRule="exact"/>
              <w:rPr>
                <w:sz w:val="20"/>
                <w:szCs w:val="20"/>
                <w:color w:val="auto"/>
              </w:rPr>
            </w:pPr>
            <w:r>
              <w:rPr>
                <w:rFonts w:ascii="Arial" w:cs="Arial" w:eastAsia="Arial" w:hAnsi="Arial"/>
                <w:sz w:val="9"/>
                <w:szCs w:val="9"/>
                <w:b w:val="1"/>
                <w:bCs w:val="1"/>
                <w:color w:val="auto"/>
                <w:w w:val="88"/>
              </w:rPr>
              <w:t>$ 3,865,155</w:t>
            </w:r>
          </w:p>
        </w:tc>
        <w:tc>
          <w:tcPr>
            <w:tcW w:w="440" w:type="dxa"/>
            <w:vAlign w:val="bottom"/>
            <w:tcBorders>
              <w:top w:val="single" w:sz="8" w:color="auto"/>
              <w:right w:val="single" w:sz="8" w:color="CCEEFF"/>
            </w:tcBorders>
            <w:gridSpan w:val="2"/>
            <w:shd w:val="clear" w:color="auto" w:fill="CCEEFF"/>
          </w:tcPr>
          <w:p>
            <w:pPr>
              <w:ind w:left="40"/>
              <w:spacing w:after="0" w:line="88" w:lineRule="exact"/>
              <w:rPr>
                <w:sz w:val="20"/>
                <w:szCs w:val="20"/>
                <w:color w:val="auto"/>
              </w:rPr>
            </w:pPr>
            <w:r>
              <w:rPr>
                <w:rFonts w:ascii="Arial" w:cs="Arial" w:eastAsia="Arial" w:hAnsi="Arial"/>
                <w:sz w:val="9"/>
                <w:szCs w:val="9"/>
                <w:b w:val="1"/>
                <w:bCs w:val="1"/>
                <w:color w:val="auto"/>
                <w:w w:val="89"/>
              </w:rPr>
              <w:t>4,653,583</w:t>
            </w:r>
          </w:p>
        </w:tc>
        <w:tc>
          <w:tcPr>
            <w:tcW w:w="440" w:type="dxa"/>
            <w:vAlign w:val="bottom"/>
            <w:tcBorders>
              <w:top w:val="single" w:sz="8" w:color="auto"/>
              <w:right w:val="single" w:sz="8" w:color="CCEEFF"/>
            </w:tcBorders>
            <w:gridSpan w:val="2"/>
            <w:shd w:val="clear" w:color="auto" w:fill="CCEEFF"/>
          </w:tcPr>
          <w:p>
            <w:pPr>
              <w:jc w:val="center"/>
              <w:ind w:right="20"/>
              <w:spacing w:after="0" w:line="88" w:lineRule="exact"/>
              <w:rPr>
                <w:sz w:val="20"/>
                <w:szCs w:val="20"/>
                <w:color w:val="auto"/>
              </w:rPr>
            </w:pPr>
            <w:r>
              <w:rPr>
                <w:rFonts w:ascii="Arial" w:cs="Arial" w:eastAsia="Arial" w:hAnsi="Arial"/>
                <w:sz w:val="9"/>
                <w:szCs w:val="9"/>
                <w:b w:val="1"/>
                <w:bCs w:val="1"/>
                <w:color w:val="auto"/>
                <w:w w:val="88"/>
              </w:rPr>
              <w:t>$ 9,441,770</w:t>
            </w:r>
          </w:p>
        </w:tc>
        <w:tc>
          <w:tcPr>
            <w:tcW w:w="260" w:type="dxa"/>
            <w:vAlign w:val="bottom"/>
            <w:tcBorders>
              <w:top w:val="single" w:sz="8" w:color="auto"/>
            </w:tcBorders>
            <w:gridSpan w:val="2"/>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20" w:type="dxa"/>
            <w:vAlign w:val="bottom"/>
            <w:tcBorders>
              <w:top w:val="single" w:sz="8" w:color="CCEEFF"/>
            </w:tcBorders>
            <w:shd w:val="clear" w:color="auto" w:fill="CCEEFF"/>
          </w:tcPr>
          <w:p>
            <w:pPr>
              <w:spacing w:after="0"/>
              <w:rPr>
                <w:sz w:val="7"/>
                <w:szCs w:val="7"/>
                <w:color w:val="auto"/>
              </w:rPr>
            </w:pPr>
          </w:p>
        </w:tc>
        <w:tc>
          <w:tcPr>
            <w:tcW w:w="240" w:type="dxa"/>
            <w:vAlign w:val="bottom"/>
            <w:tcBorders>
              <w:top w:val="single" w:sz="8" w:color="auto"/>
            </w:tcBorders>
            <w:shd w:val="clear" w:color="auto" w:fill="CCEEFF"/>
          </w:tcPr>
          <w:p>
            <w:pPr>
              <w:jc w:val="center"/>
              <w:ind w:right="154"/>
              <w:spacing w:after="0" w:line="88" w:lineRule="exact"/>
              <w:rPr>
                <w:sz w:val="20"/>
                <w:szCs w:val="20"/>
                <w:color w:val="auto"/>
              </w:rPr>
            </w:pPr>
            <w:r>
              <w:rPr>
                <w:rFonts w:ascii="Arial" w:cs="Arial" w:eastAsia="Arial" w:hAnsi="Arial"/>
                <w:sz w:val="9"/>
                <w:szCs w:val="9"/>
                <w:b w:val="1"/>
                <w:bCs w:val="1"/>
                <w:color w:val="auto"/>
                <w:w w:val="78"/>
              </w:rPr>
              <w:t>$</w:t>
            </w:r>
          </w:p>
        </w:tc>
        <w:tc>
          <w:tcPr>
            <w:tcW w:w="8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20" w:type="dxa"/>
            <w:vAlign w:val="bottom"/>
            <w:tcBorders>
              <w:top w:val="single" w:sz="8" w:color="CCEEFF"/>
            </w:tcBorders>
            <w:shd w:val="clear" w:color="auto" w:fill="CCEEFF"/>
          </w:tcPr>
          <w:p>
            <w:pPr>
              <w:spacing w:after="0"/>
              <w:rPr>
                <w:sz w:val="7"/>
                <w:szCs w:val="7"/>
                <w:color w:val="auto"/>
              </w:rPr>
            </w:pPr>
          </w:p>
        </w:tc>
        <w:tc>
          <w:tcPr>
            <w:tcW w:w="44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93"/>
              </w:rPr>
              <w:t>10,179,000</w:t>
            </w:r>
          </w:p>
        </w:tc>
        <w:tc>
          <w:tcPr>
            <w:tcW w:w="20" w:type="dxa"/>
            <w:vAlign w:val="bottom"/>
            <w:tcBorders>
              <w:top w:val="single" w:sz="8" w:color="CCEEFF"/>
            </w:tcBorders>
            <w:shd w:val="clear" w:color="auto" w:fill="CCEEFF"/>
          </w:tcPr>
          <w:p>
            <w:pPr>
              <w:spacing w:after="0"/>
              <w:rPr>
                <w:sz w:val="7"/>
                <w:szCs w:val="7"/>
                <w:color w:val="auto"/>
              </w:rPr>
            </w:pPr>
          </w:p>
        </w:tc>
        <w:tc>
          <w:tcPr>
            <w:tcW w:w="20" w:type="dxa"/>
            <w:vAlign w:val="bottom"/>
            <w:tcBorders>
              <w:top w:val="single" w:sz="8" w:color="CCEEFF"/>
            </w:tcBorders>
            <w:shd w:val="clear" w:color="auto" w:fill="CCEEFF"/>
          </w:tcPr>
          <w:p>
            <w:pPr>
              <w:spacing w:after="0"/>
              <w:rPr>
                <w:sz w:val="7"/>
                <w:szCs w:val="7"/>
                <w:color w:val="auto"/>
              </w:rPr>
            </w:pPr>
          </w:p>
        </w:tc>
        <w:tc>
          <w:tcPr>
            <w:tcW w:w="320" w:type="dxa"/>
            <w:vAlign w:val="bottom"/>
            <w:tcBorders>
              <w:top w:val="single" w:sz="8" w:color="auto"/>
            </w:tcBorders>
            <w:gridSpan w:val="3"/>
            <w:shd w:val="clear" w:color="auto" w:fill="CCEEFF"/>
          </w:tcPr>
          <w:p>
            <w:pPr>
              <w:spacing w:after="0" w:line="88" w:lineRule="exact"/>
              <w:rPr>
                <w:sz w:val="20"/>
                <w:szCs w:val="20"/>
                <w:color w:val="auto"/>
              </w:rPr>
            </w:pPr>
            <w:r>
              <w:rPr>
                <w:rFonts w:ascii="Arial" w:cs="Arial" w:eastAsia="Arial" w:hAnsi="Arial"/>
                <w:sz w:val="9"/>
                <w:szCs w:val="9"/>
                <w:b w:val="1"/>
                <w:bCs w:val="1"/>
                <w:color w:val="auto"/>
                <w:w w:val="85"/>
              </w:rPr>
              <w:t>$ 10,179</w:t>
            </w:r>
          </w:p>
        </w:tc>
        <w:tc>
          <w:tcPr>
            <w:tcW w:w="40" w:type="dxa"/>
            <w:vAlign w:val="bottom"/>
            <w:tcBorders>
              <w:top w:val="single" w:sz="8" w:color="CCEEFF"/>
            </w:tcBorders>
            <w:shd w:val="clear" w:color="auto" w:fill="CCEEFF"/>
          </w:tcPr>
          <w:p>
            <w:pPr>
              <w:spacing w:after="0"/>
              <w:rPr>
                <w:sz w:val="7"/>
                <w:szCs w:val="7"/>
                <w:color w:val="auto"/>
              </w:rPr>
            </w:pPr>
          </w:p>
        </w:tc>
        <w:tc>
          <w:tcPr>
            <w:tcW w:w="440" w:type="dxa"/>
            <w:vAlign w:val="bottom"/>
            <w:tcBorders>
              <w:top w:val="single" w:sz="8" w:color="auto"/>
              <w:right w:val="single" w:sz="8" w:color="CCEEFF"/>
            </w:tcBorders>
            <w:gridSpan w:val="2"/>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84"/>
              </w:rPr>
              <w:t>$ 2,528,653</w:t>
            </w:r>
          </w:p>
        </w:tc>
        <w:tc>
          <w:tcPr>
            <w:tcW w:w="20" w:type="dxa"/>
            <w:vAlign w:val="bottom"/>
            <w:tcBorders>
              <w:top w:val="single" w:sz="8" w:color="CCEEFF"/>
            </w:tcBorders>
            <w:shd w:val="clear" w:color="auto" w:fill="CCEEFF"/>
          </w:tcPr>
          <w:p>
            <w:pPr>
              <w:spacing w:after="0"/>
              <w:rPr>
                <w:sz w:val="7"/>
                <w:szCs w:val="7"/>
                <w:color w:val="auto"/>
              </w:rPr>
            </w:pPr>
          </w:p>
        </w:tc>
        <w:tc>
          <w:tcPr>
            <w:tcW w:w="100" w:type="dxa"/>
            <w:vAlign w:val="bottom"/>
            <w:tcBorders>
              <w:top w:val="single" w:sz="8" w:color="auto"/>
            </w:tcBorders>
            <w:gridSpan w:val="2"/>
            <w:shd w:val="clear" w:color="auto" w:fill="CCEEFF"/>
          </w:tcPr>
          <w:p>
            <w:pPr>
              <w:jc w:val="right"/>
              <w:ind w:right="14"/>
              <w:spacing w:after="0"/>
              <w:rPr>
                <w:sz w:val="20"/>
                <w:szCs w:val="20"/>
                <w:color w:val="auto"/>
              </w:rPr>
            </w:pPr>
            <w:r>
              <w:rPr>
                <w:rFonts w:ascii="Arial" w:cs="Arial" w:eastAsia="Arial" w:hAnsi="Arial"/>
                <w:sz w:val="5"/>
                <w:szCs w:val="5"/>
                <w:b w:val="1"/>
                <w:bCs w:val="1"/>
                <w:color w:val="auto"/>
                <w:w w:val="70"/>
              </w:rPr>
              <w:t>$</w:t>
            </w:r>
          </w:p>
        </w:tc>
        <w:tc>
          <w:tcPr>
            <w:tcW w:w="46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86"/>
              </w:rPr>
              <w:t>(49,247,199)</w:t>
            </w:r>
          </w:p>
        </w:tc>
        <w:tc>
          <w:tcPr>
            <w:tcW w:w="80" w:type="dxa"/>
            <w:vAlign w:val="bottom"/>
            <w:tcBorders>
              <w:top w:val="single" w:sz="8" w:color="CCEEFF"/>
            </w:tcBorders>
            <w:shd w:val="clear" w:color="auto" w:fill="CCEEFF"/>
          </w:tcPr>
          <w:p>
            <w:pPr>
              <w:spacing w:after="0"/>
              <w:rPr>
                <w:sz w:val="7"/>
                <w:szCs w:val="7"/>
                <w:color w:val="auto"/>
              </w:rPr>
            </w:pPr>
          </w:p>
        </w:tc>
        <w:tc>
          <w:tcPr>
            <w:tcW w:w="60" w:type="dxa"/>
            <w:vAlign w:val="bottom"/>
            <w:tcBorders>
              <w:top w:val="single" w:sz="8" w:color="auto"/>
              <w:left w:val="single" w:sz="8" w:color="CCEEFF"/>
            </w:tcBorders>
            <w:shd w:val="clear" w:color="auto" w:fill="CCEEFF"/>
          </w:tcPr>
          <w:p>
            <w:pPr>
              <w:spacing w:after="0" w:line="88" w:lineRule="exact"/>
              <w:rPr>
                <w:sz w:val="20"/>
                <w:szCs w:val="20"/>
                <w:color w:val="auto"/>
              </w:rPr>
            </w:pPr>
            <w:r>
              <w:rPr>
                <w:rFonts w:ascii="Arial" w:cs="Arial" w:eastAsia="Arial" w:hAnsi="Arial"/>
                <w:sz w:val="9"/>
                <w:szCs w:val="9"/>
                <w:b w:val="1"/>
                <w:bCs w:val="1"/>
                <w:color w:val="auto"/>
                <w:w w:val="78"/>
              </w:rPr>
              <w:t>$</w:t>
            </w:r>
          </w:p>
        </w:tc>
        <w:tc>
          <w:tcPr>
            <w:tcW w:w="500" w:type="dxa"/>
            <w:vAlign w:val="bottom"/>
            <w:tcBorders>
              <w:top w:val="single" w:sz="8" w:color="auto"/>
            </w:tcBorders>
            <w:gridSpan w:val="2"/>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93"/>
              </w:rPr>
              <w:t>(46,708,367)</w:t>
            </w:r>
          </w:p>
        </w:tc>
        <w:tc>
          <w:tcPr>
            <w:tcW w:w="40" w:type="dxa"/>
            <w:vAlign w:val="bottom"/>
            <w:tcBorders>
              <w:top w:val="single" w:sz="8" w:color="CCEEFF"/>
            </w:tcBorders>
            <w:shd w:val="clear" w:color="auto" w:fill="CCEEFF"/>
          </w:tcPr>
          <w:p>
            <w:pPr>
              <w:spacing w:after="0"/>
              <w:rPr>
                <w:sz w:val="7"/>
                <w:szCs w:val="7"/>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Stock based compensation</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5"/>
                <w:szCs w:val="5"/>
                <w:color w:val="auto"/>
                <w:w w:val="70"/>
              </w:rPr>
              <w:t>$</w:t>
            </w:r>
          </w:p>
        </w:tc>
        <w:tc>
          <w:tcPr>
            <w:tcW w:w="380" w:type="dxa"/>
            <w:vAlign w:val="bottom"/>
            <w:tcBorders>
              <w:right w:val="single" w:sz="8" w:color="CCEEFF"/>
            </w:tcBorders>
            <w:shd w:val="clear" w:color="auto" w:fill="CCEEFF"/>
          </w:tcPr>
          <w:p>
            <w:pPr>
              <w:jc w:val="right"/>
              <w:spacing w:after="0" w:line="98" w:lineRule="exact"/>
              <w:rPr>
                <w:sz w:val="20"/>
                <w:szCs w:val="20"/>
                <w:color w:val="auto"/>
              </w:rPr>
            </w:pPr>
            <w:r>
              <w:rPr>
                <w:rFonts w:ascii="Arial" w:cs="Arial" w:eastAsia="Arial" w:hAnsi="Arial"/>
                <w:sz w:val="9"/>
                <w:szCs w:val="9"/>
                <w:color w:val="auto"/>
              </w:rPr>
              <w:t>187,627</w:t>
            </w: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540" w:type="dxa"/>
            <w:vAlign w:val="bottom"/>
            <w:gridSpan w:val="3"/>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187,627</w:t>
            </w: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Stock options exercised</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60" w:type="dxa"/>
            <w:vAlign w:val="bottom"/>
            <w:gridSpan w:val="2"/>
            <w:shd w:val="clear" w:color="auto" w:fill="CCEEFF"/>
          </w:tcPr>
          <w:p>
            <w:pPr>
              <w:jc w:val="right"/>
              <w:ind w:right="20"/>
              <w:spacing w:after="0" w:line="98" w:lineRule="exact"/>
              <w:rPr>
                <w:sz w:val="20"/>
                <w:szCs w:val="20"/>
                <w:color w:val="auto"/>
              </w:rPr>
            </w:pPr>
            <w:r>
              <w:rPr>
                <w:rFonts w:ascii="Arial" w:cs="Arial" w:eastAsia="Arial" w:hAnsi="Arial"/>
                <w:sz w:val="9"/>
                <w:szCs w:val="9"/>
                <w:b w:val="1"/>
                <w:bCs w:val="1"/>
                <w:color w:val="auto"/>
              </w:rPr>
              <w:t>10,000</w:t>
            </w:r>
          </w:p>
        </w:tc>
        <w:tc>
          <w:tcPr>
            <w:tcW w:w="180" w:type="dxa"/>
            <w:vAlign w:val="bottom"/>
            <w:gridSpan w:val="2"/>
            <w:shd w:val="clear" w:color="auto" w:fill="CCEEFF"/>
          </w:tcPr>
          <w:p>
            <w:pPr>
              <w:ind w:left="20"/>
              <w:spacing w:after="0" w:line="98" w:lineRule="exact"/>
              <w:rPr>
                <w:sz w:val="20"/>
                <w:szCs w:val="20"/>
                <w:color w:val="auto"/>
              </w:rPr>
            </w:pPr>
            <w:r>
              <w:rPr>
                <w:rFonts w:ascii="Arial" w:cs="Arial" w:eastAsia="Arial" w:hAnsi="Arial"/>
                <w:sz w:val="9"/>
                <w:szCs w:val="9"/>
                <w:b w:val="1"/>
                <w:bCs w:val="1"/>
                <w:color w:val="auto"/>
              </w:rPr>
              <w:t>$</w:t>
            </w:r>
          </w:p>
        </w:tc>
        <w:tc>
          <w:tcPr>
            <w:tcW w:w="160" w:type="dxa"/>
            <w:vAlign w:val="bottom"/>
            <w:gridSpan w:val="2"/>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10</w:t>
            </w: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5"/>
                <w:szCs w:val="5"/>
                <w:color w:val="auto"/>
                <w:w w:val="70"/>
              </w:rPr>
              <w:t>$</w:t>
            </w:r>
          </w:p>
        </w:tc>
        <w:tc>
          <w:tcPr>
            <w:tcW w:w="380" w:type="dxa"/>
            <w:vAlign w:val="bottom"/>
            <w:tcBorders>
              <w:right w:val="single" w:sz="8" w:color="CCEEFF"/>
            </w:tcBorders>
            <w:shd w:val="clear" w:color="auto" w:fill="CCEEFF"/>
          </w:tcPr>
          <w:p>
            <w:pPr>
              <w:jc w:val="right"/>
              <w:spacing w:after="0" w:line="98" w:lineRule="exact"/>
              <w:rPr>
                <w:sz w:val="20"/>
                <w:szCs w:val="20"/>
                <w:color w:val="auto"/>
              </w:rPr>
            </w:pPr>
            <w:r>
              <w:rPr>
                <w:rFonts w:ascii="Arial" w:cs="Arial" w:eastAsia="Arial" w:hAnsi="Arial"/>
                <w:sz w:val="9"/>
                <w:szCs w:val="9"/>
                <w:color w:val="auto"/>
              </w:rPr>
              <w:t>2,490</w:t>
            </w: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540" w:type="dxa"/>
            <w:vAlign w:val="bottom"/>
            <w:gridSpan w:val="3"/>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2,500</w:t>
            </w: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w w:val="90"/>
              </w:rPr>
              <w:t>Issuance of Series S Preferred stock, net of issuance costs</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gridSpan w:val="2"/>
            <w:shd w:val="clear" w:color="auto" w:fill="CCEEFF"/>
          </w:tcPr>
          <w:p>
            <w:pPr>
              <w:jc w:val="right"/>
              <w:ind w:right="40"/>
              <w:spacing w:after="0" w:line="98" w:lineRule="exact"/>
              <w:rPr>
                <w:sz w:val="20"/>
                <w:szCs w:val="20"/>
                <w:color w:val="auto"/>
              </w:rPr>
            </w:pPr>
            <w:r>
              <w:rPr>
                <w:rFonts w:ascii="Arial" w:cs="Arial" w:eastAsia="Arial" w:hAnsi="Arial"/>
                <w:sz w:val="9"/>
                <w:szCs w:val="9"/>
                <w:color w:val="auto"/>
              </w:rPr>
              <w:t>793,716</w:t>
            </w:r>
          </w:p>
        </w:tc>
        <w:tc>
          <w:tcPr>
            <w:tcW w:w="40" w:type="dxa"/>
            <w:vAlign w:val="bottom"/>
            <w:shd w:val="clear" w:color="auto" w:fill="CCEEFF"/>
          </w:tcPr>
          <w:p>
            <w:pPr>
              <w:jc w:val="right"/>
              <w:spacing w:after="0"/>
              <w:rPr>
                <w:sz w:val="20"/>
                <w:szCs w:val="20"/>
                <w:color w:val="auto"/>
              </w:rPr>
            </w:pPr>
            <w:r>
              <w:rPr>
                <w:rFonts w:ascii="Arial" w:cs="Arial" w:eastAsia="Arial" w:hAnsi="Arial"/>
                <w:sz w:val="5"/>
                <w:szCs w:val="5"/>
                <w:color w:val="auto"/>
                <w:w w:val="70"/>
              </w:rPr>
              <w:t>$</w:t>
            </w:r>
          </w:p>
        </w:tc>
        <w:tc>
          <w:tcPr>
            <w:tcW w:w="440" w:type="dxa"/>
            <w:vAlign w:val="bottom"/>
            <w:tcBorders>
              <w:right w:val="single" w:sz="8" w:color="CCEEFF"/>
            </w:tcBorders>
            <w:gridSpan w:val="2"/>
            <w:shd w:val="clear" w:color="auto" w:fill="CCEEFF"/>
          </w:tcPr>
          <w:p>
            <w:pPr>
              <w:jc w:val="right"/>
              <w:ind w:right="20"/>
              <w:spacing w:after="0" w:line="98" w:lineRule="exact"/>
              <w:rPr>
                <w:sz w:val="20"/>
                <w:szCs w:val="20"/>
                <w:color w:val="auto"/>
              </w:rPr>
            </w:pPr>
            <w:r>
              <w:rPr>
                <w:rFonts w:ascii="Arial" w:cs="Arial" w:eastAsia="Arial" w:hAnsi="Arial"/>
                <w:sz w:val="9"/>
                <w:szCs w:val="9"/>
                <w:color w:val="auto"/>
                <w:w w:val="99"/>
              </w:rPr>
              <w:t>5,707,719</w:t>
            </w: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540" w:type="dxa"/>
            <w:vAlign w:val="bottom"/>
            <w:gridSpan w:val="3"/>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w:t>
            </w: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Series m-4 accrued dividend</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20"/>
                <w:szCs w:val="20"/>
                <w:color w:val="auto"/>
              </w:rPr>
            </w:pPr>
            <w:r>
              <w:rPr>
                <w:rFonts w:ascii="Arial" w:cs="Arial" w:eastAsia="Arial" w:hAnsi="Arial"/>
                <w:sz w:val="5"/>
                <w:szCs w:val="5"/>
                <w:color w:val="auto"/>
                <w:w w:val="70"/>
              </w:rPr>
              <w:t>$</w:t>
            </w:r>
          </w:p>
        </w:tc>
        <w:tc>
          <w:tcPr>
            <w:tcW w:w="400" w:type="dxa"/>
            <w:vAlign w:val="bottom"/>
            <w:tcBorders>
              <w:right w:val="single" w:sz="8" w:color="CCEEFF"/>
            </w:tcBorders>
            <w:gridSpan w:val="2"/>
            <w:shd w:val="clear" w:color="auto" w:fill="CCEEFF"/>
          </w:tcPr>
          <w:p>
            <w:pPr>
              <w:jc w:val="right"/>
              <w:ind w:right="20"/>
              <w:spacing w:after="0" w:line="98" w:lineRule="exact"/>
              <w:rPr>
                <w:sz w:val="20"/>
                <w:szCs w:val="20"/>
                <w:color w:val="auto"/>
              </w:rPr>
            </w:pPr>
            <w:r>
              <w:rPr>
                <w:rFonts w:ascii="Arial" w:cs="Arial" w:eastAsia="Arial" w:hAnsi="Arial"/>
                <w:sz w:val="9"/>
                <w:szCs w:val="9"/>
                <w:color w:val="auto"/>
              </w:rPr>
              <w:t>319,690</w:t>
            </w: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120" w:type="dxa"/>
            <w:vAlign w:val="bottom"/>
            <w:gridSpan w:val="3"/>
            <w:shd w:val="clear" w:color="auto" w:fill="CCEEFF"/>
          </w:tcPr>
          <w:p>
            <w:pPr>
              <w:jc w:val="right"/>
              <w:ind w:right="14"/>
              <w:spacing w:after="0" w:line="98" w:lineRule="exact"/>
              <w:rPr>
                <w:sz w:val="20"/>
                <w:szCs w:val="20"/>
                <w:color w:val="auto"/>
              </w:rPr>
            </w:pPr>
            <w:r>
              <w:rPr>
                <w:rFonts w:ascii="Arial" w:cs="Arial" w:eastAsia="Arial" w:hAnsi="Arial"/>
                <w:sz w:val="9"/>
                <w:szCs w:val="9"/>
                <w:b w:val="1"/>
                <w:bCs w:val="1"/>
                <w:color w:val="auto"/>
                <w:w w:val="78"/>
              </w:rPr>
              <w:t>$</w:t>
            </w:r>
          </w:p>
        </w:tc>
        <w:tc>
          <w:tcPr>
            <w:tcW w:w="540" w:type="dxa"/>
            <w:vAlign w:val="bottom"/>
            <w:gridSpan w:val="2"/>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(319,690)</w:t>
            </w: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540" w:type="dxa"/>
            <w:vAlign w:val="bottom"/>
            <w:gridSpan w:val="3"/>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(319,690)</w:t>
            </w: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54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540" w:type="dxa"/>
            <w:vAlign w:val="bottom"/>
            <w:gridSpan w:val="2"/>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Net loss</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1260" w:type="dxa"/>
            <w:vAlign w:val="bottom"/>
            <w:gridSpan w:val="9"/>
            <w:shd w:val="clear" w:color="auto" w:fill="CCEEFF"/>
          </w:tcPr>
          <w:p>
            <w:pPr>
              <w:jc w:val="right"/>
              <w:spacing w:after="0" w:line="98" w:lineRule="exact"/>
              <w:rPr>
                <w:sz w:val="20"/>
                <w:szCs w:val="20"/>
                <w:color w:val="auto"/>
              </w:rPr>
            </w:pPr>
            <w:r>
              <w:rPr>
                <w:rFonts w:ascii="Arial" w:cs="Arial" w:eastAsia="Arial" w:hAnsi="Arial"/>
                <w:sz w:val="9"/>
                <w:szCs w:val="9"/>
                <w:color w:val="auto"/>
              </w:rPr>
              <w:t>$   (9,140,909) $   (9,140,909)</w:t>
            </w:r>
          </w:p>
        </w:tc>
        <w:tc>
          <w:tcPr>
            <w:tcW w:w="0" w:type="dxa"/>
            <w:vAlign w:val="bottom"/>
          </w:tcPr>
          <w:p>
            <w:pPr>
              <w:spacing w:after="0"/>
              <w:rPr>
                <w:sz w:val="1"/>
                <w:szCs w:val="1"/>
                <w:color w:val="auto"/>
              </w:rPr>
            </w:pPr>
          </w:p>
        </w:tc>
      </w:tr>
      <w:tr>
        <w:trPr>
          <w:trHeight w:val="97"/>
        </w:trPr>
        <w:tc>
          <w:tcPr>
            <w:tcW w:w="2140" w:type="dxa"/>
            <w:vAlign w:val="bottom"/>
          </w:tcPr>
          <w:p>
            <w:pPr>
              <w:spacing w:after="0" w:line="88" w:lineRule="exact"/>
              <w:rPr>
                <w:sz w:val="20"/>
                <w:szCs w:val="20"/>
                <w:color w:val="auto"/>
              </w:rPr>
            </w:pPr>
            <w:r>
              <w:rPr>
                <w:rFonts w:ascii="Arial" w:cs="Arial" w:eastAsia="Arial" w:hAnsi="Arial"/>
                <w:sz w:val="9"/>
                <w:szCs w:val="9"/>
                <w:color w:val="auto"/>
              </w:rPr>
              <w:t>Balance - June 30, 2020</w:t>
            </w:r>
          </w:p>
        </w:tc>
        <w:tc>
          <w:tcPr>
            <w:tcW w:w="400" w:type="dxa"/>
            <w:vAlign w:val="bottom"/>
            <w:tcBorders>
              <w:top w:val="single" w:sz="8" w:color="auto"/>
              <w:bottom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94"/>
              </w:rPr>
              <w:t>5,339,215</w:t>
            </w:r>
          </w:p>
        </w:tc>
        <w:tc>
          <w:tcPr>
            <w:tcW w:w="60" w:type="dxa"/>
            <w:vAlign w:val="bottom"/>
          </w:tcPr>
          <w:p>
            <w:pPr>
              <w:spacing w:after="0"/>
              <w:rPr>
                <w:sz w:val="8"/>
                <w:szCs w:val="8"/>
                <w:color w:val="auto"/>
              </w:rPr>
            </w:pPr>
          </w:p>
        </w:tc>
        <w:tc>
          <w:tcPr>
            <w:tcW w:w="480" w:type="dxa"/>
            <w:vAlign w:val="bottom"/>
            <w:tcBorders>
              <w:top w:val="single" w:sz="8" w:color="auto"/>
              <w:bottom w:val="single" w:sz="8" w:color="auto"/>
            </w:tcBorders>
            <w:gridSpan w:val="2"/>
          </w:tcPr>
          <w:p>
            <w:pPr>
              <w:jc w:val="center"/>
              <w:ind w:right="20"/>
              <w:spacing w:after="0" w:line="88" w:lineRule="exact"/>
              <w:rPr>
                <w:sz w:val="20"/>
                <w:szCs w:val="20"/>
                <w:color w:val="auto"/>
              </w:rPr>
            </w:pPr>
            <w:r>
              <w:rPr>
                <w:rFonts w:ascii="Arial" w:cs="Arial" w:eastAsia="Arial" w:hAnsi="Arial"/>
                <w:sz w:val="9"/>
                <w:szCs w:val="9"/>
                <w:b w:val="1"/>
                <w:bCs w:val="1"/>
                <w:u w:val="single" w:color="auto"/>
                <w:color w:val="auto"/>
                <w:w w:val="91"/>
              </w:rPr>
              <w:t>$</w:t>
            </w:r>
            <w:r>
              <w:rPr>
                <w:rFonts w:ascii="Arial" w:cs="Arial" w:eastAsia="Arial" w:hAnsi="Arial"/>
                <w:sz w:val="9"/>
                <w:szCs w:val="9"/>
                <w:b w:val="1"/>
                <w:bCs w:val="1"/>
                <w:color w:val="auto"/>
                <w:w w:val="91"/>
              </w:rPr>
              <w:t>13,865,715</w:t>
            </w:r>
          </w:p>
        </w:tc>
        <w:tc>
          <w:tcPr>
            <w:tcW w:w="440" w:type="dxa"/>
            <w:vAlign w:val="bottom"/>
            <w:tcBorders>
              <w:top w:val="single" w:sz="8" w:color="auto"/>
              <w:bottom w:val="single" w:sz="8" w:color="auto"/>
            </w:tcBorders>
            <w:gridSpan w:val="2"/>
          </w:tcPr>
          <w:p>
            <w:pPr>
              <w:ind w:left="40"/>
              <w:spacing w:after="0" w:line="88" w:lineRule="exact"/>
              <w:rPr>
                <w:sz w:val="20"/>
                <w:szCs w:val="20"/>
                <w:color w:val="auto"/>
              </w:rPr>
            </w:pPr>
            <w:r>
              <w:rPr>
                <w:rFonts w:ascii="Arial" w:cs="Arial" w:eastAsia="Arial" w:hAnsi="Arial"/>
                <w:sz w:val="9"/>
                <w:szCs w:val="9"/>
                <w:b w:val="1"/>
                <w:bCs w:val="1"/>
                <w:color w:val="auto"/>
                <w:w w:val="89"/>
              </w:rPr>
              <w:t>1,660,756</w:t>
            </w:r>
          </w:p>
        </w:tc>
        <w:tc>
          <w:tcPr>
            <w:tcW w:w="440" w:type="dxa"/>
            <w:vAlign w:val="bottom"/>
            <w:tcBorders>
              <w:top w:val="single" w:sz="8" w:color="auto"/>
              <w:bottom w:val="single" w:sz="8" w:color="auto"/>
            </w:tcBorders>
            <w:gridSpan w:val="2"/>
          </w:tcPr>
          <w:p>
            <w:pPr>
              <w:jc w:val="center"/>
              <w:ind w:right="20"/>
              <w:spacing w:after="0" w:line="88" w:lineRule="exact"/>
              <w:rPr>
                <w:sz w:val="20"/>
                <w:szCs w:val="20"/>
                <w:color w:val="auto"/>
              </w:rPr>
            </w:pPr>
            <w:r>
              <w:rPr>
                <w:rFonts w:ascii="Arial" w:cs="Arial" w:eastAsia="Arial" w:hAnsi="Arial"/>
                <w:sz w:val="9"/>
                <w:szCs w:val="9"/>
                <w:b w:val="1"/>
                <w:bCs w:val="1"/>
                <w:u w:val="single" w:color="auto"/>
                <w:color w:val="auto"/>
                <w:w w:val="88"/>
              </w:rPr>
              <w:t>$</w:t>
            </w:r>
            <w:r>
              <w:rPr>
                <w:rFonts w:ascii="Arial" w:cs="Arial" w:eastAsia="Arial" w:hAnsi="Arial"/>
                <w:sz w:val="9"/>
                <w:szCs w:val="9"/>
                <w:b w:val="1"/>
                <w:bCs w:val="1"/>
                <w:color w:val="auto"/>
                <w:w w:val="88"/>
              </w:rPr>
              <w:t xml:space="preserve"> 4,982,268</w:t>
            </w:r>
          </w:p>
        </w:tc>
        <w:tc>
          <w:tcPr>
            <w:tcW w:w="320" w:type="dxa"/>
            <w:vAlign w:val="bottom"/>
            <w:tcBorders>
              <w:top w:val="single" w:sz="8" w:color="auto"/>
              <w:bottom w:val="single" w:sz="8" w:color="auto"/>
            </w:tcBorders>
            <w:gridSpan w:val="2"/>
          </w:tcPr>
          <w:p>
            <w:pPr>
              <w:jc w:val="right"/>
              <w:ind w:right="20"/>
              <w:spacing w:after="0" w:line="88" w:lineRule="exact"/>
              <w:rPr>
                <w:sz w:val="20"/>
                <w:szCs w:val="20"/>
                <w:color w:val="auto"/>
              </w:rPr>
            </w:pPr>
            <w:r>
              <w:rPr>
                <w:rFonts w:ascii="Arial" w:cs="Arial" w:eastAsia="Arial" w:hAnsi="Arial"/>
                <w:sz w:val="9"/>
                <w:szCs w:val="9"/>
                <w:b w:val="1"/>
                <w:bCs w:val="1"/>
                <w:color w:val="auto"/>
              </w:rPr>
              <w:t>16,757</w:t>
            </w:r>
          </w:p>
        </w:tc>
        <w:tc>
          <w:tcPr>
            <w:tcW w:w="360" w:type="dxa"/>
            <w:vAlign w:val="bottom"/>
            <w:tcBorders>
              <w:top w:val="single" w:sz="8" w:color="auto"/>
              <w:bottom w:val="single" w:sz="8" w:color="auto"/>
            </w:tcBorders>
            <w:gridSpan w:val="2"/>
          </w:tcPr>
          <w:p>
            <w:pPr>
              <w:jc w:val="right"/>
              <w:ind w:right="20"/>
              <w:spacing w:after="0" w:line="88" w:lineRule="exact"/>
              <w:rPr>
                <w:sz w:val="20"/>
                <w:szCs w:val="20"/>
                <w:color w:val="auto"/>
              </w:rPr>
            </w:pPr>
            <w:r>
              <w:rPr>
                <w:rFonts w:ascii="Arial" w:cs="Arial" w:eastAsia="Arial" w:hAnsi="Arial"/>
                <w:sz w:val="9"/>
                <w:szCs w:val="9"/>
                <w:b w:val="1"/>
                <w:bCs w:val="1"/>
                <w:color w:val="auto"/>
                <w:w w:val="91"/>
              </w:rPr>
              <w:t>$ 45,945</w:t>
            </w:r>
          </w:p>
        </w:tc>
        <w:tc>
          <w:tcPr>
            <w:tcW w:w="440" w:type="dxa"/>
            <w:vAlign w:val="bottom"/>
            <w:tcBorders>
              <w:top w:val="single" w:sz="8" w:color="auto"/>
              <w:bottom w:val="single" w:sz="8" w:color="auto"/>
            </w:tcBorders>
            <w:gridSpan w:val="2"/>
          </w:tcPr>
          <w:p>
            <w:pPr>
              <w:jc w:val="right"/>
              <w:spacing w:after="0" w:line="88" w:lineRule="exact"/>
              <w:rPr>
                <w:sz w:val="20"/>
                <w:szCs w:val="20"/>
                <w:color w:val="auto"/>
              </w:rPr>
            </w:pPr>
            <w:r>
              <w:rPr>
                <w:rFonts w:ascii="Arial" w:cs="Arial" w:eastAsia="Arial" w:hAnsi="Arial"/>
                <w:sz w:val="9"/>
                <w:szCs w:val="9"/>
                <w:b w:val="1"/>
                <w:bCs w:val="1"/>
                <w:color w:val="auto"/>
                <w:w w:val="94"/>
              </w:rPr>
              <w:t>1,432,786</w:t>
            </w:r>
          </w:p>
        </w:tc>
        <w:tc>
          <w:tcPr>
            <w:tcW w:w="40" w:type="dxa"/>
            <w:vAlign w:val="bottom"/>
            <w:tcBorders>
              <w:top w:val="single" w:sz="8" w:color="auto"/>
              <w:bottom w:val="single" w:sz="8" w:color="auto"/>
            </w:tcBorders>
          </w:tcPr>
          <w:p>
            <w:pPr>
              <w:spacing w:after="0"/>
              <w:rPr>
                <w:sz w:val="20"/>
                <w:szCs w:val="20"/>
                <w:color w:val="auto"/>
              </w:rPr>
            </w:pPr>
            <w:r>
              <w:rPr>
                <w:rFonts w:ascii="Arial" w:cs="Arial" w:eastAsia="Arial" w:hAnsi="Arial"/>
                <w:sz w:val="5"/>
                <w:szCs w:val="5"/>
                <w:b w:val="1"/>
                <w:bCs w:val="1"/>
                <w:u w:val="single" w:color="auto"/>
                <w:color w:val="auto"/>
                <w:w w:val="70"/>
              </w:rPr>
              <w:t>$</w:t>
            </w:r>
          </w:p>
        </w:tc>
        <w:tc>
          <w:tcPr>
            <w:tcW w:w="400" w:type="dxa"/>
            <w:vAlign w:val="bottom"/>
            <w:tcBorders>
              <w:top w:val="single" w:sz="8" w:color="auto"/>
              <w:bottom w:val="single" w:sz="8" w:color="auto"/>
            </w:tcBorders>
            <w:gridSpan w:val="2"/>
          </w:tcPr>
          <w:p>
            <w:pPr>
              <w:jc w:val="right"/>
              <w:ind w:right="20"/>
              <w:spacing w:after="0" w:line="88" w:lineRule="exact"/>
              <w:rPr>
                <w:sz w:val="20"/>
                <w:szCs w:val="20"/>
                <w:color w:val="auto"/>
              </w:rPr>
            </w:pPr>
            <w:r>
              <w:rPr>
                <w:rFonts w:ascii="Arial" w:cs="Arial" w:eastAsia="Arial" w:hAnsi="Arial"/>
                <w:sz w:val="9"/>
                <w:szCs w:val="9"/>
                <w:b w:val="1"/>
                <w:bCs w:val="1"/>
                <w:color w:val="auto"/>
                <w:w w:val="89"/>
              </w:rPr>
              <w:t>5,487,092</w:t>
            </w:r>
          </w:p>
        </w:tc>
        <w:tc>
          <w:tcPr>
            <w:tcW w:w="440" w:type="dxa"/>
            <w:vAlign w:val="bottom"/>
            <w:tcBorders>
              <w:top w:val="single" w:sz="8" w:color="auto"/>
              <w:bottom w:val="single" w:sz="8" w:color="auto"/>
            </w:tcBorders>
            <w:gridSpan w:val="2"/>
          </w:tcPr>
          <w:p>
            <w:pPr>
              <w:jc w:val="right"/>
              <w:ind w:right="40"/>
              <w:spacing w:after="0" w:line="88" w:lineRule="exact"/>
              <w:rPr>
                <w:sz w:val="20"/>
                <w:szCs w:val="20"/>
                <w:color w:val="auto"/>
              </w:rPr>
            </w:pPr>
            <w:r>
              <w:rPr>
                <w:rFonts w:ascii="Arial" w:cs="Arial" w:eastAsia="Arial" w:hAnsi="Arial"/>
                <w:sz w:val="9"/>
                <w:szCs w:val="9"/>
                <w:b w:val="1"/>
                <w:bCs w:val="1"/>
                <w:color w:val="auto"/>
                <w:w w:val="94"/>
              </w:rPr>
              <w:t>1,575,586</w:t>
            </w:r>
          </w:p>
        </w:tc>
        <w:tc>
          <w:tcPr>
            <w:tcW w:w="480" w:type="dxa"/>
            <w:vAlign w:val="bottom"/>
            <w:tcBorders>
              <w:top w:val="single" w:sz="8" w:color="auto"/>
              <w:bottom w:val="single" w:sz="8" w:color="auto"/>
            </w:tcBorders>
            <w:gridSpan w:val="3"/>
          </w:tcPr>
          <w:p>
            <w:pPr>
              <w:jc w:val="right"/>
              <w:ind w:right="20"/>
              <w:spacing w:after="0" w:line="88" w:lineRule="exact"/>
              <w:rPr>
                <w:sz w:val="20"/>
                <w:szCs w:val="20"/>
                <w:color w:val="auto"/>
              </w:rPr>
            </w:pPr>
            <w:r>
              <w:rPr>
                <w:rFonts w:ascii="Arial" w:cs="Arial" w:eastAsia="Arial" w:hAnsi="Arial"/>
                <w:sz w:val="9"/>
                <w:szCs w:val="9"/>
                <w:b w:val="1"/>
                <w:bCs w:val="1"/>
                <w:u w:val="single" w:color="auto"/>
                <w:color w:val="auto"/>
                <w:w w:val="87"/>
              </w:rPr>
              <w:t>$</w:t>
            </w:r>
            <w:r>
              <w:rPr>
                <w:rFonts w:ascii="Arial" w:cs="Arial" w:eastAsia="Arial" w:hAnsi="Arial"/>
                <w:sz w:val="9"/>
                <w:szCs w:val="9"/>
                <w:b w:val="1"/>
                <w:bCs w:val="1"/>
                <w:color w:val="auto"/>
                <w:w w:val="87"/>
              </w:rPr>
              <w:t>11,312,169</w:t>
            </w:r>
          </w:p>
        </w:tc>
        <w:tc>
          <w:tcPr>
            <w:tcW w:w="440" w:type="dxa"/>
            <w:vAlign w:val="bottom"/>
            <w:tcBorders>
              <w:top w:val="single" w:sz="8" w:color="auto"/>
              <w:bottom w:val="single" w:sz="8" w:color="auto"/>
            </w:tcBorders>
            <w:gridSpan w:val="2"/>
          </w:tcPr>
          <w:p>
            <w:pPr>
              <w:ind w:left="40"/>
              <w:spacing w:after="0" w:line="88" w:lineRule="exact"/>
              <w:rPr>
                <w:sz w:val="20"/>
                <w:szCs w:val="20"/>
                <w:color w:val="auto"/>
              </w:rPr>
            </w:pPr>
            <w:r>
              <w:rPr>
                <w:rFonts w:ascii="Arial" w:cs="Arial" w:eastAsia="Arial" w:hAnsi="Arial"/>
                <w:sz w:val="9"/>
                <w:szCs w:val="9"/>
                <w:b w:val="1"/>
                <w:bCs w:val="1"/>
                <w:color w:val="auto"/>
                <w:w w:val="89"/>
              </w:rPr>
              <w:t>8,936,015</w:t>
            </w:r>
          </w:p>
        </w:tc>
        <w:tc>
          <w:tcPr>
            <w:tcW w:w="440" w:type="dxa"/>
            <w:vAlign w:val="bottom"/>
            <w:tcBorders>
              <w:top w:val="single" w:sz="8" w:color="auto"/>
              <w:bottom w:val="single" w:sz="8" w:color="auto"/>
            </w:tcBorders>
            <w:gridSpan w:val="2"/>
          </w:tcPr>
          <w:p>
            <w:pPr>
              <w:jc w:val="center"/>
              <w:ind w:right="20"/>
              <w:spacing w:after="0" w:line="88" w:lineRule="exact"/>
              <w:rPr>
                <w:sz w:val="20"/>
                <w:szCs w:val="20"/>
                <w:color w:val="auto"/>
              </w:rPr>
            </w:pPr>
            <w:r>
              <w:rPr>
                <w:rFonts w:ascii="Arial" w:cs="Arial" w:eastAsia="Arial" w:hAnsi="Arial"/>
                <w:sz w:val="9"/>
                <w:szCs w:val="9"/>
                <w:b w:val="1"/>
                <w:bCs w:val="1"/>
                <w:u w:val="single" w:color="auto"/>
                <w:color w:val="auto"/>
                <w:w w:val="88"/>
              </w:rPr>
              <w:t>$</w:t>
            </w:r>
            <w:r>
              <w:rPr>
                <w:rFonts w:ascii="Arial" w:cs="Arial" w:eastAsia="Arial" w:hAnsi="Arial"/>
                <w:sz w:val="9"/>
                <w:szCs w:val="9"/>
                <w:b w:val="1"/>
                <w:bCs w:val="1"/>
                <w:color w:val="auto"/>
                <w:w w:val="88"/>
              </w:rPr>
              <w:t xml:space="preserve"> 3,865,155</w:t>
            </w:r>
          </w:p>
        </w:tc>
        <w:tc>
          <w:tcPr>
            <w:tcW w:w="440" w:type="dxa"/>
            <w:vAlign w:val="bottom"/>
            <w:tcBorders>
              <w:top w:val="single" w:sz="8" w:color="auto"/>
              <w:bottom w:val="single" w:sz="8" w:color="auto"/>
            </w:tcBorders>
            <w:gridSpan w:val="2"/>
          </w:tcPr>
          <w:p>
            <w:pPr>
              <w:ind w:left="40"/>
              <w:spacing w:after="0" w:line="88" w:lineRule="exact"/>
              <w:rPr>
                <w:sz w:val="20"/>
                <w:szCs w:val="20"/>
                <w:color w:val="auto"/>
              </w:rPr>
            </w:pPr>
            <w:r>
              <w:rPr>
                <w:rFonts w:ascii="Arial" w:cs="Arial" w:eastAsia="Arial" w:hAnsi="Arial"/>
                <w:sz w:val="9"/>
                <w:szCs w:val="9"/>
                <w:b w:val="1"/>
                <w:bCs w:val="1"/>
                <w:color w:val="auto"/>
                <w:w w:val="89"/>
              </w:rPr>
              <w:t>4,653,583</w:t>
            </w:r>
          </w:p>
        </w:tc>
        <w:tc>
          <w:tcPr>
            <w:tcW w:w="440" w:type="dxa"/>
            <w:vAlign w:val="bottom"/>
            <w:tcBorders>
              <w:top w:val="single" w:sz="8" w:color="auto"/>
              <w:bottom w:val="single" w:sz="8" w:color="auto"/>
            </w:tcBorders>
            <w:gridSpan w:val="2"/>
          </w:tcPr>
          <w:p>
            <w:pPr>
              <w:jc w:val="center"/>
              <w:ind w:right="20"/>
              <w:spacing w:after="0" w:line="88" w:lineRule="exact"/>
              <w:rPr>
                <w:sz w:val="20"/>
                <w:szCs w:val="20"/>
                <w:color w:val="auto"/>
              </w:rPr>
            </w:pPr>
            <w:r>
              <w:rPr>
                <w:rFonts w:ascii="Arial" w:cs="Arial" w:eastAsia="Arial" w:hAnsi="Arial"/>
                <w:sz w:val="9"/>
                <w:szCs w:val="9"/>
                <w:b w:val="1"/>
                <w:bCs w:val="1"/>
                <w:u w:val="single" w:color="auto"/>
                <w:color w:val="auto"/>
                <w:w w:val="88"/>
              </w:rPr>
              <w:t>$</w:t>
            </w:r>
            <w:r>
              <w:rPr>
                <w:rFonts w:ascii="Arial" w:cs="Arial" w:eastAsia="Arial" w:hAnsi="Arial"/>
                <w:sz w:val="9"/>
                <w:szCs w:val="9"/>
                <w:b w:val="1"/>
                <w:bCs w:val="1"/>
                <w:color w:val="auto"/>
                <w:w w:val="88"/>
              </w:rPr>
              <w:t xml:space="preserve"> 9,441,770</w:t>
            </w:r>
          </w:p>
        </w:tc>
        <w:tc>
          <w:tcPr>
            <w:tcW w:w="260" w:type="dxa"/>
            <w:vAlign w:val="bottom"/>
            <w:tcBorders>
              <w:top w:val="single" w:sz="8" w:color="auto"/>
              <w:bottom w:val="single" w:sz="8" w:color="auto"/>
            </w:tcBorders>
            <w:gridSpan w:val="2"/>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20" w:type="dxa"/>
            <w:vAlign w:val="bottom"/>
          </w:tcPr>
          <w:p>
            <w:pPr>
              <w:spacing w:after="0"/>
              <w:rPr>
                <w:sz w:val="8"/>
                <w:szCs w:val="8"/>
                <w:color w:val="auto"/>
              </w:rPr>
            </w:pPr>
          </w:p>
        </w:tc>
        <w:tc>
          <w:tcPr>
            <w:tcW w:w="240" w:type="dxa"/>
            <w:vAlign w:val="bottom"/>
            <w:tcBorders>
              <w:top w:val="single" w:sz="8" w:color="auto"/>
              <w:bottom w:val="single" w:sz="8" w:color="auto"/>
            </w:tcBorders>
          </w:tcPr>
          <w:p>
            <w:pPr>
              <w:jc w:val="center"/>
              <w:ind w:right="154"/>
              <w:spacing w:after="0" w:line="88" w:lineRule="exact"/>
              <w:rPr>
                <w:sz w:val="20"/>
                <w:szCs w:val="20"/>
                <w:color w:val="auto"/>
              </w:rPr>
            </w:pPr>
            <w:r>
              <w:rPr>
                <w:rFonts w:ascii="Arial" w:cs="Arial" w:eastAsia="Arial" w:hAnsi="Arial"/>
                <w:sz w:val="9"/>
                <w:szCs w:val="9"/>
                <w:b w:val="1"/>
                <w:bCs w:val="1"/>
                <w:color w:val="auto"/>
                <w:w w:val="78"/>
              </w:rPr>
              <w:t>$</w:t>
            </w:r>
          </w:p>
        </w:tc>
        <w:tc>
          <w:tcPr>
            <w:tcW w:w="80" w:type="dxa"/>
            <w:vAlign w:val="bottom"/>
            <w:tcBorders>
              <w:top w:val="single" w:sz="8" w:color="auto"/>
              <w:bottom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20" w:type="dxa"/>
            <w:vAlign w:val="bottom"/>
          </w:tcPr>
          <w:p>
            <w:pPr>
              <w:spacing w:after="0"/>
              <w:rPr>
                <w:sz w:val="8"/>
                <w:szCs w:val="8"/>
                <w:color w:val="auto"/>
              </w:rPr>
            </w:pPr>
          </w:p>
        </w:tc>
        <w:tc>
          <w:tcPr>
            <w:tcW w:w="440" w:type="dxa"/>
            <w:vAlign w:val="bottom"/>
            <w:tcBorders>
              <w:top w:val="single" w:sz="8" w:color="auto"/>
              <w:bottom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93"/>
              </w:rPr>
              <w:t>10,189,000</w:t>
            </w: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320" w:type="dxa"/>
            <w:vAlign w:val="bottom"/>
            <w:tcBorders>
              <w:top w:val="single" w:sz="8" w:color="auto"/>
              <w:bottom w:val="single" w:sz="8" w:color="auto"/>
            </w:tcBorders>
            <w:gridSpan w:val="3"/>
          </w:tcPr>
          <w:p>
            <w:pPr>
              <w:spacing w:after="0" w:line="88" w:lineRule="exact"/>
              <w:rPr>
                <w:sz w:val="20"/>
                <w:szCs w:val="20"/>
                <w:color w:val="auto"/>
              </w:rPr>
            </w:pPr>
            <w:r>
              <w:rPr>
                <w:rFonts w:ascii="Arial" w:cs="Arial" w:eastAsia="Arial" w:hAnsi="Arial"/>
                <w:sz w:val="9"/>
                <w:szCs w:val="9"/>
                <w:b w:val="1"/>
                <w:bCs w:val="1"/>
                <w:color w:val="auto"/>
                <w:w w:val="85"/>
              </w:rPr>
              <w:t>$ 10,189</w:t>
            </w:r>
          </w:p>
        </w:tc>
        <w:tc>
          <w:tcPr>
            <w:tcW w:w="40" w:type="dxa"/>
            <w:vAlign w:val="bottom"/>
          </w:tcPr>
          <w:p>
            <w:pPr>
              <w:spacing w:after="0"/>
              <w:rPr>
                <w:sz w:val="8"/>
                <w:szCs w:val="8"/>
                <w:color w:val="auto"/>
              </w:rPr>
            </w:pPr>
          </w:p>
        </w:tc>
        <w:tc>
          <w:tcPr>
            <w:tcW w:w="440" w:type="dxa"/>
            <w:vAlign w:val="bottom"/>
            <w:tcBorders>
              <w:top w:val="single" w:sz="8" w:color="auto"/>
              <w:bottom w:val="single" w:sz="8" w:color="auto"/>
            </w:tcBorders>
            <w:gridSpan w:val="2"/>
          </w:tcPr>
          <w:p>
            <w:pPr>
              <w:jc w:val="right"/>
              <w:spacing w:after="0" w:line="88" w:lineRule="exact"/>
              <w:rPr>
                <w:sz w:val="20"/>
                <w:szCs w:val="20"/>
                <w:color w:val="auto"/>
              </w:rPr>
            </w:pPr>
            <w:r>
              <w:rPr>
                <w:rFonts w:ascii="Arial" w:cs="Arial" w:eastAsia="Arial" w:hAnsi="Arial"/>
                <w:sz w:val="9"/>
                <w:szCs w:val="9"/>
                <w:b w:val="1"/>
                <w:bCs w:val="1"/>
                <w:u w:val="single" w:color="auto"/>
                <w:color w:val="auto"/>
                <w:w w:val="84"/>
              </w:rPr>
              <w:t>$</w:t>
            </w:r>
            <w:r>
              <w:rPr>
                <w:rFonts w:ascii="Arial" w:cs="Arial" w:eastAsia="Arial" w:hAnsi="Arial"/>
                <w:sz w:val="9"/>
                <w:szCs w:val="9"/>
                <w:b w:val="1"/>
                <w:bCs w:val="1"/>
                <w:color w:val="auto"/>
                <w:w w:val="84"/>
              </w:rPr>
              <w:t xml:space="preserve"> 2,718,770</w:t>
            </w:r>
          </w:p>
        </w:tc>
        <w:tc>
          <w:tcPr>
            <w:tcW w:w="20" w:type="dxa"/>
            <w:vAlign w:val="bottom"/>
          </w:tcPr>
          <w:p>
            <w:pPr>
              <w:spacing w:after="0"/>
              <w:rPr>
                <w:sz w:val="8"/>
                <w:szCs w:val="8"/>
                <w:color w:val="auto"/>
              </w:rPr>
            </w:pPr>
          </w:p>
        </w:tc>
        <w:tc>
          <w:tcPr>
            <w:tcW w:w="100" w:type="dxa"/>
            <w:vAlign w:val="bottom"/>
            <w:tcBorders>
              <w:top w:val="single" w:sz="8" w:color="auto"/>
              <w:bottom w:val="single" w:sz="8" w:color="auto"/>
            </w:tcBorders>
            <w:gridSpan w:val="2"/>
          </w:tcPr>
          <w:p>
            <w:pPr>
              <w:jc w:val="right"/>
              <w:ind w:right="14"/>
              <w:spacing w:after="0"/>
              <w:rPr>
                <w:sz w:val="20"/>
                <w:szCs w:val="20"/>
                <w:color w:val="auto"/>
              </w:rPr>
            </w:pPr>
            <w:r>
              <w:rPr>
                <w:rFonts w:ascii="Arial" w:cs="Arial" w:eastAsia="Arial" w:hAnsi="Arial"/>
                <w:sz w:val="5"/>
                <w:szCs w:val="5"/>
                <w:b w:val="1"/>
                <w:bCs w:val="1"/>
                <w:color w:val="auto"/>
                <w:w w:val="70"/>
              </w:rPr>
              <w:t>$</w:t>
            </w:r>
          </w:p>
        </w:tc>
        <w:tc>
          <w:tcPr>
            <w:tcW w:w="460" w:type="dxa"/>
            <w:vAlign w:val="bottom"/>
            <w:tcBorders>
              <w:top w:val="single" w:sz="8" w:color="auto"/>
              <w:bottom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91"/>
              </w:rPr>
              <w:t>(58,707,798</w:t>
            </w:r>
          </w:p>
        </w:tc>
        <w:tc>
          <w:tcPr>
            <w:tcW w:w="80" w:type="dxa"/>
            <w:vAlign w:val="bottom"/>
          </w:tcPr>
          <w:p>
            <w:pPr>
              <w:jc w:val="right"/>
              <w:spacing w:after="0" w:line="88" w:lineRule="exact"/>
              <w:rPr>
                <w:sz w:val="20"/>
                <w:szCs w:val="20"/>
                <w:color w:val="auto"/>
              </w:rPr>
            </w:pPr>
            <w:r>
              <w:rPr>
                <w:rFonts w:ascii="Arial" w:cs="Arial" w:eastAsia="Arial" w:hAnsi="Arial"/>
                <w:sz w:val="8"/>
                <w:szCs w:val="8"/>
                <w:b w:val="1"/>
                <w:bCs w:val="1"/>
                <w:color w:val="auto"/>
                <w:w w:val="73"/>
              </w:rPr>
              <w:t>)</w:t>
            </w:r>
          </w:p>
        </w:tc>
        <w:tc>
          <w:tcPr>
            <w:tcW w:w="60" w:type="dxa"/>
            <w:vAlign w:val="bottom"/>
            <w:tcBorders>
              <w:top w:val="single" w:sz="8" w:color="auto"/>
              <w:bottom w:val="single" w:sz="8" w:color="auto"/>
            </w:tcBorders>
          </w:tcPr>
          <w:p>
            <w:pPr>
              <w:spacing w:after="0" w:line="88" w:lineRule="exact"/>
              <w:rPr>
                <w:sz w:val="20"/>
                <w:szCs w:val="20"/>
                <w:color w:val="auto"/>
              </w:rPr>
            </w:pPr>
            <w:r>
              <w:rPr>
                <w:rFonts w:ascii="Arial" w:cs="Arial" w:eastAsia="Arial" w:hAnsi="Arial"/>
                <w:sz w:val="9"/>
                <w:szCs w:val="9"/>
                <w:b w:val="1"/>
                <w:bCs w:val="1"/>
                <w:color w:val="auto"/>
                <w:w w:val="78"/>
              </w:rPr>
              <w:t>$</w:t>
            </w:r>
          </w:p>
        </w:tc>
        <w:tc>
          <w:tcPr>
            <w:tcW w:w="500" w:type="dxa"/>
            <w:vAlign w:val="bottom"/>
            <w:tcBorders>
              <w:top w:val="single" w:sz="8" w:color="auto"/>
              <w:bottom w:val="single" w:sz="8" w:color="auto"/>
            </w:tcBorders>
            <w:gridSpan w:val="2"/>
          </w:tcPr>
          <w:p>
            <w:pPr>
              <w:jc w:val="right"/>
              <w:spacing w:after="0" w:line="88" w:lineRule="exact"/>
              <w:rPr>
                <w:sz w:val="20"/>
                <w:szCs w:val="20"/>
                <w:color w:val="auto"/>
              </w:rPr>
            </w:pPr>
            <w:r>
              <w:rPr>
                <w:rFonts w:ascii="Arial" w:cs="Arial" w:eastAsia="Arial" w:hAnsi="Arial"/>
                <w:sz w:val="9"/>
                <w:szCs w:val="9"/>
                <w:b w:val="1"/>
                <w:bCs w:val="1"/>
                <w:color w:val="auto"/>
                <w:w w:val="99"/>
              </w:rPr>
              <w:t>(55,978,839</w:t>
            </w:r>
          </w:p>
        </w:tc>
        <w:tc>
          <w:tcPr>
            <w:tcW w:w="40" w:type="dxa"/>
            <w:vAlign w:val="bottom"/>
          </w:tcPr>
          <w:p>
            <w:pPr>
              <w:jc w:val="right"/>
              <w:spacing w:after="0" w:line="88" w:lineRule="exact"/>
              <w:rPr>
                <w:sz w:val="20"/>
                <w:szCs w:val="20"/>
                <w:color w:val="auto"/>
              </w:rPr>
            </w:pPr>
            <w:r>
              <w:rPr>
                <w:rFonts w:ascii="Arial" w:cs="Arial" w:eastAsia="Arial" w:hAnsi="Arial"/>
                <w:sz w:val="8"/>
                <w:szCs w:val="8"/>
                <w:b w:val="1"/>
                <w:bCs w:val="1"/>
                <w:color w:val="auto"/>
                <w:w w:val="73"/>
              </w:rPr>
              <w:t>)</w:t>
            </w:r>
          </w:p>
        </w:tc>
        <w:tc>
          <w:tcPr>
            <w:tcW w:w="0" w:type="dxa"/>
            <w:vAlign w:val="bottom"/>
          </w:tcPr>
          <w:p>
            <w:pPr>
              <w:spacing w:after="0"/>
              <w:rPr>
                <w:sz w:val="1"/>
                <w:szCs w:val="1"/>
                <w:color w:val="auto"/>
              </w:rPr>
            </w:pPr>
          </w:p>
        </w:tc>
      </w:tr>
      <w:tr>
        <w:trPr>
          <w:trHeight w:val="241"/>
        </w:trPr>
        <w:tc>
          <w:tcPr>
            <w:tcW w:w="2140" w:type="dxa"/>
            <w:vAlign w:val="bottom"/>
          </w:tcPr>
          <w:p>
            <w:pPr>
              <w:spacing w:after="0"/>
              <w:rPr>
                <w:sz w:val="20"/>
                <w:szCs w:val="20"/>
                <w:color w:val="auto"/>
              </w:rPr>
            </w:pPr>
          </w:p>
        </w:tc>
        <w:tc>
          <w:tcPr>
            <w:tcW w:w="940" w:type="dxa"/>
            <w:vAlign w:val="bottom"/>
            <w:gridSpan w:val="4"/>
          </w:tcPr>
          <w:p>
            <w:pPr>
              <w:jc w:val="center"/>
              <w:ind w:right="60"/>
              <w:spacing w:after="0"/>
              <w:rPr>
                <w:sz w:val="20"/>
                <w:szCs w:val="20"/>
                <w:color w:val="auto"/>
              </w:rPr>
            </w:pPr>
            <w:r>
              <w:rPr>
                <w:rFonts w:ascii="Arial" w:cs="Arial" w:eastAsia="Arial" w:hAnsi="Arial"/>
                <w:sz w:val="9"/>
                <w:szCs w:val="9"/>
                <w:b w:val="1"/>
                <w:bCs w:val="1"/>
                <w:color w:val="auto"/>
                <w:w w:val="85"/>
              </w:rPr>
              <w:t>Series m</w:t>
            </w:r>
          </w:p>
        </w:tc>
        <w:tc>
          <w:tcPr>
            <w:tcW w:w="880" w:type="dxa"/>
            <w:vAlign w:val="bottom"/>
            <w:gridSpan w:val="4"/>
          </w:tcPr>
          <w:p>
            <w:pPr>
              <w:jc w:val="center"/>
              <w:ind w:right="100"/>
              <w:spacing w:after="0"/>
              <w:rPr>
                <w:sz w:val="20"/>
                <w:szCs w:val="20"/>
                <w:color w:val="auto"/>
              </w:rPr>
            </w:pPr>
            <w:r>
              <w:rPr>
                <w:rFonts w:ascii="Arial" w:cs="Arial" w:eastAsia="Arial" w:hAnsi="Arial"/>
                <w:sz w:val="9"/>
                <w:szCs w:val="9"/>
                <w:b w:val="1"/>
                <w:bCs w:val="1"/>
                <w:color w:val="auto"/>
                <w:w w:val="92"/>
              </w:rPr>
              <w:t>Series m-2</w:t>
            </w:r>
          </w:p>
        </w:tc>
        <w:tc>
          <w:tcPr>
            <w:tcW w:w="680" w:type="dxa"/>
            <w:vAlign w:val="bottom"/>
            <w:gridSpan w:val="4"/>
          </w:tcPr>
          <w:p>
            <w:pPr>
              <w:jc w:val="center"/>
              <w:ind w:right="100"/>
              <w:spacing w:after="0"/>
              <w:rPr>
                <w:sz w:val="20"/>
                <w:szCs w:val="20"/>
                <w:color w:val="auto"/>
              </w:rPr>
            </w:pPr>
            <w:r>
              <w:rPr>
                <w:rFonts w:ascii="Arial" w:cs="Arial" w:eastAsia="Arial" w:hAnsi="Arial"/>
                <w:sz w:val="9"/>
                <w:szCs w:val="9"/>
                <w:b w:val="1"/>
                <w:bCs w:val="1"/>
                <w:color w:val="auto"/>
                <w:w w:val="92"/>
              </w:rPr>
              <w:t>Series m-3</w:t>
            </w:r>
          </w:p>
        </w:tc>
        <w:tc>
          <w:tcPr>
            <w:tcW w:w="880" w:type="dxa"/>
            <w:vAlign w:val="bottom"/>
            <w:gridSpan w:val="5"/>
          </w:tcPr>
          <w:p>
            <w:pPr>
              <w:jc w:val="right"/>
              <w:ind w:right="300"/>
              <w:spacing w:after="0"/>
              <w:rPr>
                <w:sz w:val="20"/>
                <w:szCs w:val="20"/>
                <w:color w:val="auto"/>
              </w:rPr>
            </w:pPr>
            <w:r>
              <w:rPr>
                <w:rFonts w:ascii="Arial" w:cs="Arial" w:eastAsia="Arial" w:hAnsi="Arial"/>
                <w:sz w:val="9"/>
                <w:szCs w:val="9"/>
                <w:b w:val="1"/>
                <w:bCs w:val="1"/>
                <w:color w:val="auto"/>
              </w:rPr>
              <w:t>Series m-4</w:t>
            </w:r>
          </w:p>
        </w:tc>
        <w:tc>
          <w:tcPr>
            <w:tcW w:w="920" w:type="dxa"/>
            <w:vAlign w:val="bottom"/>
            <w:gridSpan w:val="5"/>
          </w:tcPr>
          <w:p>
            <w:pPr>
              <w:jc w:val="right"/>
              <w:ind w:right="360"/>
              <w:spacing w:after="0"/>
              <w:rPr>
                <w:sz w:val="20"/>
                <w:szCs w:val="20"/>
                <w:color w:val="auto"/>
              </w:rPr>
            </w:pPr>
            <w:r>
              <w:rPr>
                <w:rFonts w:ascii="Arial" w:cs="Arial" w:eastAsia="Arial" w:hAnsi="Arial"/>
                <w:sz w:val="9"/>
                <w:szCs w:val="9"/>
                <w:b w:val="1"/>
                <w:bCs w:val="1"/>
                <w:color w:val="auto"/>
              </w:rPr>
              <w:t>Series S</w:t>
            </w:r>
          </w:p>
        </w:tc>
        <w:tc>
          <w:tcPr>
            <w:tcW w:w="880" w:type="dxa"/>
            <w:vAlign w:val="bottom"/>
            <w:gridSpan w:val="4"/>
          </w:tcPr>
          <w:p>
            <w:pPr>
              <w:jc w:val="center"/>
              <w:ind w:right="120"/>
              <w:spacing w:after="0"/>
              <w:rPr>
                <w:sz w:val="20"/>
                <w:szCs w:val="20"/>
                <w:color w:val="auto"/>
              </w:rPr>
            </w:pPr>
            <w:r>
              <w:rPr>
                <w:rFonts w:ascii="Arial" w:cs="Arial" w:eastAsia="Arial" w:hAnsi="Arial"/>
                <w:sz w:val="9"/>
                <w:szCs w:val="9"/>
                <w:b w:val="1"/>
                <w:bCs w:val="1"/>
                <w:color w:val="auto"/>
                <w:w w:val="88"/>
              </w:rPr>
              <w:t>Series A</w:t>
            </w:r>
          </w:p>
        </w:tc>
        <w:tc>
          <w:tcPr>
            <w:tcW w:w="880" w:type="dxa"/>
            <w:vAlign w:val="bottom"/>
            <w:gridSpan w:val="4"/>
          </w:tcPr>
          <w:p>
            <w:pPr>
              <w:ind w:left="220"/>
              <w:spacing w:after="0"/>
              <w:rPr>
                <w:sz w:val="20"/>
                <w:szCs w:val="20"/>
                <w:color w:val="auto"/>
              </w:rPr>
            </w:pPr>
            <w:r>
              <w:rPr>
                <w:rFonts w:ascii="Arial" w:cs="Arial" w:eastAsia="Arial" w:hAnsi="Arial"/>
                <w:sz w:val="9"/>
                <w:szCs w:val="9"/>
                <w:b w:val="1"/>
                <w:bCs w:val="1"/>
                <w:color w:val="auto"/>
              </w:rPr>
              <w:t>Series B</w:t>
            </w:r>
          </w:p>
        </w:tc>
        <w:tc>
          <w:tcPr>
            <w:tcW w:w="520" w:type="dxa"/>
            <w:vAlign w:val="bottom"/>
            <w:gridSpan w:val="4"/>
          </w:tcPr>
          <w:p>
            <w:pPr>
              <w:jc w:val="center"/>
              <w:ind w:left="14"/>
              <w:spacing w:after="0"/>
              <w:rPr>
                <w:sz w:val="20"/>
                <w:szCs w:val="20"/>
                <w:color w:val="auto"/>
              </w:rPr>
            </w:pPr>
            <w:r>
              <w:rPr>
                <w:rFonts w:ascii="Arial" w:cs="Arial" w:eastAsia="Arial" w:hAnsi="Arial"/>
                <w:sz w:val="9"/>
                <w:szCs w:val="9"/>
                <w:b w:val="1"/>
                <w:bCs w:val="1"/>
                <w:color w:val="auto"/>
                <w:w w:val="90"/>
              </w:rPr>
              <w:t>Class A</w:t>
            </w:r>
          </w:p>
        </w:tc>
        <w:tc>
          <w:tcPr>
            <w:tcW w:w="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640" w:type="dxa"/>
            <w:vAlign w:val="bottom"/>
            <w:gridSpan w:val="4"/>
          </w:tcPr>
          <w:p>
            <w:pPr>
              <w:jc w:val="center"/>
              <w:ind w:left="114"/>
              <w:spacing w:after="0"/>
              <w:rPr>
                <w:sz w:val="20"/>
                <w:szCs w:val="20"/>
                <w:color w:val="auto"/>
              </w:rPr>
            </w:pPr>
            <w:r>
              <w:rPr>
                <w:rFonts w:ascii="Arial" w:cs="Arial" w:eastAsia="Arial" w:hAnsi="Arial"/>
                <w:sz w:val="9"/>
                <w:szCs w:val="9"/>
                <w:b w:val="1"/>
                <w:bCs w:val="1"/>
                <w:color w:val="auto"/>
                <w:w w:val="84"/>
              </w:rPr>
              <w:t>Class B</w:t>
            </w:r>
          </w:p>
        </w:tc>
        <w:tc>
          <w:tcPr>
            <w:tcW w:w="1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46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940" w:type="dxa"/>
            <w:vAlign w:val="bottom"/>
            <w:gridSpan w:val="4"/>
          </w:tcPr>
          <w:p>
            <w:pPr>
              <w:ind w:left="240"/>
              <w:spacing w:after="0" w:line="98" w:lineRule="exact"/>
              <w:rPr>
                <w:sz w:val="20"/>
                <w:szCs w:val="20"/>
                <w:color w:val="auto"/>
              </w:rPr>
            </w:pPr>
            <w:r>
              <w:rPr>
                <w:rFonts w:ascii="Arial" w:cs="Arial" w:eastAsia="Arial" w:hAnsi="Arial"/>
                <w:sz w:val="9"/>
                <w:szCs w:val="9"/>
                <w:b w:val="1"/>
                <w:bCs w:val="1"/>
                <w:color w:val="auto"/>
              </w:rPr>
              <w:t>Preferred</w:t>
            </w:r>
          </w:p>
        </w:tc>
        <w:tc>
          <w:tcPr>
            <w:tcW w:w="880" w:type="dxa"/>
            <w:vAlign w:val="bottom"/>
            <w:gridSpan w:val="4"/>
          </w:tcPr>
          <w:p>
            <w:pPr>
              <w:jc w:val="center"/>
              <w:ind w:right="100"/>
              <w:spacing w:after="0" w:line="98" w:lineRule="exact"/>
              <w:rPr>
                <w:sz w:val="20"/>
                <w:szCs w:val="20"/>
                <w:color w:val="auto"/>
              </w:rPr>
            </w:pPr>
            <w:r>
              <w:rPr>
                <w:rFonts w:ascii="Arial" w:cs="Arial" w:eastAsia="Arial" w:hAnsi="Arial"/>
                <w:sz w:val="9"/>
                <w:szCs w:val="9"/>
                <w:b w:val="1"/>
                <w:bCs w:val="1"/>
                <w:color w:val="auto"/>
                <w:w w:val="94"/>
              </w:rPr>
              <w:t>Preferred</w:t>
            </w:r>
          </w:p>
        </w:tc>
        <w:tc>
          <w:tcPr>
            <w:tcW w:w="680" w:type="dxa"/>
            <w:vAlign w:val="bottom"/>
            <w:gridSpan w:val="4"/>
          </w:tcPr>
          <w:p>
            <w:pPr>
              <w:jc w:val="center"/>
              <w:ind w:right="100"/>
              <w:spacing w:after="0" w:line="98" w:lineRule="exact"/>
              <w:rPr>
                <w:sz w:val="20"/>
                <w:szCs w:val="20"/>
                <w:color w:val="auto"/>
              </w:rPr>
            </w:pPr>
            <w:r>
              <w:rPr>
                <w:rFonts w:ascii="Arial" w:cs="Arial" w:eastAsia="Arial" w:hAnsi="Arial"/>
                <w:sz w:val="9"/>
                <w:szCs w:val="9"/>
                <w:b w:val="1"/>
                <w:bCs w:val="1"/>
                <w:color w:val="auto"/>
                <w:w w:val="94"/>
              </w:rPr>
              <w:t>Preferred</w:t>
            </w:r>
          </w:p>
        </w:tc>
        <w:tc>
          <w:tcPr>
            <w:tcW w:w="880" w:type="dxa"/>
            <w:vAlign w:val="bottom"/>
            <w:gridSpan w:val="5"/>
          </w:tcPr>
          <w:p>
            <w:pPr>
              <w:jc w:val="right"/>
              <w:ind w:right="320"/>
              <w:spacing w:after="0" w:line="98" w:lineRule="exact"/>
              <w:rPr>
                <w:sz w:val="20"/>
                <w:szCs w:val="20"/>
                <w:color w:val="auto"/>
              </w:rPr>
            </w:pPr>
            <w:r>
              <w:rPr>
                <w:rFonts w:ascii="Arial" w:cs="Arial" w:eastAsia="Arial" w:hAnsi="Arial"/>
                <w:sz w:val="9"/>
                <w:szCs w:val="9"/>
                <w:b w:val="1"/>
                <w:bCs w:val="1"/>
                <w:color w:val="auto"/>
              </w:rPr>
              <w:t>Preferred</w:t>
            </w:r>
          </w:p>
        </w:tc>
        <w:tc>
          <w:tcPr>
            <w:tcW w:w="920" w:type="dxa"/>
            <w:vAlign w:val="bottom"/>
            <w:gridSpan w:val="5"/>
          </w:tcPr>
          <w:p>
            <w:pPr>
              <w:jc w:val="right"/>
              <w:ind w:right="320"/>
              <w:spacing w:after="0" w:line="98" w:lineRule="exact"/>
              <w:rPr>
                <w:sz w:val="20"/>
                <w:szCs w:val="20"/>
                <w:color w:val="auto"/>
              </w:rPr>
            </w:pPr>
            <w:r>
              <w:rPr>
                <w:rFonts w:ascii="Arial" w:cs="Arial" w:eastAsia="Arial" w:hAnsi="Arial"/>
                <w:sz w:val="9"/>
                <w:szCs w:val="9"/>
                <w:b w:val="1"/>
                <w:bCs w:val="1"/>
                <w:color w:val="auto"/>
              </w:rPr>
              <w:t>Preferred</w:t>
            </w:r>
          </w:p>
        </w:tc>
        <w:tc>
          <w:tcPr>
            <w:tcW w:w="880" w:type="dxa"/>
            <w:vAlign w:val="bottom"/>
            <w:gridSpan w:val="4"/>
          </w:tcPr>
          <w:p>
            <w:pPr>
              <w:jc w:val="center"/>
              <w:ind w:right="100"/>
              <w:spacing w:after="0" w:line="98" w:lineRule="exact"/>
              <w:rPr>
                <w:sz w:val="20"/>
                <w:szCs w:val="20"/>
                <w:color w:val="auto"/>
              </w:rPr>
            </w:pPr>
            <w:r>
              <w:rPr>
                <w:rFonts w:ascii="Arial" w:cs="Arial" w:eastAsia="Arial" w:hAnsi="Arial"/>
                <w:sz w:val="9"/>
                <w:szCs w:val="9"/>
                <w:b w:val="1"/>
                <w:bCs w:val="1"/>
                <w:color w:val="auto"/>
                <w:w w:val="94"/>
              </w:rPr>
              <w:t>Preferred</w:t>
            </w:r>
          </w:p>
        </w:tc>
        <w:tc>
          <w:tcPr>
            <w:tcW w:w="880" w:type="dxa"/>
            <w:vAlign w:val="bottom"/>
            <w:gridSpan w:val="4"/>
          </w:tcPr>
          <w:p>
            <w:pPr>
              <w:jc w:val="center"/>
              <w:ind w:right="100"/>
              <w:spacing w:after="0" w:line="98" w:lineRule="exact"/>
              <w:rPr>
                <w:sz w:val="20"/>
                <w:szCs w:val="20"/>
                <w:color w:val="auto"/>
              </w:rPr>
            </w:pPr>
            <w:r>
              <w:rPr>
                <w:rFonts w:ascii="Arial" w:cs="Arial" w:eastAsia="Arial" w:hAnsi="Arial"/>
                <w:sz w:val="9"/>
                <w:szCs w:val="9"/>
                <w:b w:val="1"/>
                <w:bCs w:val="1"/>
                <w:color w:val="auto"/>
                <w:w w:val="94"/>
              </w:rPr>
              <w:t>Preferred</w:t>
            </w:r>
          </w:p>
        </w:tc>
        <w:tc>
          <w:tcPr>
            <w:tcW w:w="520" w:type="dxa"/>
            <w:vAlign w:val="bottom"/>
            <w:gridSpan w:val="4"/>
          </w:tcPr>
          <w:p>
            <w:pPr>
              <w:jc w:val="center"/>
              <w:ind w:left="14"/>
              <w:spacing w:after="0" w:line="98" w:lineRule="exact"/>
              <w:rPr>
                <w:sz w:val="20"/>
                <w:szCs w:val="20"/>
                <w:color w:val="auto"/>
              </w:rPr>
            </w:pPr>
            <w:r>
              <w:rPr>
                <w:rFonts w:ascii="Arial" w:cs="Arial" w:eastAsia="Arial" w:hAnsi="Arial"/>
                <w:sz w:val="9"/>
                <w:szCs w:val="9"/>
                <w:b w:val="1"/>
                <w:bCs w:val="1"/>
                <w:color w:val="auto"/>
                <w:w w:val="90"/>
              </w:rPr>
              <w:t>common</w:t>
            </w: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640" w:type="dxa"/>
            <w:vAlign w:val="bottom"/>
            <w:gridSpan w:val="4"/>
          </w:tcPr>
          <w:p>
            <w:pPr>
              <w:jc w:val="center"/>
              <w:ind w:left="94"/>
              <w:spacing w:after="0" w:line="98" w:lineRule="exact"/>
              <w:rPr>
                <w:sz w:val="20"/>
                <w:szCs w:val="20"/>
                <w:color w:val="auto"/>
              </w:rPr>
            </w:pPr>
            <w:r>
              <w:rPr>
                <w:rFonts w:ascii="Arial" w:cs="Arial" w:eastAsia="Arial" w:hAnsi="Arial"/>
                <w:sz w:val="9"/>
                <w:szCs w:val="9"/>
                <w:b w:val="1"/>
                <w:bCs w:val="1"/>
                <w:color w:val="auto"/>
                <w:w w:val="90"/>
              </w:rPr>
              <w:t>common</w:t>
            </w: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11"/>
        </w:trPr>
        <w:tc>
          <w:tcPr>
            <w:tcW w:w="2140" w:type="dxa"/>
            <w:vAlign w:val="bottom"/>
          </w:tcPr>
          <w:p>
            <w:pPr>
              <w:spacing w:after="0"/>
              <w:rPr>
                <w:sz w:val="9"/>
                <w:szCs w:val="9"/>
                <w:color w:val="auto"/>
              </w:rPr>
            </w:pPr>
          </w:p>
        </w:tc>
        <w:tc>
          <w:tcPr>
            <w:tcW w:w="940" w:type="dxa"/>
            <w:vAlign w:val="bottom"/>
            <w:gridSpan w:val="4"/>
          </w:tcPr>
          <w:p>
            <w:pPr>
              <w:jc w:val="center"/>
              <w:ind w:right="60"/>
              <w:spacing w:after="0"/>
              <w:rPr>
                <w:sz w:val="20"/>
                <w:szCs w:val="20"/>
                <w:color w:val="auto"/>
              </w:rPr>
            </w:pPr>
            <w:r>
              <w:rPr>
                <w:rFonts w:ascii="Arial" w:cs="Arial" w:eastAsia="Arial" w:hAnsi="Arial"/>
                <w:sz w:val="9"/>
                <w:szCs w:val="9"/>
                <w:b w:val="1"/>
                <w:bCs w:val="1"/>
                <w:color w:val="auto"/>
                <w:w w:val="84"/>
              </w:rPr>
              <w:t>stock</w:t>
            </w:r>
          </w:p>
        </w:tc>
        <w:tc>
          <w:tcPr>
            <w:tcW w:w="880" w:type="dxa"/>
            <w:vAlign w:val="bottom"/>
            <w:gridSpan w:val="4"/>
          </w:tcPr>
          <w:p>
            <w:pPr>
              <w:ind w:left="300"/>
              <w:spacing w:after="0"/>
              <w:rPr>
                <w:sz w:val="20"/>
                <w:szCs w:val="20"/>
                <w:color w:val="auto"/>
              </w:rPr>
            </w:pPr>
            <w:r>
              <w:rPr>
                <w:rFonts w:ascii="Arial" w:cs="Arial" w:eastAsia="Arial" w:hAnsi="Arial"/>
                <w:sz w:val="9"/>
                <w:szCs w:val="9"/>
                <w:b w:val="1"/>
                <w:bCs w:val="1"/>
                <w:color w:val="auto"/>
              </w:rPr>
              <w:t>stock</w:t>
            </w:r>
          </w:p>
        </w:tc>
        <w:tc>
          <w:tcPr>
            <w:tcW w:w="680" w:type="dxa"/>
            <w:vAlign w:val="bottom"/>
            <w:gridSpan w:val="4"/>
          </w:tcPr>
          <w:p>
            <w:pPr>
              <w:jc w:val="center"/>
              <w:ind w:right="100"/>
              <w:spacing w:after="0"/>
              <w:rPr>
                <w:sz w:val="20"/>
                <w:szCs w:val="20"/>
                <w:color w:val="auto"/>
              </w:rPr>
            </w:pPr>
            <w:r>
              <w:rPr>
                <w:rFonts w:ascii="Arial" w:cs="Arial" w:eastAsia="Arial" w:hAnsi="Arial"/>
                <w:sz w:val="9"/>
                <w:szCs w:val="9"/>
                <w:b w:val="1"/>
                <w:bCs w:val="1"/>
                <w:color w:val="auto"/>
                <w:w w:val="93"/>
              </w:rPr>
              <w:t>stock</w:t>
            </w:r>
          </w:p>
        </w:tc>
        <w:tc>
          <w:tcPr>
            <w:tcW w:w="880" w:type="dxa"/>
            <w:vAlign w:val="bottom"/>
            <w:gridSpan w:val="5"/>
          </w:tcPr>
          <w:p>
            <w:pPr>
              <w:jc w:val="right"/>
              <w:ind w:right="400"/>
              <w:spacing w:after="0"/>
              <w:rPr>
                <w:sz w:val="20"/>
                <w:szCs w:val="20"/>
                <w:color w:val="auto"/>
              </w:rPr>
            </w:pPr>
            <w:r>
              <w:rPr>
                <w:rFonts w:ascii="Arial" w:cs="Arial" w:eastAsia="Arial" w:hAnsi="Arial"/>
                <w:sz w:val="9"/>
                <w:szCs w:val="9"/>
                <w:b w:val="1"/>
                <w:bCs w:val="1"/>
                <w:color w:val="auto"/>
              </w:rPr>
              <w:t>stock</w:t>
            </w:r>
          </w:p>
        </w:tc>
        <w:tc>
          <w:tcPr>
            <w:tcW w:w="920" w:type="dxa"/>
            <w:vAlign w:val="bottom"/>
            <w:gridSpan w:val="5"/>
          </w:tcPr>
          <w:p>
            <w:pPr>
              <w:jc w:val="right"/>
              <w:ind w:right="400"/>
              <w:spacing w:after="0"/>
              <w:rPr>
                <w:sz w:val="20"/>
                <w:szCs w:val="20"/>
                <w:color w:val="auto"/>
              </w:rPr>
            </w:pPr>
            <w:r>
              <w:rPr>
                <w:rFonts w:ascii="Arial" w:cs="Arial" w:eastAsia="Arial" w:hAnsi="Arial"/>
                <w:sz w:val="9"/>
                <w:szCs w:val="9"/>
                <w:b w:val="1"/>
                <w:bCs w:val="1"/>
                <w:color w:val="auto"/>
              </w:rPr>
              <w:t>stock</w:t>
            </w:r>
          </w:p>
        </w:tc>
        <w:tc>
          <w:tcPr>
            <w:tcW w:w="880" w:type="dxa"/>
            <w:vAlign w:val="bottom"/>
            <w:gridSpan w:val="4"/>
          </w:tcPr>
          <w:p>
            <w:pPr>
              <w:jc w:val="center"/>
              <w:ind w:right="80"/>
              <w:spacing w:after="0"/>
              <w:rPr>
                <w:sz w:val="20"/>
                <w:szCs w:val="20"/>
                <w:color w:val="auto"/>
              </w:rPr>
            </w:pPr>
            <w:r>
              <w:rPr>
                <w:rFonts w:ascii="Arial" w:cs="Arial" w:eastAsia="Arial" w:hAnsi="Arial"/>
                <w:sz w:val="9"/>
                <w:szCs w:val="9"/>
                <w:b w:val="1"/>
                <w:bCs w:val="1"/>
                <w:color w:val="auto"/>
                <w:w w:val="84"/>
              </w:rPr>
              <w:t>stock</w:t>
            </w:r>
          </w:p>
        </w:tc>
        <w:tc>
          <w:tcPr>
            <w:tcW w:w="880" w:type="dxa"/>
            <w:vAlign w:val="bottom"/>
            <w:gridSpan w:val="4"/>
          </w:tcPr>
          <w:p>
            <w:pPr>
              <w:jc w:val="center"/>
              <w:ind w:right="80"/>
              <w:spacing w:after="0"/>
              <w:rPr>
                <w:sz w:val="20"/>
                <w:szCs w:val="20"/>
                <w:color w:val="auto"/>
              </w:rPr>
            </w:pPr>
            <w:r>
              <w:rPr>
                <w:rFonts w:ascii="Arial" w:cs="Arial" w:eastAsia="Arial" w:hAnsi="Arial"/>
                <w:sz w:val="9"/>
                <w:szCs w:val="9"/>
                <w:b w:val="1"/>
                <w:bCs w:val="1"/>
                <w:color w:val="auto"/>
                <w:w w:val="84"/>
              </w:rPr>
              <w:t>stock</w:t>
            </w:r>
          </w:p>
        </w:tc>
        <w:tc>
          <w:tcPr>
            <w:tcW w:w="520" w:type="dxa"/>
            <w:vAlign w:val="bottom"/>
            <w:gridSpan w:val="4"/>
          </w:tcPr>
          <w:p>
            <w:pPr>
              <w:jc w:val="center"/>
              <w:spacing w:after="0"/>
              <w:rPr>
                <w:sz w:val="20"/>
                <w:szCs w:val="20"/>
                <w:color w:val="auto"/>
              </w:rPr>
            </w:pPr>
            <w:r>
              <w:rPr>
                <w:rFonts w:ascii="Arial" w:cs="Arial" w:eastAsia="Arial" w:hAnsi="Arial"/>
                <w:sz w:val="9"/>
                <w:szCs w:val="9"/>
                <w:b w:val="1"/>
                <w:bCs w:val="1"/>
                <w:color w:val="auto"/>
                <w:w w:val="84"/>
              </w:rPr>
              <w:t>stock</w:t>
            </w:r>
          </w:p>
        </w:tc>
        <w:tc>
          <w:tcPr>
            <w:tcW w:w="80" w:type="dxa"/>
            <w:vAlign w:val="bottom"/>
          </w:tcPr>
          <w:p>
            <w:pPr>
              <w:spacing w:after="0"/>
              <w:rPr>
                <w:sz w:val="9"/>
                <w:szCs w:val="9"/>
                <w:color w:val="auto"/>
              </w:rPr>
            </w:pPr>
          </w:p>
        </w:tc>
        <w:tc>
          <w:tcPr>
            <w:tcW w:w="20" w:type="dxa"/>
            <w:vAlign w:val="bottom"/>
          </w:tcPr>
          <w:p>
            <w:pPr>
              <w:spacing w:after="0"/>
              <w:rPr>
                <w:sz w:val="9"/>
                <w:szCs w:val="9"/>
                <w:color w:val="auto"/>
              </w:rPr>
            </w:pPr>
          </w:p>
        </w:tc>
        <w:tc>
          <w:tcPr>
            <w:tcW w:w="640" w:type="dxa"/>
            <w:vAlign w:val="bottom"/>
            <w:gridSpan w:val="4"/>
          </w:tcPr>
          <w:p>
            <w:pPr>
              <w:jc w:val="center"/>
              <w:ind w:left="114"/>
              <w:spacing w:after="0"/>
              <w:rPr>
                <w:sz w:val="20"/>
                <w:szCs w:val="20"/>
                <w:color w:val="auto"/>
              </w:rPr>
            </w:pPr>
            <w:r>
              <w:rPr>
                <w:rFonts w:ascii="Arial" w:cs="Arial" w:eastAsia="Arial" w:hAnsi="Arial"/>
                <w:sz w:val="9"/>
                <w:szCs w:val="9"/>
                <w:b w:val="1"/>
                <w:bCs w:val="1"/>
                <w:color w:val="auto"/>
                <w:w w:val="84"/>
              </w:rPr>
              <w:t>stock</w:t>
            </w:r>
          </w:p>
        </w:tc>
        <w:tc>
          <w:tcPr>
            <w:tcW w:w="140" w:type="dxa"/>
            <w:vAlign w:val="bottom"/>
          </w:tcPr>
          <w:p>
            <w:pPr>
              <w:spacing w:after="0"/>
              <w:rPr>
                <w:sz w:val="9"/>
                <w:szCs w:val="9"/>
                <w:color w:val="auto"/>
              </w:rPr>
            </w:pPr>
          </w:p>
        </w:tc>
        <w:tc>
          <w:tcPr>
            <w:tcW w:w="20" w:type="dxa"/>
            <w:vAlign w:val="bottom"/>
          </w:tcPr>
          <w:p>
            <w:pPr>
              <w:spacing w:after="0"/>
              <w:rPr>
                <w:sz w:val="9"/>
                <w:szCs w:val="9"/>
                <w:color w:val="auto"/>
              </w:rPr>
            </w:pPr>
          </w:p>
        </w:tc>
        <w:tc>
          <w:tcPr>
            <w:tcW w:w="40" w:type="dxa"/>
            <w:vAlign w:val="bottom"/>
          </w:tcPr>
          <w:p>
            <w:pPr>
              <w:spacing w:after="0"/>
              <w:rPr>
                <w:sz w:val="9"/>
                <w:szCs w:val="9"/>
                <w:color w:val="auto"/>
              </w:rPr>
            </w:pPr>
          </w:p>
        </w:tc>
        <w:tc>
          <w:tcPr>
            <w:tcW w:w="60" w:type="dxa"/>
            <w:vAlign w:val="bottom"/>
          </w:tcPr>
          <w:p>
            <w:pPr>
              <w:spacing w:after="0"/>
              <w:rPr>
                <w:sz w:val="9"/>
                <w:szCs w:val="9"/>
                <w:color w:val="auto"/>
              </w:rPr>
            </w:pPr>
          </w:p>
        </w:tc>
        <w:tc>
          <w:tcPr>
            <w:tcW w:w="380" w:type="dxa"/>
            <w:vAlign w:val="bottom"/>
            <w:vMerge w:val="restart"/>
          </w:tcPr>
          <w:p>
            <w:pPr>
              <w:spacing w:after="0"/>
              <w:rPr>
                <w:sz w:val="20"/>
                <w:szCs w:val="20"/>
                <w:color w:val="auto"/>
              </w:rPr>
            </w:pPr>
            <w:r>
              <w:rPr>
                <w:rFonts w:ascii="Arial" w:cs="Arial" w:eastAsia="Arial" w:hAnsi="Arial"/>
                <w:sz w:val="9"/>
                <w:szCs w:val="9"/>
                <w:b w:val="1"/>
                <w:bCs w:val="1"/>
                <w:color w:val="auto"/>
                <w:w w:val="77"/>
              </w:rPr>
              <w:t>Additional</w:t>
            </w:r>
          </w:p>
        </w:tc>
        <w:tc>
          <w:tcPr>
            <w:tcW w:w="20" w:type="dxa"/>
            <w:vAlign w:val="bottom"/>
          </w:tcPr>
          <w:p>
            <w:pPr>
              <w:spacing w:after="0"/>
              <w:rPr>
                <w:sz w:val="9"/>
                <w:szCs w:val="9"/>
                <w:color w:val="auto"/>
              </w:rPr>
            </w:pPr>
          </w:p>
        </w:tc>
        <w:tc>
          <w:tcPr>
            <w:tcW w:w="20" w:type="dxa"/>
            <w:vAlign w:val="bottom"/>
          </w:tcPr>
          <w:p>
            <w:pPr>
              <w:spacing w:after="0"/>
              <w:rPr>
                <w:sz w:val="9"/>
                <w:szCs w:val="9"/>
                <w:color w:val="auto"/>
              </w:rPr>
            </w:pPr>
          </w:p>
        </w:tc>
        <w:tc>
          <w:tcPr>
            <w:tcW w:w="80" w:type="dxa"/>
            <w:vAlign w:val="bottom"/>
          </w:tcPr>
          <w:p>
            <w:pPr>
              <w:spacing w:after="0"/>
              <w:rPr>
                <w:sz w:val="9"/>
                <w:szCs w:val="9"/>
                <w:color w:val="auto"/>
              </w:rPr>
            </w:pPr>
          </w:p>
        </w:tc>
        <w:tc>
          <w:tcPr>
            <w:tcW w:w="46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540" w:type="dxa"/>
            <w:vAlign w:val="bottom"/>
            <w:gridSpan w:val="3"/>
            <w:vMerge w:val="restart"/>
          </w:tcPr>
          <w:p>
            <w:pPr>
              <w:jc w:val="right"/>
              <w:ind w:right="200"/>
              <w:spacing w:after="0"/>
              <w:rPr>
                <w:sz w:val="20"/>
                <w:szCs w:val="20"/>
                <w:color w:val="auto"/>
              </w:rPr>
            </w:pPr>
            <w:r>
              <w:rPr>
                <w:rFonts w:ascii="Arial" w:cs="Arial" w:eastAsia="Arial" w:hAnsi="Arial"/>
                <w:sz w:val="9"/>
                <w:szCs w:val="9"/>
                <w:b w:val="1"/>
                <w:bCs w:val="1"/>
                <w:color w:val="auto"/>
              </w:rPr>
              <w:t>Total</w:t>
            </w:r>
          </w:p>
        </w:tc>
        <w:tc>
          <w:tcPr>
            <w:tcW w:w="0" w:type="dxa"/>
            <w:vAlign w:val="bottom"/>
          </w:tcPr>
          <w:p>
            <w:pPr>
              <w:spacing w:after="0"/>
              <w:rPr>
                <w:sz w:val="1"/>
                <w:szCs w:val="1"/>
                <w:color w:val="auto"/>
              </w:rPr>
            </w:pPr>
          </w:p>
        </w:tc>
      </w:tr>
      <w:tr>
        <w:trPr>
          <w:trHeight w:val="65"/>
        </w:trPr>
        <w:tc>
          <w:tcPr>
            <w:tcW w:w="2140" w:type="dxa"/>
            <w:vAlign w:val="bottom"/>
          </w:tcPr>
          <w:p>
            <w:pPr>
              <w:spacing w:after="0"/>
              <w:rPr>
                <w:sz w:val="5"/>
                <w:szCs w:val="5"/>
                <w:color w:val="auto"/>
              </w:rPr>
            </w:pPr>
          </w:p>
        </w:tc>
        <w:tc>
          <w:tcPr>
            <w:tcW w:w="40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420" w:type="dxa"/>
            <w:vAlign w:val="bottom"/>
            <w:tcBorders>
              <w:top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26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280" w:type="dxa"/>
            <w:vAlign w:val="bottom"/>
            <w:tcBorders>
              <w:top w:val="single" w:sz="8" w:color="auto"/>
            </w:tcBorders>
          </w:tcPr>
          <w:p>
            <w:pPr>
              <w:spacing w:after="0"/>
              <w:rPr>
                <w:sz w:val="5"/>
                <w:szCs w:val="5"/>
                <w:color w:val="auto"/>
              </w:rPr>
            </w:pPr>
          </w:p>
        </w:tc>
        <w:tc>
          <w:tcPr>
            <w:tcW w:w="80" w:type="dxa"/>
            <w:vAlign w:val="bottom"/>
          </w:tcPr>
          <w:p>
            <w:pPr>
              <w:spacing w:after="0"/>
              <w:rPr>
                <w:sz w:val="5"/>
                <w:szCs w:val="5"/>
                <w:color w:val="auto"/>
              </w:rPr>
            </w:pPr>
          </w:p>
        </w:tc>
        <w:tc>
          <w:tcPr>
            <w:tcW w:w="360" w:type="dxa"/>
            <w:vAlign w:val="bottom"/>
            <w:tcBorders>
              <w:top w:val="single" w:sz="8" w:color="auto"/>
            </w:tcBorders>
          </w:tcPr>
          <w:p>
            <w:pPr>
              <w:spacing w:after="0"/>
              <w:rPr>
                <w:sz w:val="5"/>
                <w:szCs w:val="5"/>
                <w:color w:val="auto"/>
              </w:rPr>
            </w:pPr>
          </w:p>
        </w:tc>
        <w:tc>
          <w:tcPr>
            <w:tcW w:w="80" w:type="dxa"/>
            <w:vAlign w:val="bottom"/>
            <w:tcBorders>
              <w:top w:val="single" w:sz="8" w:color="auto"/>
            </w:tcBorders>
          </w:tcPr>
          <w:p>
            <w:pPr>
              <w:spacing w:after="0"/>
              <w:rPr>
                <w:sz w:val="5"/>
                <w:szCs w:val="5"/>
                <w:color w:val="auto"/>
              </w:rPr>
            </w:pPr>
          </w:p>
        </w:tc>
        <w:tc>
          <w:tcPr>
            <w:tcW w:w="40" w:type="dxa"/>
            <w:vAlign w:val="bottom"/>
            <w:tcBorders>
              <w:top w:val="single" w:sz="8" w:color="auto"/>
            </w:tcBorders>
          </w:tcPr>
          <w:p>
            <w:pPr>
              <w:spacing w:after="0"/>
              <w:rPr>
                <w:sz w:val="5"/>
                <w:szCs w:val="5"/>
                <w:color w:val="auto"/>
              </w:rPr>
            </w:pPr>
          </w:p>
        </w:tc>
        <w:tc>
          <w:tcPr>
            <w:tcW w:w="340" w:type="dxa"/>
            <w:vAlign w:val="bottom"/>
            <w:tcBorders>
              <w:top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4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Borders>
              <w:top w:val="single" w:sz="8" w:color="auto"/>
            </w:tcBorders>
          </w:tcPr>
          <w:p>
            <w:pPr>
              <w:spacing w:after="0"/>
              <w:rPr>
                <w:sz w:val="5"/>
                <w:szCs w:val="5"/>
                <w:color w:val="auto"/>
              </w:rPr>
            </w:pPr>
          </w:p>
        </w:tc>
        <w:tc>
          <w:tcPr>
            <w:tcW w:w="380" w:type="dxa"/>
            <w:vAlign w:val="bottom"/>
            <w:tcBorders>
              <w:top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220" w:type="dxa"/>
            <w:vAlign w:val="bottom"/>
            <w:tcBorders>
              <w:top w:val="single" w:sz="8" w:color="auto"/>
            </w:tcBorders>
          </w:tcPr>
          <w:p>
            <w:pPr>
              <w:spacing w:after="0"/>
              <w:rPr>
                <w:sz w:val="5"/>
                <w:szCs w:val="5"/>
                <w:color w:val="auto"/>
              </w:rPr>
            </w:pPr>
          </w:p>
        </w:tc>
        <w:tc>
          <w:tcPr>
            <w:tcW w:w="40" w:type="dxa"/>
            <w:vAlign w:val="bottom"/>
            <w:tcBorders>
              <w:top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240" w:type="dxa"/>
            <w:vAlign w:val="bottom"/>
            <w:tcBorders>
              <w:top w:val="single" w:sz="8" w:color="auto"/>
            </w:tcBorders>
          </w:tcPr>
          <w:p>
            <w:pPr>
              <w:spacing w:after="0"/>
              <w:rPr>
                <w:sz w:val="5"/>
                <w:szCs w:val="5"/>
                <w:color w:val="auto"/>
              </w:rPr>
            </w:pPr>
          </w:p>
        </w:tc>
        <w:tc>
          <w:tcPr>
            <w:tcW w:w="80" w:type="dxa"/>
            <w:vAlign w:val="bottom"/>
            <w:tcBorders>
              <w:top w:val="single" w:sz="8" w:color="auto"/>
            </w:tcBorders>
          </w:tcPr>
          <w:p>
            <w:pPr>
              <w:spacing w:after="0"/>
              <w:rPr>
                <w:sz w:val="5"/>
                <w:szCs w:val="5"/>
                <w:color w:val="auto"/>
              </w:rPr>
            </w:pPr>
          </w:p>
        </w:tc>
        <w:tc>
          <w:tcPr>
            <w:tcW w:w="20" w:type="dxa"/>
            <w:vAlign w:val="bottom"/>
          </w:tcPr>
          <w:p>
            <w:pPr>
              <w:spacing w:after="0"/>
              <w:rPr>
                <w:sz w:val="5"/>
                <w:szCs w:val="5"/>
                <w:color w:val="auto"/>
              </w:rPr>
            </w:pPr>
          </w:p>
        </w:tc>
        <w:tc>
          <w:tcPr>
            <w:tcW w:w="440" w:type="dxa"/>
            <w:vAlign w:val="bottom"/>
            <w:tcBorders>
              <w:top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160" w:type="dxa"/>
            <w:vAlign w:val="bottom"/>
            <w:tcBorders>
              <w:top w:val="single" w:sz="8" w:color="auto"/>
            </w:tcBorders>
          </w:tcPr>
          <w:p>
            <w:pPr>
              <w:spacing w:after="0"/>
              <w:rPr>
                <w:sz w:val="5"/>
                <w:szCs w:val="5"/>
                <w:color w:val="auto"/>
              </w:rPr>
            </w:pPr>
          </w:p>
        </w:tc>
        <w:tc>
          <w:tcPr>
            <w:tcW w:w="140" w:type="dxa"/>
            <w:vAlign w:val="bottom"/>
            <w:tcBorders>
              <w:top w:val="single" w:sz="8" w:color="auto"/>
            </w:tcBorders>
          </w:tcPr>
          <w:p>
            <w:pPr>
              <w:spacing w:after="0"/>
              <w:rPr>
                <w:sz w:val="5"/>
                <w:szCs w:val="5"/>
                <w:color w:val="auto"/>
              </w:rPr>
            </w:pPr>
          </w:p>
        </w:tc>
        <w:tc>
          <w:tcPr>
            <w:tcW w:w="20" w:type="dxa"/>
            <w:vAlign w:val="bottom"/>
          </w:tcPr>
          <w:p>
            <w:pPr>
              <w:spacing w:after="0"/>
              <w:rPr>
                <w:sz w:val="5"/>
                <w:szCs w:val="5"/>
                <w:color w:val="auto"/>
              </w:rPr>
            </w:pPr>
          </w:p>
        </w:tc>
        <w:tc>
          <w:tcPr>
            <w:tcW w:w="40" w:type="dxa"/>
            <w:vAlign w:val="bottom"/>
          </w:tcPr>
          <w:p>
            <w:pPr>
              <w:spacing w:after="0"/>
              <w:rPr>
                <w:sz w:val="5"/>
                <w:szCs w:val="5"/>
                <w:color w:val="auto"/>
              </w:rPr>
            </w:pPr>
          </w:p>
        </w:tc>
        <w:tc>
          <w:tcPr>
            <w:tcW w:w="60" w:type="dxa"/>
            <w:vAlign w:val="bottom"/>
          </w:tcPr>
          <w:p>
            <w:pPr>
              <w:spacing w:after="0"/>
              <w:rPr>
                <w:sz w:val="5"/>
                <w:szCs w:val="5"/>
                <w:color w:val="auto"/>
              </w:rPr>
            </w:pPr>
          </w:p>
        </w:tc>
        <w:tc>
          <w:tcPr>
            <w:tcW w:w="380" w:type="dxa"/>
            <w:vAlign w:val="bottom"/>
            <w:vMerge w:val="continue"/>
          </w:tcPr>
          <w:p>
            <w:pPr>
              <w:spacing w:after="0"/>
              <w:rPr>
                <w:sz w:val="5"/>
                <w:szCs w:val="5"/>
                <w:color w:val="auto"/>
              </w:rPr>
            </w:pPr>
          </w:p>
        </w:tc>
        <w:tc>
          <w:tcPr>
            <w:tcW w:w="20" w:type="dxa"/>
            <w:vAlign w:val="bottom"/>
          </w:tcPr>
          <w:p>
            <w:pPr>
              <w:spacing w:after="0"/>
              <w:rPr>
                <w:sz w:val="5"/>
                <w:szCs w:val="5"/>
                <w:color w:val="auto"/>
              </w:rPr>
            </w:pPr>
          </w:p>
        </w:tc>
        <w:tc>
          <w:tcPr>
            <w:tcW w:w="20" w:type="dxa"/>
            <w:vAlign w:val="bottom"/>
          </w:tcPr>
          <w:p>
            <w:pPr>
              <w:spacing w:after="0"/>
              <w:rPr>
                <w:sz w:val="5"/>
                <w:szCs w:val="5"/>
                <w:color w:val="auto"/>
              </w:rPr>
            </w:pPr>
          </w:p>
        </w:tc>
        <w:tc>
          <w:tcPr>
            <w:tcW w:w="80" w:type="dxa"/>
            <w:vAlign w:val="bottom"/>
          </w:tcPr>
          <w:p>
            <w:pPr>
              <w:spacing w:after="0"/>
              <w:rPr>
                <w:sz w:val="5"/>
                <w:szCs w:val="5"/>
                <w:color w:val="auto"/>
              </w:rPr>
            </w:pPr>
          </w:p>
        </w:tc>
        <w:tc>
          <w:tcPr>
            <w:tcW w:w="460" w:type="dxa"/>
            <w:vAlign w:val="bottom"/>
          </w:tcPr>
          <w:p>
            <w:pPr>
              <w:spacing w:after="0"/>
              <w:rPr>
                <w:sz w:val="5"/>
                <w:szCs w:val="5"/>
                <w:color w:val="auto"/>
              </w:rPr>
            </w:pPr>
          </w:p>
        </w:tc>
        <w:tc>
          <w:tcPr>
            <w:tcW w:w="80" w:type="dxa"/>
            <w:vAlign w:val="bottom"/>
          </w:tcPr>
          <w:p>
            <w:pPr>
              <w:spacing w:after="0"/>
              <w:rPr>
                <w:sz w:val="5"/>
                <w:szCs w:val="5"/>
                <w:color w:val="auto"/>
              </w:rPr>
            </w:pPr>
          </w:p>
        </w:tc>
        <w:tc>
          <w:tcPr>
            <w:tcW w:w="60" w:type="dxa"/>
            <w:vAlign w:val="bottom"/>
          </w:tcPr>
          <w:p>
            <w:pPr>
              <w:spacing w:after="0"/>
              <w:rPr>
                <w:sz w:val="5"/>
                <w:szCs w:val="5"/>
                <w:color w:val="auto"/>
              </w:rPr>
            </w:pPr>
          </w:p>
        </w:tc>
        <w:tc>
          <w:tcPr>
            <w:tcW w:w="540" w:type="dxa"/>
            <w:vAlign w:val="bottom"/>
            <w:gridSpan w:val="3"/>
            <w:vMerge w:val="continue"/>
          </w:tcPr>
          <w:p>
            <w:pPr>
              <w:spacing w:after="0"/>
              <w:rPr>
                <w:sz w:val="5"/>
                <w:szCs w:val="5"/>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1040" w:type="dxa"/>
            <w:vAlign w:val="bottom"/>
            <w:gridSpan w:val="6"/>
          </w:tcPr>
          <w:p>
            <w:pPr>
              <w:jc w:val="right"/>
              <w:ind w:right="40"/>
              <w:spacing w:after="0" w:line="98" w:lineRule="exact"/>
              <w:rPr>
                <w:sz w:val="20"/>
                <w:szCs w:val="20"/>
                <w:color w:val="auto"/>
              </w:rPr>
            </w:pPr>
            <w:r>
              <w:rPr>
                <w:rFonts w:ascii="Arial" w:cs="Arial" w:eastAsia="Arial" w:hAnsi="Arial"/>
                <w:sz w:val="9"/>
                <w:szCs w:val="9"/>
                <w:b w:val="1"/>
                <w:bCs w:val="1"/>
                <w:color w:val="auto"/>
                <w:w w:val="94"/>
              </w:rPr>
              <w:t>Paid-in-   Accumulative</w:t>
            </w:r>
          </w:p>
        </w:tc>
        <w:tc>
          <w:tcPr>
            <w:tcW w:w="600" w:type="dxa"/>
            <w:vAlign w:val="bottom"/>
            <w:gridSpan w:val="4"/>
          </w:tcPr>
          <w:p>
            <w:pPr>
              <w:spacing w:after="0" w:line="98" w:lineRule="exact"/>
              <w:rPr>
                <w:sz w:val="20"/>
                <w:szCs w:val="20"/>
                <w:color w:val="auto"/>
              </w:rPr>
            </w:pPr>
            <w:r>
              <w:rPr>
                <w:rFonts w:ascii="Arial" w:cs="Arial" w:eastAsia="Arial" w:hAnsi="Arial"/>
                <w:sz w:val="9"/>
                <w:szCs w:val="9"/>
                <w:b w:val="1"/>
                <w:bCs w:val="1"/>
                <w:color w:val="auto"/>
                <w:w w:val="97"/>
              </w:rPr>
              <w:t>Stockholders'</w:t>
            </w:r>
          </w:p>
        </w:tc>
        <w:tc>
          <w:tcPr>
            <w:tcW w:w="0" w:type="dxa"/>
            <w:vAlign w:val="bottom"/>
          </w:tcPr>
          <w:p>
            <w:pPr>
              <w:spacing w:after="0"/>
              <w:rPr>
                <w:sz w:val="1"/>
                <w:szCs w:val="1"/>
                <w:color w:val="auto"/>
              </w:rPr>
            </w:pPr>
          </w:p>
        </w:tc>
      </w:tr>
      <w:tr>
        <w:trPr>
          <w:trHeight w:val="111"/>
        </w:trPr>
        <w:tc>
          <w:tcPr>
            <w:tcW w:w="2140" w:type="dxa"/>
            <w:vAlign w:val="bottom"/>
          </w:tcPr>
          <w:p>
            <w:pPr>
              <w:spacing w:after="0"/>
              <w:rPr>
                <w:sz w:val="9"/>
                <w:szCs w:val="9"/>
                <w:color w:val="auto"/>
              </w:rPr>
            </w:pPr>
          </w:p>
        </w:tc>
        <w:tc>
          <w:tcPr>
            <w:tcW w:w="400" w:type="dxa"/>
            <w:vAlign w:val="bottom"/>
          </w:tcPr>
          <w:p>
            <w:pPr>
              <w:jc w:val="right"/>
              <w:ind w:right="14"/>
              <w:spacing w:after="0"/>
              <w:rPr>
                <w:sz w:val="20"/>
                <w:szCs w:val="20"/>
                <w:color w:val="auto"/>
              </w:rPr>
            </w:pPr>
            <w:r>
              <w:rPr>
                <w:rFonts w:ascii="Arial" w:cs="Arial" w:eastAsia="Arial" w:hAnsi="Arial"/>
                <w:sz w:val="9"/>
                <w:szCs w:val="9"/>
                <w:b w:val="1"/>
                <w:bCs w:val="1"/>
                <w:color w:val="auto"/>
              </w:rPr>
              <w:t>Shares</w:t>
            </w:r>
          </w:p>
        </w:tc>
        <w:tc>
          <w:tcPr>
            <w:tcW w:w="60" w:type="dxa"/>
            <w:vAlign w:val="bottom"/>
          </w:tcPr>
          <w:p>
            <w:pPr>
              <w:spacing w:after="0"/>
              <w:rPr>
                <w:sz w:val="9"/>
                <w:szCs w:val="9"/>
                <w:color w:val="auto"/>
              </w:rPr>
            </w:pPr>
          </w:p>
        </w:tc>
        <w:tc>
          <w:tcPr>
            <w:tcW w:w="480" w:type="dxa"/>
            <w:vAlign w:val="bottom"/>
            <w:gridSpan w:val="2"/>
          </w:tcPr>
          <w:p>
            <w:pPr>
              <w:jc w:val="center"/>
              <w:ind w:right="80"/>
              <w:spacing w:after="0"/>
              <w:rPr>
                <w:sz w:val="20"/>
                <w:szCs w:val="20"/>
                <w:color w:val="auto"/>
              </w:rPr>
            </w:pPr>
            <w:r>
              <w:rPr>
                <w:rFonts w:ascii="Arial" w:cs="Arial" w:eastAsia="Arial" w:hAnsi="Arial"/>
                <w:sz w:val="9"/>
                <w:szCs w:val="9"/>
                <w:b w:val="1"/>
                <w:bCs w:val="1"/>
                <w:color w:val="auto"/>
                <w:w w:val="93"/>
              </w:rPr>
              <w:t>Amount</w:t>
            </w:r>
          </w:p>
        </w:tc>
        <w:tc>
          <w:tcPr>
            <w:tcW w:w="440" w:type="dxa"/>
            <w:vAlign w:val="bottom"/>
            <w:gridSpan w:val="2"/>
          </w:tcPr>
          <w:p>
            <w:pPr>
              <w:ind w:left="40"/>
              <w:spacing w:after="0"/>
              <w:rPr>
                <w:sz w:val="20"/>
                <w:szCs w:val="20"/>
                <w:color w:val="auto"/>
              </w:rPr>
            </w:pPr>
            <w:r>
              <w:rPr>
                <w:rFonts w:ascii="Arial" w:cs="Arial" w:eastAsia="Arial" w:hAnsi="Arial"/>
                <w:sz w:val="9"/>
                <w:szCs w:val="9"/>
                <w:b w:val="1"/>
                <w:bCs w:val="1"/>
                <w:color w:val="auto"/>
              </w:rPr>
              <w:t>Shares</w:t>
            </w:r>
          </w:p>
        </w:tc>
        <w:tc>
          <w:tcPr>
            <w:tcW w:w="440" w:type="dxa"/>
            <w:vAlign w:val="bottom"/>
            <w:gridSpan w:val="2"/>
          </w:tcPr>
          <w:p>
            <w:pPr>
              <w:jc w:val="center"/>
              <w:ind w:right="80"/>
              <w:spacing w:after="0"/>
              <w:rPr>
                <w:sz w:val="20"/>
                <w:szCs w:val="20"/>
                <w:color w:val="auto"/>
              </w:rPr>
            </w:pPr>
            <w:r>
              <w:rPr>
                <w:rFonts w:ascii="Arial" w:cs="Arial" w:eastAsia="Arial" w:hAnsi="Arial"/>
                <w:sz w:val="9"/>
                <w:szCs w:val="9"/>
                <w:b w:val="1"/>
                <w:bCs w:val="1"/>
                <w:color w:val="auto"/>
                <w:w w:val="93"/>
              </w:rPr>
              <w:t>Amount</w:t>
            </w:r>
          </w:p>
        </w:tc>
        <w:tc>
          <w:tcPr>
            <w:tcW w:w="680" w:type="dxa"/>
            <w:vAlign w:val="bottom"/>
            <w:gridSpan w:val="4"/>
          </w:tcPr>
          <w:p>
            <w:pPr>
              <w:jc w:val="center"/>
              <w:ind w:right="60"/>
              <w:spacing w:after="0"/>
              <w:rPr>
                <w:sz w:val="20"/>
                <w:szCs w:val="20"/>
                <w:color w:val="auto"/>
              </w:rPr>
            </w:pPr>
            <w:r>
              <w:rPr>
                <w:rFonts w:ascii="Arial" w:cs="Arial" w:eastAsia="Arial" w:hAnsi="Arial"/>
                <w:sz w:val="9"/>
                <w:szCs w:val="9"/>
                <w:b w:val="1"/>
                <w:bCs w:val="1"/>
                <w:color w:val="auto"/>
                <w:w w:val="93"/>
              </w:rPr>
              <w:t>Shares Amount</w:t>
            </w:r>
          </w:p>
        </w:tc>
        <w:tc>
          <w:tcPr>
            <w:tcW w:w="360" w:type="dxa"/>
            <w:vAlign w:val="bottom"/>
          </w:tcPr>
          <w:p>
            <w:pPr>
              <w:jc w:val="right"/>
              <w:ind w:right="34"/>
              <w:spacing w:after="0"/>
              <w:rPr>
                <w:sz w:val="20"/>
                <w:szCs w:val="20"/>
                <w:color w:val="auto"/>
              </w:rPr>
            </w:pPr>
            <w:r>
              <w:rPr>
                <w:rFonts w:ascii="Arial" w:cs="Arial" w:eastAsia="Arial" w:hAnsi="Arial"/>
                <w:sz w:val="9"/>
                <w:szCs w:val="9"/>
                <w:b w:val="1"/>
                <w:bCs w:val="1"/>
                <w:color w:val="auto"/>
                <w:w w:val="86"/>
              </w:rPr>
              <w:t>Shares</w:t>
            </w:r>
          </w:p>
        </w:tc>
        <w:tc>
          <w:tcPr>
            <w:tcW w:w="80" w:type="dxa"/>
            <w:vAlign w:val="bottom"/>
          </w:tcPr>
          <w:p>
            <w:pPr>
              <w:spacing w:after="0"/>
              <w:rPr>
                <w:sz w:val="9"/>
                <w:szCs w:val="9"/>
                <w:color w:val="auto"/>
              </w:rPr>
            </w:pPr>
          </w:p>
        </w:tc>
        <w:tc>
          <w:tcPr>
            <w:tcW w:w="440" w:type="dxa"/>
            <w:vAlign w:val="bottom"/>
            <w:gridSpan w:val="3"/>
          </w:tcPr>
          <w:p>
            <w:pPr>
              <w:spacing w:after="0"/>
              <w:rPr>
                <w:sz w:val="20"/>
                <w:szCs w:val="20"/>
                <w:color w:val="auto"/>
              </w:rPr>
            </w:pPr>
            <w:r>
              <w:rPr>
                <w:rFonts w:ascii="Arial" w:cs="Arial" w:eastAsia="Arial" w:hAnsi="Arial"/>
                <w:sz w:val="9"/>
                <w:szCs w:val="9"/>
                <w:b w:val="1"/>
                <w:bCs w:val="1"/>
                <w:color w:val="auto"/>
              </w:rPr>
              <w:t>Amount</w:t>
            </w:r>
          </w:p>
        </w:tc>
        <w:tc>
          <w:tcPr>
            <w:tcW w:w="440" w:type="dxa"/>
            <w:vAlign w:val="bottom"/>
            <w:gridSpan w:val="2"/>
          </w:tcPr>
          <w:p>
            <w:pPr>
              <w:jc w:val="right"/>
              <w:ind w:right="140"/>
              <w:spacing w:after="0"/>
              <w:rPr>
                <w:sz w:val="20"/>
                <w:szCs w:val="20"/>
                <w:color w:val="auto"/>
              </w:rPr>
            </w:pPr>
            <w:r>
              <w:rPr>
                <w:rFonts w:ascii="Arial" w:cs="Arial" w:eastAsia="Arial" w:hAnsi="Arial"/>
                <w:sz w:val="9"/>
                <w:szCs w:val="9"/>
                <w:b w:val="1"/>
                <w:bCs w:val="1"/>
                <w:color w:val="auto"/>
                <w:w w:val="93"/>
              </w:rPr>
              <w:t>Shares</w:t>
            </w:r>
          </w:p>
        </w:tc>
        <w:tc>
          <w:tcPr>
            <w:tcW w:w="480" w:type="dxa"/>
            <w:vAlign w:val="bottom"/>
            <w:gridSpan w:val="3"/>
          </w:tcPr>
          <w:p>
            <w:pPr>
              <w:jc w:val="center"/>
              <w:ind w:right="80"/>
              <w:spacing w:after="0"/>
              <w:rPr>
                <w:sz w:val="20"/>
                <w:szCs w:val="20"/>
                <w:color w:val="auto"/>
              </w:rPr>
            </w:pPr>
            <w:r>
              <w:rPr>
                <w:rFonts w:ascii="Arial" w:cs="Arial" w:eastAsia="Arial" w:hAnsi="Arial"/>
                <w:sz w:val="9"/>
                <w:szCs w:val="9"/>
                <w:b w:val="1"/>
                <w:bCs w:val="1"/>
                <w:color w:val="auto"/>
                <w:w w:val="93"/>
              </w:rPr>
              <w:t>Amount</w:t>
            </w:r>
          </w:p>
        </w:tc>
        <w:tc>
          <w:tcPr>
            <w:tcW w:w="440" w:type="dxa"/>
            <w:vAlign w:val="bottom"/>
            <w:gridSpan w:val="2"/>
          </w:tcPr>
          <w:p>
            <w:pPr>
              <w:ind w:left="40"/>
              <w:spacing w:after="0"/>
              <w:rPr>
                <w:sz w:val="20"/>
                <w:szCs w:val="20"/>
                <w:color w:val="auto"/>
              </w:rPr>
            </w:pPr>
            <w:r>
              <w:rPr>
                <w:rFonts w:ascii="Arial" w:cs="Arial" w:eastAsia="Arial" w:hAnsi="Arial"/>
                <w:sz w:val="9"/>
                <w:szCs w:val="9"/>
                <w:b w:val="1"/>
                <w:bCs w:val="1"/>
                <w:color w:val="auto"/>
              </w:rPr>
              <w:t>Shares</w:t>
            </w:r>
          </w:p>
        </w:tc>
        <w:tc>
          <w:tcPr>
            <w:tcW w:w="440" w:type="dxa"/>
            <w:vAlign w:val="bottom"/>
            <w:gridSpan w:val="2"/>
          </w:tcPr>
          <w:p>
            <w:pPr>
              <w:jc w:val="center"/>
              <w:ind w:right="80"/>
              <w:spacing w:after="0"/>
              <w:rPr>
                <w:sz w:val="20"/>
                <w:szCs w:val="20"/>
                <w:color w:val="auto"/>
              </w:rPr>
            </w:pPr>
            <w:r>
              <w:rPr>
                <w:rFonts w:ascii="Arial" w:cs="Arial" w:eastAsia="Arial" w:hAnsi="Arial"/>
                <w:sz w:val="9"/>
                <w:szCs w:val="9"/>
                <w:b w:val="1"/>
                <w:bCs w:val="1"/>
                <w:color w:val="auto"/>
                <w:w w:val="93"/>
              </w:rPr>
              <w:t>Amount</w:t>
            </w:r>
          </w:p>
        </w:tc>
        <w:tc>
          <w:tcPr>
            <w:tcW w:w="440" w:type="dxa"/>
            <w:vAlign w:val="bottom"/>
            <w:gridSpan w:val="2"/>
          </w:tcPr>
          <w:p>
            <w:pPr>
              <w:ind w:left="40"/>
              <w:spacing w:after="0"/>
              <w:rPr>
                <w:sz w:val="20"/>
                <w:szCs w:val="20"/>
                <w:color w:val="auto"/>
              </w:rPr>
            </w:pPr>
            <w:r>
              <w:rPr>
                <w:rFonts w:ascii="Arial" w:cs="Arial" w:eastAsia="Arial" w:hAnsi="Arial"/>
                <w:sz w:val="9"/>
                <w:szCs w:val="9"/>
                <w:b w:val="1"/>
                <w:bCs w:val="1"/>
                <w:color w:val="auto"/>
              </w:rPr>
              <w:t>Shares</w:t>
            </w:r>
          </w:p>
        </w:tc>
        <w:tc>
          <w:tcPr>
            <w:tcW w:w="440" w:type="dxa"/>
            <w:vAlign w:val="bottom"/>
            <w:gridSpan w:val="2"/>
          </w:tcPr>
          <w:p>
            <w:pPr>
              <w:jc w:val="center"/>
              <w:ind w:right="80"/>
              <w:spacing w:after="0"/>
              <w:rPr>
                <w:sz w:val="20"/>
                <w:szCs w:val="20"/>
                <w:color w:val="auto"/>
              </w:rPr>
            </w:pPr>
            <w:r>
              <w:rPr>
                <w:rFonts w:ascii="Arial" w:cs="Arial" w:eastAsia="Arial" w:hAnsi="Arial"/>
                <w:sz w:val="9"/>
                <w:szCs w:val="9"/>
                <w:b w:val="1"/>
                <w:bCs w:val="1"/>
                <w:color w:val="auto"/>
                <w:w w:val="93"/>
              </w:rPr>
              <w:t>Amount</w:t>
            </w:r>
          </w:p>
        </w:tc>
        <w:tc>
          <w:tcPr>
            <w:tcW w:w="260" w:type="dxa"/>
            <w:vAlign w:val="bottom"/>
            <w:gridSpan w:val="2"/>
          </w:tcPr>
          <w:p>
            <w:pPr>
              <w:jc w:val="right"/>
              <w:ind w:right="20"/>
              <w:spacing w:after="0"/>
              <w:rPr>
                <w:sz w:val="20"/>
                <w:szCs w:val="20"/>
                <w:color w:val="auto"/>
              </w:rPr>
            </w:pPr>
            <w:r>
              <w:rPr>
                <w:rFonts w:ascii="Arial" w:cs="Arial" w:eastAsia="Arial" w:hAnsi="Arial"/>
                <w:sz w:val="9"/>
                <w:szCs w:val="9"/>
                <w:b w:val="1"/>
                <w:bCs w:val="1"/>
                <w:color w:val="auto"/>
                <w:w w:val="73"/>
              </w:rPr>
              <w:t>Shares</w:t>
            </w:r>
          </w:p>
        </w:tc>
        <w:tc>
          <w:tcPr>
            <w:tcW w:w="360" w:type="dxa"/>
            <w:vAlign w:val="bottom"/>
            <w:gridSpan w:val="4"/>
          </w:tcPr>
          <w:p>
            <w:pPr>
              <w:ind w:left="20"/>
              <w:spacing w:after="0"/>
              <w:rPr>
                <w:sz w:val="20"/>
                <w:szCs w:val="20"/>
                <w:color w:val="auto"/>
              </w:rPr>
            </w:pPr>
            <w:r>
              <w:rPr>
                <w:rFonts w:ascii="Arial" w:cs="Arial" w:eastAsia="Arial" w:hAnsi="Arial"/>
                <w:sz w:val="9"/>
                <w:szCs w:val="9"/>
                <w:b w:val="1"/>
                <w:bCs w:val="1"/>
                <w:color w:val="auto"/>
                <w:w w:val="93"/>
              </w:rPr>
              <w:t>Amount</w:t>
            </w:r>
          </w:p>
        </w:tc>
        <w:tc>
          <w:tcPr>
            <w:tcW w:w="460" w:type="dxa"/>
            <w:vAlign w:val="bottom"/>
            <w:gridSpan w:val="2"/>
          </w:tcPr>
          <w:p>
            <w:pPr>
              <w:jc w:val="right"/>
              <w:ind w:right="100"/>
              <w:spacing w:after="0"/>
              <w:rPr>
                <w:sz w:val="20"/>
                <w:szCs w:val="20"/>
                <w:color w:val="auto"/>
              </w:rPr>
            </w:pPr>
            <w:r>
              <w:rPr>
                <w:rFonts w:ascii="Arial" w:cs="Arial" w:eastAsia="Arial" w:hAnsi="Arial"/>
                <w:sz w:val="9"/>
                <w:szCs w:val="9"/>
                <w:b w:val="1"/>
                <w:bCs w:val="1"/>
                <w:color w:val="auto"/>
              </w:rPr>
              <w:t>Shares</w:t>
            </w:r>
          </w:p>
        </w:tc>
        <w:tc>
          <w:tcPr>
            <w:tcW w:w="380" w:type="dxa"/>
            <w:vAlign w:val="bottom"/>
            <w:gridSpan w:val="5"/>
          </w:tcPr>
          <w:p>
            <w:pPr>
              <w:ind w:left="20"/>
              <w:spacing w:after="0"/>
              <w:rPr>
                <w:sz w:val="20"/>
                <w:szCs w:val="20"/>
                <w:color w:val="auto"/>
              </w:rPr>
            </w:pPr>
            <w:r>
              <w:rPr>
                <w:rFonts w:ascii="Arial" w:cs="Arial" w:eastAsia="Arial" w:hAnsi="Arial"/>
                <w:sz w:val="9"/>
                <w:szCs w:val="9"/>
                <w:b w:val="1"/>
                <w:bCs w:val="1"/>
                <w:color w:val="auto"/>
                <w:w w:val="99"/>
              </w:rPr>
              <w:t>Amount</w:t>
            </w:r>
          </w:p>
        </w:tc>
        <w:tc>
          <w:tcPr>
            <w:tcW w:w="60" w:type="dxa"/>
            <w:vAlign w:val="bottom"/>
          </w:tcPr>
          <w:p>
            <w:pPr>
              <w:spacing w:after="0"/>
              <w:rPr>
                <w:sz w:val="9"/>
                <w:szCs w:val="9"/>
                <w:color w:val="auto"/>
              </w:rPr>
            </w:pPr>
          </w:p>
        </w:tc>
        <w:tc>
          <w:tcPr>
            <w:tcW w:w="380" w:type="dxa"/>
            <w:vAlign w:val="bottom"/>
          </w:tcPr>
          <w:p>
            <w:pPr>
              <w:jc w:val="right"/>
              <w:ind w:right="54"/>
              <w:spacing w:after="0"/>
              <w:rPr>
                <w:sz w:val="20"/>
                <w:szCs w:val="20"/>
                <w:color w:val="auto"/>
              </w:rPr>
            </w:pPr>
            <w:r>
              <w:rPr>
                <w:rFonts w:ascii="Arial" w:cs="Arial" w:eastAsia="Arial" w:hAnsi="Arial"/>
                <w:sz w:val="9"/>
                <w:szCs w:val="9"/>
                <w:b w:val="1"/>
                <w:bCs w:val="1"/>
                <w:color w:val="auto"/>
                <w:w w:val="91"/>
              </w:rPr>
              <w:t>capital</w:t>
            </w:r>
          </w:p>
        </w:tc>
        <w:tc>
          <w:tcPr>
            <w:tcW w:w="20" w:type="dxa"/>
            <w:vAlign w:val="bottom"/>
          </w:tcPr>
          <w:p>
            <w:pPr>
              <w:spacing w:after="0"/>
              <w:rPr>
                <w:sz w:val="9"/>
                <w:szCs w:val="9"/>
                <w:color w:val="auto"/>
              </w:rPr>
            </w:pPr>
          </w:p>
        </w:tc>
        <w:tc>
          <w:tcPr>
            <w:tcW w:w="20" w:type="dxa"/>
            <w:vAlign w:val="bottom"/>
          </w:tcPr>
          <w:p>
            <w:pPr>
              <w:spacing w:after="0"/>
              <w:rPr>
                <w:sz w:val="9"/>
                <w:szCs w:val="9"/>
                <w:color w:val="auto"/>
              </w:rPr>
            </w:pPr>
          </w:p>
        </w:tc>
        <w:tc>
          <w:tcPr>
            <w:tcW w:w="80" w:type="dxa"/>
            <w:vAlign w:val="bottom"/>
          </w:tcPr>
          <w:p>
            <w:pPr>
              <w:spacing w:after="0"/>
              <w:rPr>
                <w:sz w:val="9"/>
                <w:szCs w:val="9"/>
                <w:color w:val="auto"/>
              </w:rPr>
            </w:pPr>
          </w:p>
        </w:tc>
        <w:tc>
          <w:tcPr>
            <w:tcW w:w="540" w:type="dxa"/>
            <w:vAlign w:val="bottom"/>
            <w:gridSpan w:val="2"/>
          </w:tcPr>
          <w:p>
            <w:pPr>
              <w:jc w:val="right"/>
              <w:ind w:right="180"/>
              <w:spacing w:after="0"/>
              <w:rPr>
                <w:sz w:val="20"/>
                <w:szCs w:val="20"/>
                <w:color w:val="auto"/>
              </w:rPr>
            </w:pPr>
            <w:r>
              <w:rPr>
                <w:rFonts w:ascii="Arial" w:cs="Arial" w:eastAsia="Arial" w:hAnsi="Arial"/>
                <w:sz w:val="9"/>
                <w:szCs w:val="9"/>
                <w:b w:val="1"/>
                <w:bCs w:val="1"/>
                <w:color w:val="auto"/>
              </w:rPr>
              <w:t>Deficit</w:t>
            </w:r>
          </w:p>
        </w:tc>
        <w:tc>
          <w:tcPr>
            <w:tcW w:w="60" w:type="dxa"/>
            <w:vAlign w:val="bottom"/>
          </w:tcPr>
          <w:p>
            <w:pPr>
              <w:spacing w:after="0"/>
              <w:rPr>
                <w:sz w:val="9"/>
                <w:szCs w:val="9"/>
                <w:color w:val="auto"/>
              </w:rPr>
            </w:pPr>
          </w:p>
        </w:tc>
        <w:tc>
          <w:tcPr>
            <w:tcW w:w="540" w:type="dxa"/>
            <w:vAlign w:val="bottom"/>
            <w:gridSpan w:val="3"/>
          </w:tcPr>
          <w:p>
            <w:pPr>
              <w:jc w:val="right"/>
              <w:ind w:right="160"/>
              <w:spacing w:after="0"/>
              <w:rPr>
                <w:sz w:val="20"/>
                <w:szCs w:val="20"/>
                <w:color w:val="auto"/>
              </w:rPr>
            </w:pPr>
            <w:r>
              <w:rPr>
                <w:rFonts w:ascii="Arial" w:cs="Arial" w:eastAsia="Arial" w:hAnsi="Arial"/>
                <w:sz w:val="9"/>
                <w:szCs w:val="9"/>
                <w:b w:val="1"/>
                <w:bCs w:val="1"/>
                <w:color w:val="auto"/>
              </w:rPr>
              <w:t>Deficit</w:t>
            </w:r>
          </w:p>
        </w:tc>
        <w:tc>
          <w:tcPr>
            <w:tcW w:w="0" w:type="dxa"/>
            <w:vAlign w:val="bottom"/>
          </w:tcPr>
          <w:p>
            <w:pPr>
              <w:spacing w:after="0"/>
              <w:rPr>
                <w:sz w:val="1"/>
                <w:szCs w:val="1"/>
                <w:color w:val="auto"/>
              </w:rPr>
            </w:pPr>
          </w:p>
        </w:tc>
      </w:tr>
      <w:tr>
        <w:trPr>
          <w:trHeight w:val="88"/>
        </w:trPr>
        <w:tc>
          <w:tcPr>
            <w:tcW w:w="2140" w:type="dxa"/>
            <w:vAlign w:val="bottom"/>
            <w:tcBorders>
              <w:top w:val="single" w:sz="8" w:color="CCEEFF"/>
            </w:tcBorders>
            <w:shd w:val="clear" w:color="auto" w:fill="CCEEFF"/>
          </w:tcPr>
          <w:p>
            <w:pPr>
              <w:spacing w:after="0" w:line="88" w:lineRule="exact"/>
              <w:rPr>
                <w:sz w:val="20"/>
                <w:szCs w:val="20"/>
                <w:color w:val="auto"/>
              </w:rPr>
            </w:pPr>
            <w:r>
              <w:rPr>
                <w:rFonts w:ascii="Arial" w:cs="Arial" w:eastAsia="Arial" w:hAnsi="Arial"/>
                <w:sz w:val="9"/>
                <w:szCs w:val="9"/>
                <w:b w:val="1"/>
                <w:bCs w:val="1"/>
                <w:color w:val="auto"/>
              </w:rPr>
              <w:t>Balance - December 31, 2020</w:t>
            </w:r>
          </w:p>
        </w:tc>
        <w:tc>
          <w:tcPr>
            <w:tcW w:w="40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94"/>
              </w:rPr>
              <w:t>5,339,215</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42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83"/>
              </w:rPr>
              <w:t>$13,865,715</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89"/>
              </w:rPr>
              <w:t>1,660,756</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79"/>
              </w:rPr>
              <w:t>$ 4,982,268</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260" w:type="dxa"/>
            <w:vAlign w:val="bottom"/>
            <w:tcBorders>
              <w:top w:val="single" w:sz="8" w:color="auto"/>
            </w:tcBorders>
            <w:shd w:val="clear" w:color="auto" w:fill="CCEEFF"/>
          </w:tcPr>
          <w:p>
            <w:pPr>
              <w:ind w:left="20"/>
              <w:spacing w:after="0" w:line="88" w:lineRule="exact"/>
              <w:rPr>
                <w:sz w:val="20"/>
                <w:szCs w:val="20"/>
                <w:color w:val="auto"/>
              </w:rPr>
            </w:pPr>
            <w:r>
              <w:rPr>
                <w:rFonts w:ascii="Arial" w:cs="Arial" w:eastAsia="Arial" w:hAnsi="Arial"/>
                <w:sz w:val="9"/>
                <w:szCs w:val="9"/>
                <w:b w:val="1"/>
                <w:bCs w:val="1"/>
                <w:color w:val="auto"/>
                <w:w w:val="79"/>
              </w:rPr>
              <w:t>16,757</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28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74"/>
              </w:rPr>
              <w:t>$ 45,945</w:t>
            </w:r>
          </w:p>
        </w:tc>
        <w:tc>
          <w:tcPr>
            <w:tcW w:w="80" w:type="dxa"/>
            <w:vAlign w:val="bottom"/>
            <w:tcBorders>
              <w:top w:val="single" w:sz="8" w:color="CCEEFF"/>
              <w:right w:val="single" w:sz="8" w:color="CCEEFF"/>
            </w:tcBorders>
            <w:shd w:val="clear" w:color="auto" w:fill="CCEEFF"/>
          </w:tcPr>
          <w:p>
            <w:pPr>
              <w:spacing w:after="0"/>
              <w:rPr>
                <w:sz w:val="7"/>
                <w:szCs w:val="7"/>
                <w:color w:val="auto"/>
              </w:rPr>
            </w:pPr>
          </w:p>
        </w:tc>
        <w:tc>
          <w:tcPr>
            <w:tcW w:w="36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84"/>
              </w:rPr>
              <w:t>1,432,786</w:t>
            </w:r>
          </w:p>
        </w:tc>
        <w:tc>
          <w:tcPr>
            <w:tcW w:w="8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gridSpan w:val="2"/>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75"/>
              </w:rPr>
              <w:t>$ 5,825,889</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94"/>
              </w:rPr>
              <w:t>3,731,248</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420" w:type="dxa"/>
            <w:vAlign w:val="bottom"/>
            <w:tcBorders>
              <w:top w:val="single" w:sz="8" w:color="auto"/>
            </w:tcBorders>
            <w:gridSpan w:val="2"/>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83"/>
              </w:rPr>
              <w:t>$27,134,832</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94"/>
              </w:rPr>
              <w:t>8,936,015</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79"/>
              </w:rPr>
              <w:t>$ 3,865,155</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94"/>
              </w:rPr>
              <w:t>4,653,583</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tcBorders>
            <w:shd w:val="clear" w:color="auto" w:fill="CCEEFF"/>
          </w:tcPr>
          <w:p>
            <w:pPr>
              <w:jc w:val="center"/>
              <w:spacing w:after="0" w:line="88" w:lineRule="exact"/>
              <w:rPr>
                <w:sz w:val="20"/>
                <w:szCs w:val="20"/>
                <w:color w:val="auto"/>
              </w:rPr>
            </w:pPr>
            <w:r>
              <w:rPr>
                <w:rFonts w:ascii="Arial" w:cs="Arial" w:eastAsia="Arial" w:hAnsi="Arial"/>
                <w:sz w:val="9"/>
                <w:szCs w:val="9"/>
                <w:b w:val="1"/>
                <w:bCs w:val="1"/>
                <w:color w:val="auto"/>
                <w:w w:val="79"/>
              </w:rPr>
              <w:t>$ 9,441,770</w:t>
            </w: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22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40" w:type="dxa"/>
            <w:vAlign w:val="bottom"/>
            <w:tcBorders>
              <w:top w:val="single" w:sz="8" w:color="CCEEFF"/>
            </w:tcBorders>
            <w:shd w:val="clear" w:color="auto" w:fill="CCEEFF"/>
          </w:tcPr>
          <w:p>
            <w:pPr>
              <w:spacing w:after="0"/>
              <w:rPr>
                <w:sz w:val="7"/>
                <w:szCs w:val="7"/>
                <w:color w:val="auto"/>
              </w:rPr>
            </w:pPr>
          </w:p>
        </w:tc>
        <w:tc>
          <w:tcPr>
            <w:tcW w:w="20" w:type="dxa"/>
            <w:vAlign w:val="bottom"/>
            <w:tcBorders>
              <w:top w:val="single" w:sz="8" w:color="CCEEFF"/>
            </w:tcBorders>
            <w:shd w:val="clear" w:color="auto" w:fill="CCEEFF"/>
          </w:tcPr>
          <w:p>
            <w:pPr>
              <w:spacing w:after="0"/>
              <w:rPr>
                <w:sz w:val="7"/>
                <w:szCs w:val="7"/>
                <w:color w:val="auto"/>
              </w:rPr>
            </w:pPr>
          </w:p>
        </w:tc>
        <w:tc>
          <w:tcPr>
            <w:tcW w:w="240" w:type="dxa"/>
            <w:vAlign w:val="bottom"/>
            <w:tcBorders>
              <w:top w:val="single" w:sz="8" w:color="auto"/>
            </w:tcBorders>
            <w:shd w:val="clear" w:color="auto" w:fill="CCEEFF"/>
          </w:tcPr>
          <w:p>
            <w:pPr>
              <w:jc w:val="center"/>
              <w:ind w:right="154"/>
              <w:spacing w:after="0" w:line="88" w:lineRule="exact"/>
              <w:rPr>
                <w:sz w:val="20"/>
                <w:szCs w:val="20"/>
                <w:color w:val="auto"/>
              </w:rPr>
            </w:pPr>
            <w:r>
              <w:rPr>
                <w:rFonts w:ascii="Arial" w:cs="Arial" w:eastAsia="Arial" w:hAnsi="Arial"/>
                <w:sz w:val="9"/>
                <w:szCs w:val="9"/>
                <w:b w:val="1"/>
                <w:bCs w:val="1"/>
                <w:color w:val="auto"/>
                <w:w w:val="78"/>
              </w:rPr>
              <w:t>$</w:t>
            </w:r>
          </w:p>
        </w:tc>
        <w:tc>
          <w:tcPr>
            <w:tcW w:w="8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20" w:type="dxa"/>
            <w:vAlign w:val="bottom"/>
            <w:tcBorders>
              <w:top w:val="single" w:sz="8" w:color="CCEEFF"/>
            </w:tcBorders>
            <w:shd w:val="clear" w:color="auto" w:fill="CCEEFF"/>
          </w:tcPr>
          <w:p>
            <w:pPr>
              <w:spacing w:after="0"/>
              <w:rPr>
                <w:sz w:val="7"/>
                <w:szCs w:val="7"/>
                <w:color w:val="auto"/>
              </w:rPr>
            </w:pPr>
          </w:p>
        </w:tc>
        <w:tc>
          <w:tcPr>
            <w:tcW w:w="44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93"/>
              </w:rPr>
              <w:t>10,189,000</w:t>
            </w:r>
          </w:p>
        </w:tc>
        <w:tc>
          <w:tcPr>
            <w:tcW w:w="20" w:type="dxa"/>
            <w:vAlign w:val="bottom"/>
            <w:tcBorders>
              <w:top w:val="single" w:sz="8" w:color="CCEEFF"/>
            </w:tcBorders>
            <w:shd w:val="clear" w:color="auto" w:fill="CCEEFF"/>
          </w:tcPr>
          <w:p>
            <w:pPr>
              <w:spacing w:after="0"/>
              <w:rPr>
                <w:sz w:val="7"/>
                <w:szCs w:val="7"/>
                <w:color w:val="auto"/>
              </w:rPr>
            </w:pPr>
          </w:p>
        </w:tc>
        <w:tc>
          <w:tcPr>
            <w:tcW w:w="20" w:type="dxa"/>
            <w:vAlign w:val="bottom"/>
            <w:tcBorders>
              <w:top w:val="single" w:sz="8" w:color="CCEEFF"/>
            </w:tcBorders>
            <w:shd w:val="clear" w:color="auto" w:fill="CCEEFF"/>
          </w:tcPr>
          <w:p>
            <w:pPr>
              <w:spacing w:after="0"/>
              <w:rPr>
                <w:sz w:val="7"/>
                <w:szCs w:val="7"/>
                <w:color w:val="auto"/>
              </w:rPr>
            </w:pPr>
          </w:p>
        </w:tc>
        <w:tc>
          <w:tcPr>
            <w:tcW w:w="300" w:type="dxa"/>
            <w:vAlign w:val="bottom"/>
            <w:tcBorders>
              <w:top w:val="single" w:sz="8" w:color="auto"/>
            </w:tcBorders>
            <w:gridSpan w:val="2"/>
            <w:shd w:val="clear" w:color="auto" w:fill="CCEEFF"/>
          </w:tcPr>
          <w:p>
            <w:pPr>
              <w:spacing w:after="0" w:line="88" w:lineRule="exact"/>
              <w:rPr>
                <w:sz w:val="20"/>
                <w:szCs w:val="20"/>
                <w:color w:val="auto"/>
              </w:rPr>
            </w:pPr>
            <w:r>
              <w:rPr>
                <w:rFonts w:ascii="Arial" w:cs="Arial" w:eastAsia="Arial" w:hAnsi="Arial"/>
                <w:sz w:val="9"/>
                <w:szCs w:val="9"/>
                <w:b w:val="1"/>
                <w:bCs w:val="1"/>
                <w:color w:val="auto"/>
                <w:w w:val="79"/>
              </w:rPr>
              <w:t>$ 10,189</w:t>
            </w:r>
          </w:p>
        </w:tc>
        <w:tc>
          <w:tcPr>
            <w:tcW w:w="20" w:type="dxa"/>
            <w:vAlign w:val="bottom"/>
            <w:tcBorders>
              <w:top w:val="single" w:sz="8" w:color="CCEEFF"/>
            </w:tcBorders>
            <w:shd w:val="clear" w:color="auto" w:fill="CCEEFF"/>
          </w:tcPr>
          <w:p>
            <w:pPr>
              <w:spacing w:after="0"/>
              <w:rPr>
                <w:sz w:val="7"/>
                <w:szCs w:val="7"/>
                <w:color w:val="auto"/>
              </w:rPr>
            </w:pPr>
          </w:p>
        </w:tc>
        <w:tc>
          <w:tcPr>
            <w:tcW w:w="40" w:type="dxa"/>
            <w:vAlign w:val="bottom"/>
            <w:tcBorders>
              <w:top w:val="single" w:sz="8" w:color="CCEEFF"/>
            </w:tcBorders>
            <w:shd w:val="clear" w:color="auto" w:fill="CCEEFF"/>
          </w:tcPr>
          <w:p>
            <w:pPr>
              <w:spacing w:after="0"/>
              <w:rPr>
                <w:sz w:val="7"/>
                <w:szCs w:val="7"/>
                <w:color w:val="auto"/>
              </w:rPr>
            </w:pPr>
          </w:p>
        </w:tc>
        <w:tc>
          <w:tcPr>
            <w:tcW w:w="60" w:type="dxa"/>
            <w:vAlign w:val="bottom"/>
            <w:tcBorders>
              <w:top w:val="single" w:sz="8" w:color="CCEEFF"/>
              <w:right w:val="single" w:sz="8" w:color="CCEEFF"/>
            </w:tcBorders>
            <w:shd w:val="clear" w:color="auto" w:fill="CCEEFF"/>
          </w:tcPr>
          <w:p>
            <w:pPr>
              <w:spacing w:after="0"/>
              <w:rPr>
                <w:sz w:val="7"/>
                <w:szCs w:val="7"/>
                <w:color w:val="auto"/>
              </w:rPr>
            </w:pPr>
          </w:p>
        </w:tc>
        <w:tc>
          <w:tcPr>
            <w:tcW w:w="380" w:type="dxa"/>
            <w:vAlign w:val="bottom"/>
            <w:tcBorders>
              <w:top w:val="single" w:sz="8" w:color="auto"/>
              <w:right w:val="single" w:sz="8" w:color="CCEEFF"/>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71"/>
              </w:rPr>
              <w:t>$ 3,050,755</w:t>
            </w:r>
          </w:p>
        </w:tc>
        <w:tc>
          <w:tcPr>
            <w:tcW w:w="40" w:type="dxa"/>
            <w:vAlign w:val="bottom"/>
            <w:tcBorders>
              <w:top w:val="single" w:sz="8" w:color="CCEEFF"/>
            </w:tcBorders>
            <w:gridSpan w:val="2"/>
            <w:shd w:val="clear" w:color="auto" w:fill="CCEEFF"/>
          </w:tcPr>
          <w:p>
            <w:pPr>
              <w:spacing w:after="0"/>
              <w:rPr>
                <w:sz w:val="7"/>
                <w:szCs w:val="7"/>
                <w:color w:val="auto"/>
              </w:rPr>
            </w:pPr>
          </w:p>
        </w:tc>
        <w:tc>
          <w:tcPr>
            <w:tcW w:w="8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78"/>
              </w:rPr>
              <w:t>$</w:t>
            </w:r>
          </w:p>
        </w:tc>
        <w:tc>
          <w:tcPr>
            <w:tcW w:w="460" w:type="dxa"/>
            <w:vAlign w:val="bottom"/>
            <w:tcBorders>
              <w:top w:val="single" w:sz="8" w:color="auto"/>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86"/>
              </w:rPr>
              <w:t>(69,246,228)</w:t>
            </w:r>
          </w:p>
        </w:tc>
        <w:tc>
          <w:tcPr>
            <w:tcW w:w="80" w:type="dxa"/>
            <w:vAlign w:val="bottom"/>
            <w:tcBorders>
              <w:top w:val="single" w:sz="8" w:color="CCEEFF"/>
            </w:tcBorders>
            <w:shd w:val="clear" w:color="auto" w:fill="CCEEFF"/>
          </w:tcPr>
          <w:p>
            <w:pPr>
              <w:spacing w:after="0"/>
              <w:rPr>
                <w:sz w:val="7"/>
                <w:szCs w:val="7"/>
                <w:color w:val="auto"/>
              </w:rPr>
            </w:pPr>
          </w:p>
        </w:tc>
        <w:tc>
          <w:tcPr>
            <w:tcW w:w="60" w:type="dxa"/>
            <w:vAlign w:val="bottom"/>
            <w:tcBorders>
              <w:top w:val="single" w:sz="8" w:color="auto"/>
              <w:left w:val="single" w:sz="8" w:color="CCEEFF"/>
            </w:tcBorders>
            <w:shd w:val="clear" w:color="auto" w:fill="CCEEFF"/>
          </w:tcPr>
          <w:p>
            <w:pPr>
              <w:spacing w:after="0" w:line="88" w:lineRule="exact"/>
              <w:rPr>
                <w:sz w:val="20"/>
                <w:szCs w:val="20"/>
                <w:color w:val="auto"/>
              </w:rPr>
            </w:pPr>
            <w:r>
              <w:rPr>
                <w:rFonts w:ascii="Arial" w:cs="Arial" w:eastAsia="Arial" w:hAnsi="Arial"/>
                <w:sz w:val="9"/>
                <w:szCs w:val="9"/>
                <w:b w:val="1"/>
                <w:bCs w:val="1"/>
                <w:color w:val="auto"/>
                <w:w w:val="78"/>
              </w:rPr>
              <w:t>$</w:t>
            </w:r>
          </w:p>
        </w:tc>
        <w:tc>
          <w:tcPr>
            <w:tcW w:w="480" w:type="dxa"/>
            <w:vAlign w:val="bottom"/>
            <w:tcBorders>
              <w:top w:val="single" w:sz="8" w:color="auto"/>
              <w:right w:val="single" w:sz="8" w:color="CCEEFF"/>
            </w:tcBorders>
            <w:shd w:val="clear" w:color="auto" w:fill="CCEEFF"/>
          </w:tcPr>
          <w:p>
            <w:pPr>
              <w:jc w:val="right"/>
              <w:spacing w:after="0" w:line="88" w:lineRule="exact"/>
              <w:rPr>
                <w:sz w:val="20"/>
                <w:szCs w:val="20"/>
                <w:color w:val="auto"/>
              </w:rPr>
            </w:pPr>
            <w:r>
              <w:rPr>
                <w:rFonts w:ascii="Arial" w:cs="Arial" w:eastAsia="Arial" w:hAnsi="Arial"/>
                <w:sz w:val="9"/>
                <w:szCs w:val="9"/>
                <w:b w:val="1"/>
                <w:bCs w:val="1"/>
                <w:color w:val="auto"/>
                <w:w w:val="86"/>
              </w:rPr>
              <w:t>(66,185,284)</w:t>
            </w:r>
          </w:p>
        </w:tc>
        <w:tc>
          <w:tcPr>
            <w:tcW w:w="20" w:type="dxa"/>
            <w:vAlign w:val="bottom"/>
            <w:tcBorders>
              <w:top w:val="single" w:sz="8" w:color="CCEEFF"/>
            </w:tcBorders>
            <w:shd w:val="clear" w:color="auto" w:fill="CCEEFF"/>
          </w:tcPr>
          <w:p>
            <w:pPr>
              <w:spacing w:after="0"/>
              <w:rPr>
                <w:sz w:val="7"/>
                <w:szCs w:val="7"/>
                <w:color w:val="auto"/>
              </w:rPr>
            </w:pP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Stock based compensation</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5"/>
                <w:szCs w:val="5"/>
                <w:color w:val="auto"/>
                <w:w w:val="70"/>
              </w:rPr>
              <w:t>$</w:t>
            </w:r>
          </w:p>
        </w:tc>
        <w:tc>
          <w:tcPr>
            <w:tcW w:w="380" w:type="dxa"/>
            <w:vAlign w:val="bottom"/>
            <w:tcBorders>
              <w:right w:val="single" w:sz="8" w:color="CCEEFF"/>
            </w:tcBorders>
            <w:shd w:val="clear" w:color="auto" w:fill="CCEEFF"/>
          </w:tcPr>
          <w:p>
            <w:pPr>
              <w:jc w:val="right"/>
              <w:spacing w:after="0" w:line="98" w:lineRule="exact"/>
              <w:rPr>
                <w:sz w:val="20"/>
                <w:szCs w:val="20"/>
                <w:color w:val="auto"/>
              </w:rPr>
            </w:pPr>
            <w:r>
              <w:rPr>
                <w:rFonts w:ascii="Arial" w:cs="Arial" w:eastAsia="Arial" w:hAnsi="Arial"/>
                <w:sz w:val="9"/>
                <w:szCs w:val="9"/>
                <w:color w:val="auto"/>
              </w:rPr>
              <w:t>458,488</w:t>
            </w: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480" w:type="dxa"/>
            <w:vAlign w:val="bottom"/>
            <w:tcBorders>
              <w:right w:val="single" w:sz="8" w:color="CCEEFF"/>
            </w:tcBorders>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458,488</w:t>
            </w:r>
          </w:p>
        </w:tc>
        <w:tc>
          <w:tcPr>
            <w:tcW w:w="20" w:type="dxa"/>
            <w:vAlign w:val="bottom"/>
            <w:shd w:val="clear" w:color="auto" w:fill="CCEEFF"/>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Warrants expired</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20"/>
                <w:szCs w:val="20"/>
                <w:color w:val="auto"/>
              </w:rPr>
            </w:pPr>
            <w:r>
              <w:rPr>
                <w:rFonts w:ascii="Arial" w:cs="Arial" w:eastAsia="Arial" w:hAnsi="Arial"/>
                <w:sz w:val="5"/>
                <w:szCs w:val="5"/>
                <w:color w:val="auto"/>
                <w:w w:val="70"/>
              </w:rPr>
              <w:t>$</w:t>
            </w:r>
          </w:p>
        </w:tc>
        <w:tc>
          <w:tcPr>
            <w:tcW w:w="380" w:type="dxa"/>
            <w:vAlign w:val="bottom"/>
            <w:tcBorders>
              <w:right w:val="single" w:sz="8" w:color="CCEEFF"/>
            </w:tcBorders>
            <w:shd w:val="clear" w:color="auto" w:fill="CCEEFF"/>
          </w:tcPr>
          <w:p>
            <w:pPr>
              <w:jc w:val="right"/>
              <w:spacing w:after="0" w:line="98" w:lineRule="exact"/>
              <w:rPr>
                <w:sz w:val="20"/>
                <w:szCs w:val="20"/>
                <w:color w:val="auto"/>
              </w:rPr>
            </w:pPr>
            <w:r>
              <w:rPr>
                <w:rFonts w:ascii="Arial" w:cs="Arial" w:eastAsia="Arial" w:hAnsi="Arial"/>
                <w:sz w:val="9"/>
                <w:szCs w:val="9"/>
                <w:color w:val="auto"/>
              </w:rPr>
              <w:t>14,095</w:t>
            </w: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500" w:type="dxa"/>
            <w:vAlign w:val="bottom"/>
            <w:gridSpan w:val="2"/>
            <w:shd w:val="clear" w:color="auto" w:fill="CCEEFF"/>
          </w:tcPr>
          <w:p>
            <w:pPr>
              <w:jc w:val="right"/>
              <w:ind w:right="14"/>
              <w:spacing w:after="0" w:line="98" w:lineRule="exact"/>
              <w:rPr>
                <w:sz w:val="20"/>
                <w:szCs w:val="20"/>
                <w:color w:val="auto"/>
              </w:rPr>
            </w:pPr>
            <w:r>
              <w:rPr>
                <w:rFonts w:ascii="Arial" w:cs="Arial" w:eastAsia="Arial" w:hAnsi="Arial"/>
                <w:sz w:val="9"/>
                <w:szCs w:val="9"/>
                <w:b w:val="1"/>
                <w:bCs w:val="1"/>
                <w:color w:val="auto"/>
              </w:rPr>
              <w:t>14,095</w:t>
            </w: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Stock options exercised</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tcBorders>
              <w:left w:val="single" w:sz="8" w:color="CCEEFF"/>
            </w:tcBorders>
            <w:shd w:val="clear" w:color="auto" w:fill="CCEEFF"/>
          </w:tcPr>
          <w:p>
            <w:pPr>
              <w:spacing w:after="0"/>
              <w:rPr>
                <w:sz w:val="8"/>
                <w:szCs w:val="8"/>
                <w:color w:val="auto"/>
              </w:rPr>
            </w:pPr>
          </w:p>
        </w:tc>
        <w:tc>
          <w:tcPr>
            <w:tcW w:w="480" w:type="dxa"/>
            <w:vAlign w:val="bottom"/>
            <w:tcBorders>
              <w:right w:val="single" w:sz="8" w:color="CCEEFF"/>
            </w:tcBorders>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gridSpan w:val="2"/>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80" w:type="dxa"/>
            <w:vAlign w:val="bottom"/>
          </w:tcPr>
          <w:p>
            <w:pPr>
              <w:spacing w:after="0"/>
              <w:rPr>
                <w:sz w:val="8"/>
                <w:szCs w:val="8"/>
                <w:color w:val="auto"/>
              </w:rPr>
            </w:pPr>
          </w:p>
        </w:tc>
        <w:tc>
          <w:tcPr>
            <w:tcW w:w="460" w:type="dxa"/>
            <w:vAlign w:val="bottom"/>
          </w:tcPr>
          <w:p>
            <w:pPr>
              <w:spacing w:after="0"/>
              <w:rPr>
                <w:sz w:val="8"/>
                <w:szCs w:val="8"/>
                <w:color w:val="auto"/>
              </w:rPr>
            </w:pPr>
          </w:p>
        </w:tc>
        <w:tc>
          <w:tcPr>
            <w:tcW w:w="80" w:type="dxa"/>
            <w:vAlign w:val="bottom"/>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w w:val="90"/>
              </w:rPr>
              <w:t>Issuance of Series S Preferred stock, net of issuance costs</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40" w:type="dxa"/>
            <w:vAlign w:val="bottom"/>
            <w:tcBorders>
              <w:right w:val="single" w:sz="8" w:color="CCEEFF"/>
            </w:tcBorders>
            <w:gridSpan w:val="2"/>
            <w:shd w:val="clear" w:color="auto" w:fill="CCEEFF"/>
          </w:tcPr>
          <w:p>
            <w:pPr>
              <w:jc w:val="center"/>
              <w:ind w:right="60"/>
              <w:spacing w:after="0" w:line="98" w:lineRule="exact"/>
              <w:rPr>
                <w:sz w:val="20"/>
                <w:szCs w:val="20"/>
                <w:color w:val="auto"/>
              </w:rPr>
            </w:pPr>
            <w:r>
              <w:rPr>
                <w:rFonts w:ascii="Arial" w:cs="Arial" w:eastAsia="Arial" w:hAnsi="Arial"/>
                <w:sz w:val="9"/>
                <w:szCs w:val="9"/>
                <w:color w:val="auto"/>
                <w:w w:val="94"/>
              </w:rPr>
              <w:t>1,835,923</w:t>
            </w:r>
          </w:p>
        </w:tc>
        <w:tc>
          <w:tcPr>
            <w:tcW w:w="480" w:type="dxa"/>
            <w:vAlign w:val="bottom"/>
            <w:tcBorders>
              <w:right w:val="single" w:sz="8" w:color="CCEEFF"/>
            </w:tcBorders>
            <w:gridSpan w:val="3"/>
            <w:shd w:val="clear" w:color="auto" w:fill="CCEEFF"/>
          </w:tcPr>
          <w:p>
            <w:pPr>
              <w:jc w:val="center"/>
              <w:ind w:right="60"/>
              <w:spacing w:after="0" w:line="98" w:lineRule="exact"/>
              <w:rPr>
                <w:sz w:val="20"/>
                <w:szCs w:val="20"/>
                <w:color w:val="auto"/>
              </w:rPr>
            </w:pPr>
            <w:r>
              <w:rPr>
                <w:rFonts w:ascii="Arial" w:cs="Arial" w:eastAsia="Arial" w:hAnsi="Arial"/>
                <w:sz w:val="9"/>
                <w:szCs w:val="9"/>
                <w:color w:val="auto"/>
                <w:w w:val="83"/>
              </w:rPr>
              <w:t>$16,387,122</w:t>
            </w: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46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500" w:type="dxa"/>
            <w:vAlign w:val="bottom"/>
            <w:gridSpan w:val="2"/>
            <w:shd w:val="clear" w:color="auto" w:fill="CCEEFF"/>
          </w:tcPr>
          <w:p>
            <w:pPr>
              <w:jc w:val="right"/>
              <w:ind w:right="14"/>
              <w:spacing w:after="0" w:line="98" w:lineRule="exact"/>
              <w:rPr>
                <w:sz w:val="20"/>
                <w:szCs w:val="20"/>
                <w:color w:val="auto"/>
              </w:rPr>
            </w:pPr>
            <w:r>
              <w:rPr>
                <w:rFonts w:ascii="Arial" w:cs="Arial" w:eastAsia="Arial" w:hAnsi="Arial"/>
                <w:sz w:val="9"/>
                <w:szCs w:val="9"/>
                <w:b w:val="1"/>
                <w:bCs w:val="1"/>
                <w:color w:val="auto"/>
              </w:rPr>
              <w:t>-</w:t>
            </w: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4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540" w:type="dxa"/>
            <w:vAlign w:val="bottom"/>
            <w:gridSpan w:val="2"/>
          </w:tcPr>
          <w:p>
            <w:pPr>
              <w:spacing w:after="0"/>
              <w:rPr>
                <w:sz w:val="8"/>
                <w:szCs w:val="8"/>
                <w:color w:val="auto"/>
              </w:rPr>
            </w:pPr>
          </w:p>
        </w:tc>
        <w:tc>
          <w:tcPr>
            <w:tcW w:w="60" w:type="dxa"/>
            <w:vAlign w:val="bottom"/>
          </w:tcPr>
          <w:p>
            <w:pPr>
              <w:spacing w:after="0"/>
              <w:rPr>
                <w:sz w:val="8"/>
                <w:szCs w:val="8"/>
                <w:color w:val="auto"/>
              </w:rPr>
            </w:pPr>
          </w:p>
        </w:tc>
        <w:tc>
          <w:tcPr>
            <w:tcW w:w="48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Series m-4 accrued dividend</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jc w:val="center"/>
              <w:spacing w:after="0" w:line="98" w:lineRule="exact"/>
              <w:rPr>
                <w:sz w:val="20"/>
                <w:szCs w:val="20"/>
                <w:color w:val="auto"/>
              </w:rPr>
            </w:pPr>
            <w:r>
              <w:rPr>
                <w:rFonts w:ascii="Arial" w:cs="Arial" w:eastAsia="Arial" w:hAnsi="Arial"/>
                <w:sz w:val="9"/>
                <w:szCs w:val="9"/>
                <w:color w:val="auto"/>
                <w:w w:val="78"/>
              </w:rPr>
              <w:t>$</w:t>
            </w:r>
          </w:p>
        </w:tc>
        <w:tc>
          <w:tcPr>
            <w:tcW w:w="40" w:type="dxa"/>
            <w:vAlign w:val="bottom"/>
            <w:shd w:val="clear" w:color="auto" w:fill="CCEEFF"/>
          </w:tcPr>
          <w:p>
            <w:pPr>
              <w:spacing w:after="0"/>
              <w:rPr>
                <w:sz w:val="8"/>
                <w:szCs w:val="8"/>
                <w:color w:val="auto"/>
              </w:rPr>
            </w:pPr>
          </w:p>
        </w:tc>
        <w:tc>
          <w:tcPr>
            <w:tcW w:w="400" w:type="dxa"/>
            <w:vAlign w:val="bottom"/>
            <w:tcBorders>
              <w:right w:val="single" w:sz="8" w:color="CCEEFF"/>
            </w:tcBorders>
            <w:gridSpan w:val="2"/>
            <w:shd w:val="clear" w:color="auto" w:fill="CCEEFF"/>
          </w:tcPr>
          <w:p>
            <w:pPr>
              <w:jc w:val="right"/>
              <w:ind w:right="60"/>
              <w:spacing w:after="0" w:line="98" w:lineRule="exact"/>
              <w:rPr>
                <w:sz w:val="20"/>
                <w:szCs w:val="20"/>
                <w:color w:val="auto"/>
              </w:rPr>
            </w:pPr>
            <w:r>
              <w:rPr>
                <w:rFonts w:ascii="Arial" w:cs="Arial" w:eastAsia="Arial" w:hAnsi="Arial"/>
                <w:sz w:val="9"/>
                <w:szCs w:val="9"/>
                <w:color w:val="auto"/>
                <w:w w:val="98"/>
              </w:rPr>
              <w:t>359,028</w:t>
            </w: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120" w:type="dxa"/>
            <w:vAlign w:val="bottom"/>
            <w:gridSpan w:val="3"/>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w:t>
            </w:r>
          </w:p>
        </w:tc>
        <w:tc>
          <w:tcPr>
            <w:tcW w:w="540" w:type="dxa"/>
            <w:vAlign w:val="bottom"/>
            <w:gridSpan w:val="2"/>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(359,028)</w:t>
            </w:r>
          </w:p>
        </w:tc>
        <w:tc>
          <w:tcPr>
            <w:tcW w:w="60" w:type="dxa"/>
            <w:vAlign w:val="bottom"/>
            <w:tcBorders>
              <w:left w:val="single" w:sz="8" w:color="CCEEFF"/>
            </w:tcBorders>
            <w:shd w:val="clear" w:color="auto" w:fill="CCEEFF"/>
          </w:tcPr>
          <w:p>
            <w:pPr>
              <w:spacing w:after="0" w:line="98" w:lineRule="exact"/>
              <w:rPr>
                <w:sz w:val="20"/>
                <w:szCs w:val="20"/>
                <w:color w:val="auto"/>
              </w:rPr>
            </w:pPr>
            <w:r>
              <w:rPr>
                <w:rFonts w:ascii="Arial" w:cs="Arial" w:eastAsia="Arial" w:hAnsi="Arial"/>
                <w:sz w:val="9"/>
                <w:szCs w:val="9"/>
                <w:b w:val="1"/>
                <w:bCs w:val="1"/>
                <w:color w:val="auto"/>
                <w:w w:val="78"/>
              </w:rPr>
              <w:t>$</w:t>
            </w:r>
          </w:p>
        </w:tc>
        <w:tc>
          <w:tcPr>
            <w:tcW w:w="500" w:type="dxa"/>
            <w:vAlign w:val="bottom"/>
            <w:gridSpan w:val="2"/>
            <w:shd w:val="clear" w:color="auto" w:fill="CCEEFF"/>
          </w:tcPr>
          <w:p>
            <w:pPr>
              <w:jc w:val="right"/>
              <w:spacing w:after="0" w:line="98" w:lineRule="exact"/>
              <w:rPr>
                <w:sz w:val="20"/>
                <w:szCs w:val="20"/>
                <w:color w:val="auto"/>
              </w:rPr>
            </w:pPr>
            <w:r>
              <w:rPr>
                <w:rFonts w:ascii="Arial" w:cs="Arial" w:eastAsia="Arial" w:hAnsi="Arial"/>
                <w:sz w:val="9"/>
                <w:szCs w:val="9"/>
                <w:b w:val="1"/>
                <w:bCs w:val="1"/>
                <w:color w:val="auto"/>
              </w:rPr>
              <w:t>(359,028)</w:t>
            </w: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tcPr>
          <w:p>
            <w:pPr>
              <w:spacing w:after="0"/>
              <w:rPr>
                <w:sz w:val="8"/>
                <w:szCs w:val="8"/>
                <w:color w:val="auto"/>
              </w:rPr>
            </w:pPr>
          </w:p>
        </w:tc>
        <w:tc>
          <w:tcPr>
            <w:tcW w:w="400" w:type="dxa"/>
            <w:vAlign w:val="bottom"/>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60" w:type="dxa"/>
            <w:vAlign w:val="bottom"/>
          </w:tcPr>
          <w:p>
            <w:pPr>
              <w:spacing w:after="0"/>
              <w:rPr>
                <w:sz w:val="8"/>
                <w:szCs w:val="8"/>
                <w:color w:val="auto"/>
              </w:rPr>
            </w:pPr>
          </w:p>
        </w:tc>
        <w:tc>
          <w:tcPr>
            <w:tcW w:w="60" w:type="dxa"/>
            <w:vAlign w:val="bottom"/>
          </w:tcPr>
          <w:p>
            <w:pPr>
              <w:spacing w:after="0"/>
              <w:rPr>
                <w:sz w:val="8"/>
                <w:szCs w:val="8"/>
                <w:color w:val="auto"/>
              </w:rPr>
            </w:pPr>
          </w:p>
        </w:tc>
        <w:tc>
          <w:tcPr>
            <w:tcW w:w="280" w:type="dxa"/>
            <w:vAlign w:val="bottom"/>
          </w:tcPr>
          <w:p>
            <w:pPr>
              <w:spacing w:after="0"/>
              <w:rPr>
                <w:sz w:val="8"/>
                <w:szCs w:val="8"/>
                <w:color w:val="auto"/>
              </w:rPr>
            </w:pPr>
          </w:p>
        </w:tc>
        <w:tc>
          <w:tcPr>
            <w:tcW w:w="80" w:type="dxa"/>
            <w:vAlign w:val="bottom"/>
          </w:tcPr>
          <w:p>
            <w:pPr>
              <w:spacing w:after="0"/>
              <w:rPr>
                <w:sz w:val="8"/>
                <w:szCs w:val="8"/>
                <w:color w:val="auto"/>
              </w:rPr>
            </w:pPr>
          </w:p>
        </w:tc>
        <w:tc>
          <w:tcPr>
            <w:tcW w:w="360" w:type="dxa"/>
            <w:vAlign w:val="bottom"/>
          </w:tcPr>
          <w:p>
            <w:pPr>
              <w:spacing w:after="0"/>
              <w:rPr>
                <w:sz w:val="8"/>
                <w:szCs w:val="8"/>
                <w:color w:val="auto"/>
              </w:rPr>
            </w:pPr>
          </w:p>
        </w:tc>
        <w:tc>
          <w:tcPr>
            <w:tcW w:w="80" w:type="dxa"/>
            <w:vAlign w:val="bottom"/>
          </w:tcPr>
          <w:p>
            <w:pPr>
              <w:spacing w:after="0"/>
              <w:rPr>
                <w:sz w:val="8"/>
                <w:szCs w:val="8"/>
                <w:color w:val="auto"/>
              </w:rPr>
            </w:pPr>
          </w:p>
        </w:tc>
        <w:tc>
          <w:tcPr>
            <w:tcW w:w="40" w:type="dxa"/>
            <w:vAlign w:val="bottom"/>
          </w:tcPr>
          <w:p>
            <w:pPr>
              <w:spacing w:after="0"/>
              <w:rPr>
                <w:sz w:val="8"/>
                <w:szCs w:val="8"/>
                <w:color w:val="auto"/>
              </w:rPr>
            </w:pPr>
          </w:p>
        </w:tc>
        <w:tc>
          <w:tcPr>
            <w:tcW w:w="3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4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40" w:type="dxa"/>
            <w:vAlign w:val="bottom"/>
          </w:tcPr>
          <w:p>
            <w:pPr>
              <w:spacing w:after="0"/>
              <w:rPr>
                <w:sz w:val="8"/>
                <w:szCs w:val="8"/>
                <w:color w:val="auto"/>
              </w:rPr>
            </w:pPr>
          </w:p>
        </w:tc>
        <w:tc>
          <w:tcPr>
            <w:tcW w:w="20" w:type="dxa"/>
            <w:vAlign w:val="bottom"/>
          </w:tcPr>
          <w:p>
            <w:pPr>
              <w:spacing w:after="0"/>
              <w:rPr>
                <w:sz w:val="8"/>
                <w:szCs w:val="8"/>
                <w:color w:val="auto"/>
              </w:rPr>
            </w:pPr>
          </w:p>
        </w:tc>
        <w:tc>
          <w:tcPr>
            <w:tcW w:w="24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44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160" w:type="dxa"/>
            <w:vAlign w:val="bottom"/>
          </w:tcPr>
          <w:p>
            <w:pPr>
              <w:spacing w:after="0"/>
              <w:rPr>
                <w:sz w:val="8"/>
                <w:szCs w:val="8"/>
                <w:color w:val="auto"/>
              </w:rPr>
            </w:pPr>
          </w:p>
        </w:tc>
        <w:tc>
          <w:tcPr>
            <w:tcW w:w="14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60" w:type="dxa"/>
            <w:vAlign w:val="bottom"/>
          </w:tcPr>
          <w:p>
            <w:pPr>
              <w:spacing w:after="0"/>
              <w:rPr>
                <w:sz w:val="8"/>
                <w:szCs w:val="8"/>
                <w:color w:val="auto"/>
              </w:rPr>
            </w:pPr>
          </w:p>
        </w:tc>
        <w:tc>
          <w:tcPr>
            <w:tcW w:w="380" w:type="dxa"/>
            <w:vAlign w:val="bottom"/>
          </w:tcPr>
          <w:p>
            <w:pPr>
              <w:spacing w:after="0"/>
              <w:rPr>
                <w:sz w:val="8"/>
                <w:szCs w:val="8"/>
                <w:color w:val="auto"/>
              </w:rPr>
            </w:pPr>
          </w:p>
        </w:tc>
        <w:tc>
          <w:tcPr>
            <w:tcW w:w="40" w:type="dxa"/>
            <w:vAlign w:val="bottom"/>
            <w:gridSpan w:val="2"/>
          </w:tcPr>
          <w:p>
            <w:pPr>
              <w:spacing w:after="0"/>
              <w:rPr>
                <w:sz w:val="8"/>
                <w:szCs w:val="8"/>
                <w:color w:val="auto"/>
              </w:rPr>
            </w:pPr>
          </w:p>
        </w:tc>
        <w:tc>
          <w:tcPr>
            <w:tcW w:w="116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98"/>
        </w:trPr>
        <w:tc>
          <w:tcPr>
            <w:tcW w:w="2140" w:type="dxa"/>
            <w:vAlign w:val="bottom"/>
            <w:shd w:val="clear" w:color="auto" w:fill="CCEEFF"/>
          </w:tcPr>
          <w:p>
            <w:pPr>
              <w:spacing w:after="0" w:line="98" w:lineRule="exact"/>
              <w:rPr>
                <w:sz w:val="20"/>
                <w:szCs w:val="20"/>
                <w:color w:val="auto"/>
              </w:rPr>
            </w:pPr>
            <w:r>
              <w:rPr>
                <w:rFonts w:ascii="Arial" w:cs="Arial" w:eastAsia="Arial" w:hAnsi="Arial"/>
                <w:sz w:val="9"/>
                <w:szCs w:val="9"/>
                <w:color w:val="auto"/>
              </w:rPr>
              <w:t>Net loss</w:t>
            </w:r>
          </w:p>
        </w:tc>
        <w:tc>
          <w:tcPr>
            <w:tcW w:w="40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2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6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8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360" w:type="dxa"/>
            <w:vAlign w:val="bottom"/>
            <w:shd w:val="clear" w:color="auto" w:fill="CCEEFF"/>
          </w:tcPr>
          <w:p>
            <w:pPr>
              <w:spacing w:after="0"/>
              <w:rPr>
                <w:sz w:val="8"/>
                <w:szCs w:val="8"/>
                <w:color w:val="auto"/>
              </w:rPr>
            </w:pPr>
          </w:p>
        </w:tc>
        <w:tc>
          <w:tcPr>
            <w:tcW w:w="8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2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40" w:type="dxa"/>
            <w:vAlign w:val="bottom"/>
            <w:shd w:val="clear" w:color="auto" w:fill="CCEEFF"/>
          </w:tcPr>
          <w:p>
            <w:pPr>
              <w:spacing w:after="0"/>
              <w:rPr>
                <w:sz w:val="8"/>
                <w:szCs w:val="8"/>
                <w:color w:val="auto"/>
              </w:rPr>
            </w:pPr>
          </w:p>
        </w:tc>
        <w:tc>
          <w:tcPr>
            <w:tcW w:w="8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160" w:type="dxa"/>
            <w:vAlign w:val="bottom"/>
            <w:shd w:val="clear" w:color="auto" w:fill="CCEEFF"/>
          </w:tcPr>
          <w:p>
            <w:pPr>
              <w:spacing w:after="0"/>
              <w:rPr>
                <w:sz w:val="8"/>
                <w:szCs w:val="8"/>
                <w:color w:val="auto"/>
              </w:rPr>
            </w:pPr>
          </w:p>
        </w:tc>
        <w:tc>
          <w:tcPr>
            <w:tcW w:w="140" w:type="dxa"/>
            <w:vAlign w:val="bottom"/>
            <w:shd w:val="clear" w:color="auto" w:fill="CCEEFF"/>
          </w:tcPr>
          <w:p>
            <w:pPr>
              <w:spacing w:after="0"/>
              <w:rPr>
                <w:sz w:val="8"/>
                <w:szCs w:val="8"/>
                <w:color w:val="auto"/>
              </w:rPr>
            </w:pPr>
          </w:p>
        </w:tc>
        <w:tc>
          <w:tcPr>
            <w:tcW w:w="20" w:type="dxa"/>
            <w:vAlign w:val="bottom"/>
            <w:shd w:val="clear" w:color="auto" w:fill="CCEEFF"/>
          </w:tcPr>
          <w:p>
            <w:pPr>
              <w:spacing w:after="0"/>
              <w:rPr>
                <w:sz w:val="8"/>
                <w:szCs w:val="8"/>
                <w:color w:val="auto"/>
              </w:rPr>
            </w:pPr>
          </w:p>
        </w:tc>
        <w:tc>
          <w:tcPr>
            <w:tcW w:w="40" w:type="dxa"/>
            <w:vAlign w:val="bottom"/>
            <w:shd w:val="clear" w:color="auto" w:fill="CCEEFF"/>
          </w:tcPr>
          <w:p>
            <w:pPr>
              <w:spacing w:after="0"/>
              <w:rPr>
                <w:sz w:val="8"/>
                <w:szCs w:val="8"/>
                <w:color w:val="auto"/>
              </w:rPr>
            </w:pPr>
          </w:p>
        </w:tc>
        <w:tc>
          <w:tcPr>
            <w:tcW w:w="60" w:type="dxa"/>
            <w:vAlign w:val="bottom"/>
            <w:tcBorders>
              <w:right w:val="single" w:sz="8" w:color="CCEEFF"/>
            </w:tcBorders>
            <w:shd w:val="clear" w:color="auto" w:fill="CCEEFF"/>
          </w:tcPr>
          <w:p>
            <w:pPr>
              <w:spacing w:after="0"/>
              <w:rPr>
                <w:sz w:val="8"/>
                <w:szCs w:val="8"/>
                <w:color w:val="auto"/>
              </w:rPr>
            </w:pPr>
          </w:p>
        </w:tc>
        <w:tc>
          <w:tcPr>
            <w:tcW w:w="380" w:type="dxa"/>
            <w:vAlign w:val="bottom"/>
            <w:tcBorders>
              <w:right w:val="single" w:sz="8" w:color="CCEEFF"/>
            </w:tcBorders>
            <w:shd w:val="clear" w:color="auto" w:fill="CCEEFF"/>
          </w:tcPr>
          <w:p>
            <w:pPr>
              <w:spacing w:after="0"/>
              <w:rPr>
                <w:sz w:val="8"/>
                <w:szCs w:val="8"/>
                <w:color w:val="auto"/>
              </w:rPr>
            </w:pPr>
          </w:p>
        </w:tc>
        <w:tc>
          <w:tcPr>
            <w:tcW w:w="1220" w:type="dxa"/>
            <w:vAlign w:val="bottom"/>
            <w:gridSpan w:val="8"/>
            <w:shd w:val="clear" w:color="auto" w:fill="CCEEFF"/>
          </w:tcPr>
          <w:p>
            <w:pPr>
              <w:jc w:val="right"/>
              <w:spacing w:after="0" w:line="98" w:lineRule="exact"/>
              <w:rPr>
                <w:sz w:val="20"/>
                <w:szCs w:val="20"/>
                <w:color w:val="auto"/>
              </w:rPr>
            </w:pPr>
            <w:r>
              <w:rPr>
                <w:rFonts w:ascii="Arial" w:cs="Arial" w:eastAsia="Arial" w:hAnsi="Arial"/>
                <w:sz w:val="9"/>
                <w:szCs w:val="9"/>
                <w:color w:val="auto"/>
              </w:rPr>
              <w:t>$ (22,740,313) $ (22,740,313)</w:t>
            </w:r>
          </w:p>
        </w:tc>
        <w:tc>
          <w:tcPr>
            <w:tcW w:w="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88"/>
        </w:trPr>
        <w:tc>
          <w:tcPr>
            <w:tcW w:w="2140" w:type="dxa"/>
            <w:vAlign w:val="bottom"/>
          </w:tcPr>
          <w:p>
            <w:pPr>
              <w:spacing w:after="0" w:line="88" w:lineRule="exact"/>
              <w:rPr>
                <w:sz w:val="20"/>
                <w:szCs w:val="20"/>
                <w:color w:val="auto"/>
              </w:rPr>
            </w:pPr>
            <w:r>
              <w:rPr>
                <w:rFonts w:ascii="Arial" w:cs="Arial" w:eastAsia="Arial" w:hAnsi="Arial"/>
                <w:sz w:val="9"/>
                <w:szCs w:val="9"/>
                <w:b w:val="1"/>
                <w:bCs w:val="1"/>
                <w:color w:val="auto"/>
              </w:rPr>
              <w:t>Balance - June 30, 2021</w:t>
            </w:r>
          </w:p>
        </w:tc>
        <w:tc>
          <w:tcPr>
            <w:tcW w:w="40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94"/>
              </w:rPr>
              <w:t>5,339,215</w:t>
            </w:r>
          </w:p>
        </w:tc>
        <w:tc>
          <w:tcPr>
            <w:tcW w:w="60" w:type="dxa"/>
            <w:vAlign w:val="bottom"/>
          </w:tcPr>
          <w:p>
            <w:pPr>
              <w:spacing w:after="0"/>
              <w:rPr>
                <w:sz w:val="7"/>
                <w:szCs w:val="7"/>
                <w:color w:val="auto"/>
              </w:rPr>
            </w:pPr>
          </w:p>
        </w:tc>
        <w:tc>
          <w:tcPr>
            <w:tcW w:w="42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u w:val="single" w:color="auto"/>
                <w:color w:val="auto"/>
                <w:w w:val="83"/>
              </w:rPr>
              <w:t>$</w:t>
            </w:r>
            <w:r>
              <w:rPr>
                <w:rFonts w:ascii="Arial" w:cs="Arial" w:eastAsia="Arial" w:hAnsi="Arial"/>
                <w:sz w:val="9"/>
                <w:szCs w:val="9"/>
                <w:b w:val="1"/>
                <w:bCs w:val="1"/>
                <w:color w:val="auto"/>
                <w:w w:val="83"/>
              </w:rPr>
              <w:t>13,865,715</w:t>
            </w:r>
          </w:p>
        </w:tc>
        <w:tc>
          <w:tcPr>
            <w:tcW w:w="60" w:type="dxa"/>
            <w:vAlign w:val="bottom"/>
          </w:tcPr>
          <w:p>
            <w:pPr>
              <w:spacing w:after="0"/>
              <w:rPr>
                <w:sz w:val="7"/>
                <w:szCs w:val="7"/>
                <w:color w:val="auto"/>
              </w:rPr>
            </w:pPr>
          </w:p>
        </w:tc>
        <w:tc>
          <w:tcPr>
            <w:tcW w:w="38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color w:val="auto"/>
                <w:w w:val="89"/>
              </w:rPr>
              <w:t>1,660,756</w:t>
            </w:r>
          </w:p>
        </w:tc>
        <w:tc>
          <w:tcPr>
            <w:tcW w:w="60" w:type="dxa"/>
            <w:vAlign w:val="bottom"/>
          </w:tcPr>
          <w:p>
            <w:pPr>
              <w:spacing w:after="0"/>
              <w:rPr>
                <w:sz w:val="7"/>
                <w:szCs w:val="7"/>
                <w:color w:val="auto"/>
              </w:rPr>
            </w:pPr>
          </w:p>
        </w:tc>
        <w:tc>
          <w:tcPr>
            <w:tcW w:w="38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u w:val="single" w:color="auto"/>
                <w:color w:val="auto"/>
                <w:w w:val="79"/>
              </w:rPr>
              <w:t>$</w:t>
            </w:r>
            <w:r>
              <w:rPr>
                <w:rFonts w:ascii="Arial" w:cs="Arial" w:eastAsia="Arial" w:hAnsi="Arial"/>
                <w:sz w:val="9"/>
                <w:szCs w:val="9"/>
                <w:b w:val="1"/>
                <w:bCs w:val="1"/>
                <w:color w:val="auto"/>
                <w:w w:val="79"/>
              </w:rPr>
              <w:t xml:space="preserve"> 4,982,268</w:t>
            </w:r>
          </w:p>
        </w:tc>
        <w:tc>
          <w:tcPr>
            <w:tcW w:w="60" w:type="dxa"/>
            <w:vAlign w:val="bottom"/>
          </w:tcPr>
          <w:p>
            <w:pPr>
              <w:spacing w:after="0"/>
              <w:rPr>
                <w:sz w:val="7"/>
                <w:szCs w:val="7"/>
                <w:color w:val="auto"/>
              </w:rPr>
            </w:pPr>
          </w:p>
        </w:tc>
        <w:tc>
          <w:tcPr>
            <w:tcW w:w="260" w:type="dxa"/>
            <w:vAlign w:val="bottom"/>
            <w:tcBorders>
              <w:top w:val="single" w:sz="8" w:color="auto"/>
            </w:tcBorders>
          </w:tcPr>
          <w:p>
            <w:pPr>
              <w:ind w:left="20"/>
              <w:spacing w:after="0" w:line="88" w:lineRule="exact"/>
              <w:rPr>
                <w:sz w:val="20"/>
                <w:szCs w:val="20"/>
                <w:color w:val="auto"/>
              </w:rPr>
            </w:pPr>
            <w:r>
              <w:rPr>
                <w:rFonts w:ascii="Arial" w:cs="Arial" w:eastAsia="Arial" w:hAnsi="Arial"/>
                <w:sz w:val="9"/>
                <w:szCs w:val="9"/>
                <w:b w:val="1"/>
                <w:bCs w:val="1"/>
                <w:color w:val="auto"/>
                <w:w w:val="79"/>
              </w:rPr>
              <w:t>16,757</w:t>
            </w:r>
          </w:p>
        </w:tc>
        <w:tc>
          <w:tcPr>
            <w:tcW w:w="60" w:type="dxa"/>
            <w:vAlign w:val="bottom"/>
          </w:tcPr>
          <w:p>
            <w:pPr>
              <w:spacing w:after="0"/>
              <w:rPr>
                <w:sz w:val="7"/>
                <w:szCs w:val="7"/>
                <w:color w:val="auto"/>
              </w:rPr>
            </w:pPr>
          </w:p>
        </w:tc>
        <w:tc>
          <w:tcPr>
            <w:tcW w:w="28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74"/>
              </w:rPr>
              <w:t>$ 45,945</w:t>
            </w:r>
          </w:p>
        </w:tc>
        <w:tc>
          <w:tcPr>
            <w:tcW w:w="80" w:type="dxa"/>
            <w:vAlign w:val="bottom"/>
          </w:tcPr>
          <w:p>
            <w:pPr>
              <w:spacing w:after="0"/>
              <w:rPr>
                <w:sz w:val="7"/>
                <w:szCs w:val="7"/>
                <w:color w:val="auto"/>
              </w:rPr>
            </w:pPr>
          </w:p>
        </w:tc>
        <w:tc>
          <w:tcPr>
            <w:tcW w:w="36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84"/>
              </w:rPr>
              <w:t>1,432,786</w:t>
            </w:r>
          </w:p>
        </w:tc>
        <w:tc>
          <w:tcPr>
            <w:tcW w:w="80" w:type="dxa"/>
            <w:vAlign w:val="bottom"/>
          </w:tcPr>
          <w:p>
            <w:pPr>
              <w:spacing w:after="0"/>
              <w:rPr>
                <w:sz w:val="7"/>
                <w:szCs w:val="7"/>
                <w:color w:val="auto"/>
              </w:rPr>
            </w:pPr>
          </w:p>
        </w:tc>
        <w:tc>
          <w:tcPr>
            <w:tcW w:w="380" w:type="dxa"/>
            <w:vAlign w:val="bottom"/>
            <w:tcBorders>
              <w:top w:val="single" w:sz="8" w:color="auto"/>
            </w:tcBorders>
            <w:gridSpan w:val="2"/>
          </w:tcPr>
          <w:p>
            <w:pPr>
              <w:jc w:val="right"/>
              <w:spacing w:after="0" w:line="88" w:lineRule="exact"/>
              <w:rPr>
                <w:sz w:val="20"/>
                <w:szCs w:val="20"/>
                <w:color w:val="auto"/>
              </w:rPr>
            </w:pPr>
            <w:r>
              <w:rPr>
                <w:rFonts w:ascii="Arial" w:cs="Arial" w:eastAsia="Arial" w:hAnsi="Arial"/>
                <w:sz w:val="9"/>
                <w:szCs w:val="9"/>
                <w:b w:val="1"/>
                <w:bCs w:val="1"/>
                <w:color w:val="auto"/>
                <w:w w:val="75"/>
              </w:rPr>
              <w:t>$ 6,184,917</w:t>
            </w:r>
          </w:p>
        </w:tc>
        <w:tc>
          <w:tcPr>
            <w:tcW w:w="60" w:type="dxa"/>
            <w:vAlign w:val="bottom"/>
          </w:tcPr>
          <w:p>
            <w:pPr>
              <w:spacing w:after="0"/>
              <w:rPr>
                <w:sz w:val="7"/>
                <w:szCs w:val="7"/>
                <w:color w:val="auto"/>
              </w:rPr>
            </w:pPr>
          </w:p>
        </w:tc>
        <w:tc>
          <w:tcPr>
            <w:tcW w:w="38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color w:val="auto"/>
                <w:w w:val="94"/>
              </w:rPr>
              <w:t>5,567,171</w:t>
            </w:r>
          </w:p>
        </w:tc>
        <w:tc>
          <w:tcPr>
            <w:tcW w:w="60" w:type="dxa"/>
            <w:vAlign w:val="bottom"/>
          </w:tcPr>
          <w:p>
            <w:pPr>
              <w:spacing w:after="0"/>
              <w:rPr>
                <w:sz w:val="7"/>
                <w:szCs w:val="7"/>
                <w:color w:val="auto"/>
              </w:rPr>
            </w:pPr>
          </w:p>
        </w:tc>
        <w:tc>
          <w:tcPr>
            <w:tcW w:w="420" w:type="dxa"/>
            <w:vAlign w:val="bottom"/>
            <w:tcBorders>
              <w:top w:val="single" w:sz="8" w:color="auto"/>
            </w:tcBorders>
            <w:gridSpan w:val="2"/>
          </w:tcPr>
          <w:p>
            <w:pPr>
              <w:jc w:val="center"/>
              <w:spacing w:after="0" w:line="88" w:lineRule="exact"/>
              <w:rPr>
                <w:sz w:val="20"/>
                <w:szCs w:val="20"/>
                <w:color w:val="auto"/>
              </w:rPr>
            </w:pPr>
            <w:r>
              <w:rPr>
                <w:rFonts w:ascii="Arial" w:cs="Arial" w:eastAsia="Arial" w:hAnsi="Arial"/>
                <w:sz w:val="9"/>
                <w:szCs w:val="9"/>
                <w:b w:val="1"/>
                <w:bCs w:val="1"/>
                <w:u w:val="single" w:color="auto"/>
                <w:color w:val="auto"/>
                <w:w w:val="83"/>
              </w:rPr>
              <w:t>$</w:t>
            </w:r>
            <w:r>
              <w:rPr>
                <w:rFonts w:ascii="Arial" w:cs="Arial" w:eastAsia="Arial" w:hAnsi="Arial"/>
                <w:sz w:val="9"/>
                <w:szCs w:val="9"/>
                <w:b w:val="1"/>
                <w:bCs w:val="1"/>
                <w:color w:val="auto"/>
                <w:w w:val="83"/>
              </w:rPr>
              <w:t>43,521,954</w:t>
            </w:r>
          </w:p>
        </w:tc>
        <w:tc>
          <w:tcPr>
            <w:tcW w:w="60" w:type="dxa"/>
            <w:vAlign w:val="bottom"/>
          </w:tcPr>
          <w:p>
            <w:pPr>
              <w:spacing w:after="0"/>
              <w:rPr>
                <w:sz w:val="7"/>
                <w:szCs w:val="7"/>
                <w:color w:val="auto"/>
              </w:rPr>
            </w:pPr>
          </w:p>
        </w:tc>
        <w:tc>
          <w:tcPr>
            <w:tcW w:w="38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color w:val="auto"/>
                <w:w w:val="94"/>
              </w:rPr>
              <w:t>8,936,015</w:t>
            </w:r>
          </w:p>
        </w:tc>
        <w:tc>
          <w:tcPr>
            <w:tcW w:w="60" w:type="dxa"/>
            <w:vAlign w:val="bottom"/>
          </w:tcPr>
          <w:p>
            <w:pPr>
              <w:spacing w:after="0"/>
              <w:rPr>
                <w:sz w:val="7"/>
                <w:szCs w:val="7"/>
                <w:color w:val="auto"/>
              </w:rPr>
            </w:pPr>
          </w:p>
        </w:tc>
        <w:tc>
          <w:tcPr>
            <w:tcW w:w="38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u w:val="single" w:color="auto"/>
                <w:color w:val="auto"/>
                <w:w w:val="79"/>
              </w:rPr>
              <w:t>$</w:t>
            </w:r>
            <w:r>
              <w:rPr>
                <w:rFonts w:ascii="Arial" w:cs="Arial" w:eastAsia="Arial" w:hAnsi="Arial"/>
                <w:sz w:val="9"/>
                <w:szCs w:val="9"/>
                <w:b w:val="1"/>
                <w:bCs w:val="1"/>
                <w:color w:val="auto"/>
                <w:w w:val="79"/>
              </w:rPr>
              <w:t xml:space="preserve"> 3,865,155</w:t>
            </w:r>
          </w:p>
        </w:tc>
        <w:tc>
          <w:tcPr>
            <w:tcW w:w="60" w:type="dxa"/>
            <w:vAlign w:val="bottom"/>
          </w:tcPr>
          <w:p>
            <w:pPr>
              <w:spacing w:after="0"/>
              <w:rPr>
                <w:sz w:val="7"/>
                <w:szCs w:val="7"/>
                <w:color w:val="auto"/>
              </w:rPr>
            </w:pPr>
          </w:p>
        </w:tc>
        <w:tc>
          <w:tcPr>
            <w:tcW w:w="38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color w:val="auto"/>
                <w:w w:val="94"/>
              </w:rPr>
              <w:t>4,653,583</w:t>
            </w:r>
          </w:p>
        </w:tc>
        <w:tc>
          <w:tcPr>
            <w:tcW w:w="60" w:type="dxa"/>
            <w:vAlign w:val="bottom"/>
          </w:tcPr>
          <w:p>
            <w:pPr>
              <w:spacing w:after="0"/>
              <w:rPr>
                <w:sz w:val="7"/>
                <w:szCs w:val="7"/>
                <w:color w:val="auto"/>
              </w:rPr>
            </w:pPr>
          </w:p>
        </w:tc>
        <w:tc>
          <w:tcPr>
            <w:tcW w:w="380" w:type="dxa"/>
            <w:vAlign w:val="bottom"/>
            <w:tcBorders>
              <w:top w:val="single" w:sz="8" w:color="auto"/>
            </w:tcBorders>
          </w:tcPr>
          <w:p>
            <w:pPr>
              <w:jc w:val="center"/>
              <w:spacing w:after="0" w:line="88" w:lineRule="exact"/>
              <w:rPr>
                <w:sz w:val="20"/>
                <w:szCs w:val="20"/>
                <w:color w:val="auto"/>
              </w:rPr>
            </w:pPr>
            <w:r>
              <w:rPr>
                <w:rFonts w:ascii="Arial" w:cs="Arial" w:eastAsia="Arial" w:hAnsi="Arial"/>
                <w:sz w:val="9"/>
                <w:szCs w:val="9"/>
                <w:b w:val="1"/>
                <w:bCs w:val="1"/>
                <w:u w:val="single" w:color="auto"/>
                <w:color w:val="auto"/>
                <w:w w:val="79"/>
              </w:rPr>
              <w:t>$</w:t>
            </w:r>
            <w:r>
              <w:rPr>
                <w:rFonts w:ascii="Arial" w:cs="Arial" w:eastAsia="Arial" w:hAnsi="Arial"/>
                <w:sz w:val="9"/>
                <w:szCs w:val="9"/>
                <w:b w:val="1"/>
                <w:bCs w:val="1"/>
                <w:color w:val="auto"/>
                <w:w w:val="79"/>
              </w:rPr>
              <w:t xml:space="preserve"> 9,441,770</w:t>
            </w:r>
          </w:p>
        </w:tc>
        <w:tc>
          <w:tcPr>
            <w:tcW w:w="60" w:type="dxa"/>
            <w:vAlign w:val="bottom"/>
          </w:tcPr>
          <w:p>
            <w:pPr>
              <w:spacing w:after="0"/>
              <w:rPr>
                <w:sz w:val="7"/>
                <w:szCs w:val="7"/>
                <w:color w:val="auto"/>
              </w:rPr>
            </w:pPr>
          </w:p>
        </w:tc>
        <w:tc>
          <w:tcPr>
            <w:tcW w:w="22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40" w:type="dxa"/>
            <w:vAlign w:val="bottom"/>
          </w:tcPr>
          <w:p>
            <w:pPr>
              <w:spacing w:after="0"/>
              <w:rPr>
                <w:sz w:val="7"/>
                <w:szCs w:val="7"/>
                <w:color w:val="auto"/>
              </w:rPr>
            </w:pPr>
          </w:p>
        </w:tc>
        <w:tc>
          <w:tcPr>
            <w:tcW w:w="20" w:type="dxa"/>
            <w:vAlign w:val="bottom"/>
          </w:tcPr>
          <w:p>
            <w:pPr>
              <w:spacing w:after="0"/>
              <w:rPr>
                <w:sz w:val="7"/>
                <w:szCs w:val="7"/>
                <w:color w:val="auto"/>
              </w:rPr>
            </w:pPr>
          </w:p>
        </w:tc>
        <w:tc>
          <w:tcPr>
            <w:tcW w:w="240" w:type="dxa"/>
            <w:vAlign w:val="bottom"/>
            <w:tcBorders>
              <w:top w:val="single" w:sz="8" w:color="auto"/>
            </w:tcBorders>
          </w:tcPr>
          <w:p>
            <w:pPr>
              <w:jc w:val="center"/>
              <w:ind w:right="154"/>
              <w:spacing w:after="0" w:line="88" w:lineRule="exact"/>
              <w:rPr>
                <w:sz w:val="20"/>
                <w:szCs w:val="20"/>
                <w:color w:val="auto"/>
              </w:rPr>
            </w:pPr>
            <w:r>
              <w:rPr>
                <w:rFonts w:ascii="Arial" w:cs="Arial" w:eastAsia="Arial" w:hAnsi="Arial"/>
                <w:sz w:val="9"/>
                <w:szCs w:val="9"/>
                <w:b w:val="1"/>
                <w:bCs w:val="1"/>
                <w:color w:val="auto"/>
                <w:w w:val="78"/>
              </w:rPr>
              <w:t>$</w:t>
            </w:r>
          </w:p>
        </w:tc>
        <w:tc>
          <w:tcPr>
            <w:tcW w:w="8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rPr>
              <w:t>-</w:t>
            </w:r>
          </w:p>
        </w:tc>
        <w:tc>
          <w:tcPr>
            <w:tcW w:w="20" w:type="dxa"/>
            <w:vAlign w:val="bottom"/>
          </w:tcPr>
          <w:p>
            <w:pPr>
              <w:spacing w:after="0"/>
              <w:rPr>
                <w:sz w:val="7"/>
                <w:szCs w:val="7"/>
                <w:color w:val="auto"/>
              </w:rPr>
            </w:pPr>
          </w:p>
        </w:tc>
        <w:tc>
          <w:tcPr>
            <w:tcW w:w="44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93"/>
              </w:rPr>
              <w:t>10,189,000</w:t>
            </w:r>
          </w:p>
        </w:tc>
        <w:tc>
          <w:tcPr>
            <w:tcW w:w="20" w:type="dxa"/>
            <w:vAlign w:val="bottom"/>
          </w:tcPr>
          <w:p>
            <w:pPr>
              <w:spacing w:after="0"/>
              <w:rPr>
                <w:sz w:val="7"/>
                <w:szCs w:val="7"/>
                <w:color w:val="auto"/>
              </w:rPr>
            </w:pPr>
          </w:p>
        </w:tc>
        <w:tc>
          <w:tcPr>
            <w:tcW w:w="20" w:type="dxa"/>
            <w:vAlign w:val="bottom"/>
          </w:tcPr>
          <w:p>
            <w:pPr>
              <w:spacing w:after="0"/>
              <w:rPr>
                <w:sz w:val="7"/>
                <w:szCs w:val="7"/>
                <w:color w:val="auto"/>
              </w:rPr>
            </w:pPr>
          </w:p>
        </w:tc>
        <w:tc>
          <w:tcPr>
            <w:tcW w:w="300" w:type="dxa"/>
            <w:vAlign w:val="bottom"/>
            <w:tcBorders>
              <w:top w:val="single" w:sz="8" w:color="auto"/>
            </w:tcBorders>
            <w:gridSpan w:val="2"/>
          </w:tcPr>
          <w:p>
            <w:pPr>
              <w:spacing w:after="0" w:line="88" w:lineRule="exact"/>
              <w:rPr>
                <w:sz w:val="20"/>
                <w:szCs w:val="20"/>
                <w:color w:val="auto"/>
              </w:rPr>
            </w:pPr>
            <w:r>
              <w:rPr>
                <w:rFonts w:ascii="Arial" w:cs="Arial" w:eastAsia="Arial" w:hAnsi="Arial"/>
                <w:sz w:val="9"/>
                <w:szCs w:val="9"/>
                <w:b w:val="1"/>
                <w:bCs w:val="1"/>
                <w:color w:val="auto"/>
                <w:w w:val="79"/>
              </w:rPr>
              <w:t>$ 10,189</w:t>
            </w:r>
          </w:p>
        </w:tc>
        <w:tc>
          <w:tcPr>
            <w:tcW w:w="20" w:type="dxa"/>
            <w:vAlign w:val="bottom"/>
          </w:tcPr>
          <w:p>
            <w:pPr>
              <w:spacing w:after="0"/>
              <w:rPr>
                <w:sz w:val="7"/>
                <w:szCs w:val="7"/>
                <w:color w:val="auto"/>
              </w:rPr>
            </w:pPr>
          </w:p>
        </w:tc>
        <w:tc>
          <w:tcPr>
            <w:tcW w:w="40" w:type="dxa"/>
            <w:vAlign w:val="bottom"/>
          </w:tcPr>
          <w:p>
            <w:pPr>
              <w:spacing w:after="0"/>
              <w:rPr>
                <w:sz w:val="7"/>
                <w:szCs w:val="7"/>
                <w:color w:val="auto"/>
              </w:rPr>
            </w:pPr>
          </w:p>
        </w:tc>
        <w:tc>
          <w:tcPr>
            <w:tcW w:w="60" w:type="dxa"/>
            <w:vAlign w:val="bottom"/>
          </w:tcPr>
          <w:p>
            <w:pPr>
              <w:spacing w:after="0"/>
              <w:rPr>
                <w:sz w:val="7"/>
                <w:szCs w:val="7"/>
                <w:color w:val="auto"/>
              </w:rPr>
            </w:pPr>
          </w:p>
        </w:tc>
        <w:tc>
          <w:tcPr>
            <w:tcW w:w="38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u w:val="single" w:color="auto"/>
                <w:color w:val="auto"/>
                <w:w w:val="71"/>
              </w:rPr>
              <w:t>$</w:t>
            </w:r>
            <w:r>
              <w:rPr>
                <w:rFonts w:ascii="Arial" w:cs="Arial" w:eastAsia="Arial" w:hAnsi="Arial"/>
                <w:sz w:val="9"/>
                <w:szCs w:val="9"/>
                <w:b w:val="1"/>
                <w:bCs w:val="1"/>
                <w:color w:val="auto"/>
                <w:w w:val="71"/>
              </w:rPr>
              <w:t xml:space="preserve"> 3,523,338</w:t>
            </w:r>
          </w:p>
        </w:tc>
        <w:tc>
          <w:tcPr>
            <w:tcW w:w="40" w:type="dxa"/>
            <w:vAlign w:val="bottom"/>
            <w:gridSpan w:val="2"/>
          </w:tcPr>
          <w:p>
            <w:pPr>
              <w:spacing w:after="0"/>
              <w:rPr>
                <w:sz w:val="7"/>
                <w:szCs w:val="7"/>
                <w:color w:val="auto"/>
              </w:rPr>
            </w:pPr>
          </w:p>
        </w:tc>
        <w:tc>
          <w:tcPr>
            <w:tcW w:w="8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78"/>
              </w:rPr>
              <w:t>$</w:t>
            </w:r>
          </w:p>
        </w:tc>
        <w:tc>
          <w:tcPr>
            <w:tcW w:w="46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91"/>
              </w:rPr>
              <w:t>(92,345,569</w:t>
            </w:r>
          </w:p>
        </w:tc>
        <w:tc>
          <w:tcPr>
            <w:tcW w:w="80" w:type="dxa"/>
            <w:vAlign w:val="bottom"/>
          </w:tcPr>
          <w:p>
            <w:pPr>
              <w:jc w:val="right"/>
              <w:spacing w:after="0" w:line="88" w:lineRule="exact"/>
              <w:rPr>
                <w:sz w:val="20"/>
                <w:szCs w:val="20"/>
                <w:color w:val="auto"/>
              </w:rPr>
            </w:pPr>
            <w:r>
              <w:rPr>
                <w:rFonts w:ascii="Arial" w:cs="Arial" w:eastAsia="Arial" w:hAnsi="Arial"/>
                <w:sz w:val="8"/>
                <w:szCs w:val="8"/>
                <w:b w:val="1"/>
                <w:bCs w:val="1"/>
                <w:color w:val="auto"/>
                <w:w w:val="73"/>
              </w:rPr>
              <w:t>)</w:t>
            </w:r>
          </w:p>
        </w:tc>
        <w:tc>
          <w:tcPr>
            <w:tcW w:w="60" w:type="dxa"/>
            <w:vAlign w:val="bottom"/>
            <w:tcBorders>
              <w:top w:val="single" w:sz="8" w:color="auto"/>
            </w:tcBorders>
          </w:tcPr>
          <w:p>
            <w:pPr>
              <w:spacing w:after="0" w:line="88" w:lineRule="exact"/>
              <w:rPr>
                <w:sz w:val="20"/>
                <w:szCs w:val="20"/>
                <w:color w:val="auto"/>
              </w:rPr>
            </w:pPr>
            <w:r>
              <w:rPr>
                <w:rFonts w:ascii="Arial" w:cs="Arial" w:eastAsia="Arial" w:hAnsi="Arial"/>
                <w:sz w:val="9"/>
                <w:szCs w:val="9"/>
                <w:b w:val="1"/>
                <w:bCs w:val="1"/>
                <w:color w:val="auto"/>
                <w:w w:val="78"/>
              </w:rPr>
              <w:t>$</w:t>
            </w:r>
          </w:p>
        </w:tc>
        <w:tc>
          <w:tcPr>
            <w:tcW w:w="480" w:type="dxa"/>
            <w:vAlign w:val="bottom"/>
            <w:tcBorders>
              <w:top w:val="single" w:sz="8" w:color="auto"/>
            </w:tcBorders>
          </w:tcPr>
          <w:p>
            <w:pPr>
              <w:jc w:val="right"/>
              <w:spacing w:after="0" w:line="88" w:lineRule="exact"/>
              <w:rPr>
                <w:sz w:val="20"/>
                <w:szCs w:val="20"/>
                <w:color w:val="auto"/>
              </w:rPr>
            </w:pPr>
            <w:r>
              <w:rPr>
                <w:rFonts w:ascii="Arial" w:cs="Arial" w:eastAsia="Arial" w:hAnsi="Arial"/>
                <w:sz w:val="9"/>
                <w:szCs w:val="9"/>
                <w:b w:val="1"/>
                <w:bCs w:val="1"/>
                <w:color w:val="auto"/>
                <w:w w:val="91"/>
              </w:rPr>
              <w:t>(88,812,042</w:t>
            </w:r>
          </w:p>
        </w:tc>
        <w:tc>
          <w:tcPr>
            <w:tcW w:w="20" w:type="dxa"/>
            <w:vAlign w:val="bottom"/>
          </w:tcPr>
          <w:p>
            <w:pPr>
              <w:jc w:val="right"/>
              <w:spacing w:after="0"/>
              <w:rPr>
                <w:sz w:val="20"/>
                <w:szCs w:val="20"/>
                <w:color w:val="auto"/>
              </w:rPr>
            </w:pPr>
            <w:r>
              <w:rPr>
                <w:rFonts w:ascii="Arial" w:cs="Arial" w:eastAsia="Arial" w:hAnsi="Arial"/>
                <w:sz w:val="1"/>
                <w:szCs w:val="1"/>
                <w:b w:val="1"/>
                <w:bCs w:val="1"/>
                <w:color w:val="auto"/>
                <w:w w:val="4294967281"/>
              </w:rPr>
              <w:t>)</w:t>
            </w:r>
          </w:p>
        </w:tc>
        <w:tc>
          <w:tcPr>
            <w:tcW w:w="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9"/>
        </w:trPr>
        <w:tc>
          <w:tcPr>
            <w:tcW w:w="2140" w:type="dxa"/>
            <w:vAlign w:val="bottom"/>
          </w:tcPr>
          <w:p>
            <w:pPr>
              <w:spacing w:after="0"/>
              <w:rPr>
                <w:sz w:val="2"/>
                <w:szCs w:val="2"/>
                <w:color w:val="auto"/>
              </w:rPr>
            </w:pPr>
          </w:p>
        </w:tc>
        <w:tc>
          <w:tcPr>
            <w:tcW w:w="40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42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26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280" w:type="dxa"/>
            <w:vAlign w:val="bottom"/>
            <w:shd w:val="clear" w:color="auto" w:fill="000000"/>
          </w:tcPr>
          <w:p>
            <w:pPr>
              <w:spacing w:after="0"/>
              <w:rPr>
                <w:sz w:val="2"/>
                <w:szCs w:val="2"/>
                <w:color w:val="auto"/>
              </w:rPr>
            </w:pPr>
          </w:p>
        </w:tc>
        <w:tc>
          <w:tcPr>
            <w:tcW w:w="80" w:type="dxa"/>
            <w:vAlign w:val="bottom"/>
            <w:tcBorders>
              <w:right w:val="single" w:sz="8" w:color="auto"/>
            </w:tcBorders>
          </w:tcPr>
          <w:p>
            <w:pPr>
              <w:spacing w:after="0"/>
              <w:rPr>
                <w:sz w:val="2"/>
                <w:szCs w:val="2"/>
                <w:color w:val="auto"/>
              </w:rPr>
            </w:pPr>
          </w:p>
        </w:tc>
        <w:tc>
          <w:tcPr>
            <w:tcW w:w="360" w:type="dxa"/>
            <w:vAlign w:val="bottom"/>
            <w:shd w:val="clear" w:color="auto" w:fill="000000"/>
          </w:tcPr>
          <w:p>
            <w:pPr>
              <w:spacing w:after="0"/>
              <w:rPr>
                <w:sz w:val="2"/>
                <w:szCs w:val="2"/>
                <w:color w:val="auto"/>
              </w:rPr>
            </w:pPr>
          </w:p>
        </w:tc>
        <w:tc>
          <w:tcPr>
            <w:tcW w:w="80" w:type="dxa"/>
            <w:vAlign w:val="bottom"/>
            <w:tcBorders>
              <w:right w:val="single" w:sz="8" w:color="auto"/>
            </w:tcBorders>
          </w:tcPr>
          <w:p>
            <w:pPr>
              <w:spacing w:after="0"/>
              <w:rPr>
                <w:sz w:val="2"/>
                <w:szCs w:val="2"/>
                <w:color w:val="auto"/>
              </w:rPr>
            </w:pPr>
          </w:p>
        </w:tc>
        <w:tc>
          <w:tcPr>
            <w:tcW w:w="40" w:type="dxa"/>
            <w:vAlign w:val="bottom"/>
            <w:shd w:val="clear" w:color="auto" w:fill="000000"/>
          </w:tcPr>
          <w:p>
            <w:pPr>
              <w:spacing w:after="0"/>
              <w:rPr>
                <w:sz w:val="2"/>
                <w:szCs w:val="2"/>
                <w:color w:val="auto"/>
              </w:rPr>
            </w:pPr>
          </w:p>
        </w:tc>
        <w:tc>
          <w:tcPr>
            <w:tcW w:w="34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40" w:type="dxa"/>
            <w:vAlign w:val="bottom"/>
            <w:shd w:val="clear" w:color="auto" w:fill="000000"/>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shd w:val="clear" w:color="auto" w:fill="000000"/>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220" w:type="dxa"/>
            <w:vAlign w:val="bottom"/>
            <w:shd w:val="clear" w:color="auto" w:fill="000000"/>
          </w:tcPr>
          <w:p>
            <w:pPr>
              <w:spacing w:after="0"/>
              <w:rPr>
                <w:sz w:val="2"/>
                <w:szCs w:val="2"/>
                <w:color w:val="auto"/>
              </w:rPr>
            </w:pPr>
          </w:p>
        </w:tc>
        <w:tc>
          <w:tcPr>
            <w:tcW w:w="40" w:type="dxa"/>
            <w:vAlign w:val="bottom"/>
          </w:tcPr>
          <w:p>
            <w:pPr>
              <w:spacing w:after="0"/>
              <w:rPr>
                <w:sz w:val="2"/>
                <w:szCs w:val="2"/>
                <w:color w:val="auto"/>
              </w:rPr>
            </w:pPr>
          </w:p>
        </w:tc>
        <w:tc>
          <w:tcPr>
            <w:tcW w:w="20" w:type="dxa"/>
            <w:vAlign w:val="bottom"/>
          </w:tcPr>
          <w:p>
            <w:pPr>
              <w:spacing w:after="0"/>
              <w:rPr>
                <w:sz w:val="2"/>
                <w:szCs w:val="2"/>
                <w:color w:val="auto"/>
              </w:rPr>
            </w:pPr>
          </w:p>
        </w:tc>
        <w:tc>
          <w:tcPr>
            <w:tcW w:w="240" w:type="dxa"/>
            <w:vAlign w:val="bottom"/>
            <w:shd w:val="clear" w:color="auto" w:fill="000000"/>
          </w:tcPr>
          <w:p>
            <w:pPr>
              <w:spacing w:after="0"/>
              <w:rPr>
                <w:sz w:val="2"/>
                <w:szCs w:val="2"/>
                <w:color w:val="auto"/>
              </w:rPr>
            </w:pPr>
          </w:p>
        </w:tc>
        <w:tc>
          <w:tcPr>
            <w:tcW w:w="80" w:type="dxa"/>
            <w:vAlign w:val="bottom"/>
            <w:shd w:val="clear" w:color="auto" w:fill="000000"/>
          </w:tcPr>
          <w:p>
            <w:pPr>
              <w:spacing w:after="0"/>
              <w:rPr>
                <w:sz w:val="2"/>
                <w:szCs w:val="2"/>
                <w:color w:val="auto"/>
              </w:rPr>
            </w:pPr>
          </w:p>
        </w:tc>
        <w:tc>
          <w:tcPr>
            <w:tcW w:w="20" w:type="dxa"/>
            <w:vAlign w:val="bottom"/>
          </w:tcPr>
          <w:p>
            <w:pPr>
              <w:spacing w:after="0"/>
              <w:rPr>
                <w:sz w:val="2"/>
                <w:szCs w:val="2"/>
                <w:color w:val="auto"/>
              </w:rPr>
            </w:pPr>
          </w:p>
        </w:tc>
        <w:tc>
          <w:tcPr>
            <w:tcW w:w="440" w:type="dxa"/>
            <w:vAlign w:val="bottom"/>
            <w:shd w:val="clear" w:color="auto" w:fill="000000"/>
          </w:tcPr>
          <w:p>
            <w:pPr>
              <w:spacing w:after="0"/>
              <w:rPr>
                <w:sz w:val="2"/>
                <w:szCs w:val="2"/>
                <w:color w:val="auto"/>
              </w:rPr>
            </w:pPr>
          </w:p>
        </w:tc>
        <w:tc>
          <w:tcPr>
            <w:tcW w:w="20" w:type="dxa"/>
            <w:vAlign w:val="bottom"/>
          </w:tcPr>
          <w:p>
            <w:pPr>
              <w:spacing w:after="0"/>
              <w:rPr>
                <w:sz w:val="2"/>
                <w:szCs w:val="2"/>
                <w:color w:val="auto"/>
              </w:rPr>
            </w:pPr>
          </w:p>
        </w:tc>
        <w:tc>
          <w:tcPr>
            <w:tcW w:w="20" w:type="dxa"/>
            <w:vAlign w:val="bottom"/>
          </w:tcPr>
          <w:p>
            <w:pPr>
              <w:spacing w:after="0"/>
              <w:rPr>
                <w:sz w:val="2"/>
                <w:szCs w:val="2"/>
                <w:color w:val="auto"/>
              </w:rPr>
            </w:pPr>
          </w:p>
        </w:tc>
        <w:tc>
          <w:tcPr>
            <w:tcW w:w="160" w:type="dxa"/>
            <w:vAlign w:val="bottom"/>
            <w:shd w:val="clear" w:color="auto" w:fill="000000"/>
          </w:tcPr>
          <w:p>
            <w:pPr>
              <w:spacing w:after="0"/>
              <w:rPr>
                <w:sz w:val="2"/>
                <w:szCs w:val="2"/>
                <w:color w:val="auto"/>
              </w:rPr>
            </w:pPr>
          </w:p>
        </w:tc>
        <w:tc>
          <w:tcPr>
            <w:tcW w:w="140" w:type="dxa"/>
            <w:vAlign w:val="bottom"/>
            <w:shd w:val="clear" w:color="auto" w:fill="000000"/>
          </w:tcPr>
          <w:p>
            <w:pPr>
              <w:spacing w:after="0"/>
              <w:rPr>
                <w:sz w:val="2"/>
                <w:szCs w:val="2"/>
                <w:color w:val="auto"/>
              </w:rPr>
            </w:pPr>
          </w:p>
        </w:tc>
        <w:tc>
          <w:tcPr>
            <w:tcW w:w="20" w:type="dxa"/>
            <w:vAlign w:val="bottom"/>
          </w:tcPr>
          <w:p>
            <w:pPr>
              <w:spacing w:after="0"/>
              <w:rPr>
                <w:sz w:val="2"/>
                <w:szCs w:val="2"/>
                <w:color w:val="auto"/>
              </w:rPr>
            </w:pPr>
          </w:p>
        </w:tc>
        <w:tc>
          <w:tcPr>
            <w:tcW w:w="40" w:type="dxa"/>
            <w:vAlign w:val="bottom"/>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380" w:type="dxa"/>
            <w:vAlign w:val="bottom"/>
            <w:tcBorders>
              <w:right w:val="single" w:sz="8" w:color="auto"/>
            </w:tcBorders>
            <w:shd w:val="clear" w:color="auto" w:fill="000000"/>
          </w:tcPr>
          <w:p>
            <w:pPr>
              <w:spacing w:after="0"/>
              <w:rPr>
                <w:sz w:val="2"/>
                <w:szCs w:val="2"/>
                <w:color w:val="auto"/>
              </w:rPr>
            </w:pPr>
          </w:p>
        </w:tc>
        <w:tc>
          <w:tcPr>
            <w:tcW w:w="20" w:type="dxa"/>
            <w:vAlign w:val="bottom"/>
          </w:tcPr>
          <w:p>
            <w:pPr>
              <w:spacing w:after="0"/>
              <w:rPr>
                <w:sz w:val="2"/>
                <w:szCs w:val="2"/>
                <w:color w:val="auto"/>
              </w:rPr>
            </w:pPr>
          </w:p>
        </w:tc>
        <w:tc>
          <w:tcPr>
            <w:tcW w:w="20" w:type="dxa"/>
            <w:vAlign w:val="bottom"/>
          </w:tcPr>
          <w:p>
            <w:pPr>
              <w:spacing w:after="0"/>
              <w:rPr>
                <w:sz w:val="2"/>
                <w:szCs w:val="2"/>
                <w:color w:val="auto"/>
              </w:rPr>
            </w:pPr>
          </w:p>
        </w:tc>
        <w:tc>
          <w:tcPr>
            <w:tcW w:w="80" w:type="dxa"/>
            <w:vAlign w:val="bottom"/>
            <w:shd w:val="clear" w:color="auto" w:fill="000000"/>
          </w:tcPr>
          <w:p>
            <w:pPr>
              <w:spacing w:after="0"/>
              <w:rPr>
                <w:sz w:val="2"/>
                <w:szCs w:val="2"/>
                <w:color w:val="auto"/>
              </w:rPr>
            </w:pPr>
          </w:p>
        </w:tc>
        <w:tc>
          <w:tcPr>
            <w:tcW w:w="460" w:type="dxa"/>
            <w:vAlign w:val="bottom"/>
            <w:shd w:val="clear" w:color="auto" w:fill="000000"/>
          </w:tcPr>
          <w:p>
            <w:pPr>
              <w:spacing w:after="0"/>
              <w:rPr>
                <w:sz w:val="2"/>
                <w:szCs w:val="2"/>
                <w:color w:val="auto"/>
              </w:rPr>
            </w:pPr>
          </w:p>
        </w:tc>
        <w:tc>
          <w:tcPr>
            <w:tcW w:w="80" w:type="dxa"/>
            <w:vAlign w:val="bottom"/>
          </w:tcPr>
          <w:p>
            <w:pPr>
              <w:spacing w:after="0"/>
              <w:rPr>
                <w:sz w:val="2"/>
                <w:szCs w:val="2"/>
                <w:color w:val="auto"/>
              </w:rPr>
            </w:pPr>
          </w:p>
        </w:tc>
        <w:tc>
          <w:tcPr>
            <w:tcW w:w="60" w:type="dxa"/>
            <w:vAlign w:val="bottom"/>
            <w:tcBorders>
              <w:left w:val="single" w:sz="8" w:color="auto"/>
            </w:tcBorders>
            <w:shd w:val="clear" w:color="auto" w:fill="000000"/>
          </w:tcPr>
          <w:p>
            <w:pPr>
              <w:spacing w:after="0"/>
              <w:rPr>
                <w:sz w:val="2"/>
                <w:szCs w:val="2"/>
                <w:color w:val="auto"/>
              </w:rPr>
            </w:pPr>
          </w:p>
        </w:tc>
        <w:tc>
          <w:tcPr>
            <w:tcW w:w="480" w:type="dxa"/>
            <w:vAlign w:val="bottom"/>
            <w:tcBorders>
              <w:right w:val="single" w:sz="8" w:color="auto"/>
            </w:tcBorders>
            <w:shd w:val="clear" w:color="auto" w:fill="000000"/>
          </w:tcPr>
          <w:p>
            <w:pPr>
              <w:spacing w:after="0"/>
              <w:rPr>
                <w:sz w:val="2"/>
                <w:szCs w:val="2"/>
                <w:color w:val="auto"/>
              </w:rPr>
            </w:pPr>
          </w:p>
        </w:tc>
        <w:tc>
          <w:tcPr>
            <w:tcW w:w="20" w:type="dxa"/>
            <w:vAlign w:val="bottom"/>
          </w:tcPr>
          <w:p>
            <w:pPr>
              <w:spacing w:after="0"/>
              <w:rPr>
                <w:sz w:val="2"/>
                <w:szCs w:val="2"/>
                <w:color w:val="auto"/>
              </w:rPr>
            </w:pPr>
          </w:p>
        </w:tc>
        <w:tc>
          <w:tcPr>
            <w:tcW w:w="4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8" w:lineRule="exact"/>
        <w:rPr>
          <w:sz w:val="20"/>
          <w:szCs w:val="20"/>
          <w:color w:val="auto"/>
        </w:rPr>
      </w:pPr>
    </w:p>
    <w:p>
      <w:pPr>
        <w:jc w:val="center"/>
        <w:ind w:right="80"/>
        <w:spacing w:after="0"/>
        <w:rPr>
          <w:sz w:val="20"/>
          <w:szCs w:val="20"/>
          <w:color w:val="auto"/>
        </w:rPr>
      </w:pPr>
      <w:r>
        <w:rPr>
          <w:rFonts w:ascii="Arial" w:cs="Arial" w:eastAsia="Arial" w:hAnsi="Arial"/>
          <w:sz w:val="13"/>
          <w:szCs w:val="13"/>
          <w:color w:val="auto"/>
        </w:rPr>
        <w:t>See accompanying Notes to Condensed Financial Statements.</w:t>
      </w:r>
    </w:p>
    <w:p>
      <w:pPr>
        <w:spacing w:after="0" w:line="320" w:lineRule="exact"/>
        <w:rPr>
          <w:sz w:val="20"/>
          <w:szCs w:val="20"/>
          <w:color w:val="auto"/>
        </w:rPr>
      </w:pPr>
    </w:p>
    <w:p>
      <w:pPr>
        <w:jc w:val="center"/>
        <w:ind w:right="80"/>
        <w:spacing w:after="0"/>
        <w:rPr>
          <w:sz w:val="20"/>
          <w:szCs w:val="20"/>
          <w:color w:val="auto"/>
        </w:rPr>
      </w:pPr>
      <w:r>
        <w:rPr>
          <w:rFonts w:ascii="Arial" w:cs="Arial" w:eastAsia="Arial" w:hAnsi="Arial"/>
          <w:sz w:val="13"/>
          <w:szCs w:val="13"/>
          <w:color w:val="auto"/>
        </w:rPr>
        <w:t>F-32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8">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360"/>
          </w:cols>
          <w:pgMar w:left="300" w:top="694" w:right="239" w:bottom="1440" w:gutter="0" w:footer="0" w:header="0"/>
        </w:sectPr>
      </w:pPr>
    </w:p>
    <w:bookmarkStart w:id="94" w:name="page95"/>
    <w:bookmarkEnd w:id="94"/>
    <w:p>
      <w:pPr>
        <w:jc w:val="center"/>
        <w:spacing w:after="0"/>
        <w:rPr>
          <w:sz w:val="20"/>
          <w:szCs w:val="20"/>
          <w:color w:val="auto"/>
        </w:rPr>
      </w:pPr>
      <w:r>
        <w:rPr>
          <w:rFonts w:ascii="Arial" w:cs="Arial" w:eastAsia="Arial" w:hAnsi="Arial"/>
          <w:sz w:val="13"/>
          <w:szCs w:val="13"/>
          <w:b w:val="1"/>
          <w:bCs w:val="1"/>
          <w:color w:val="auto"/>
        </w:rPr>
        <w:t>NOTES TO CONDENSED FINANCIAL STATEMENTS</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(Unaudited)</w:t>
      </w:r>
    </w:p>
    <w:p>
      <w:pPr>
        <w:spacing w:after="0" w:line="15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1: The Company and Summary of Significant Accounting Policies</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Description of Business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Knightscope, Inc. (the “Company”), was incorporated on April 4, 2013 under the laws of the State of Delaware.</w:t>
      </w:r>
    </w:p>
    <w:p>
      <w:pPr>
        <w:spacing w:after="0" w:line="163"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The Company designs, develops, builds, deploys, and supports advanced physical security technologies. The Knightscope solution to reducing crime combines the physical presence of its proprietary Autonomous Security Robots (“ASRs”) with real-time on-site data collection and analysis and a human-machine interface. Two of the Company’s ASRs, the outdoor “K5” and the indoor “K3”, autonomously patrol client sites without the need for remote control to provide a visible, force multiplying, physical security presence to help protect assets, monitor changes in the environment and deter crime. They gather real-time data using a large array of sensors. The data is accessible through the Knightscope Security Operations Center (“KSOC”), an intuitive, browser-based interface that enables security professionals to review events generated from “really smart mobile eyes and ears” to do their jobs more effectively.</w:t>
      </w:r>
    </w:p>
    <w:p>
      <w:pPr>
        <w:spacing w:after="0" w:line="141"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Basis of Presentation and Liquidity</w:t>
      </w:r>
    </w:p>
    <w:p>
      <w:pPr>
        <w:spacing w:after="0" w:line="163" w:lineRule="exact"/>
        <w:rPr>
          <w:sz w:val="20"/>
          <w:szCs w:val="20"/>
          <w:color w:val="auto"/>
        </w:rPr>
      </w:pPr>
    </w:p>
    <w:p>
      <w:pPr>
        <w:jc w:val="both"/>
        <w:spacing w:after="0" w:line="254" w:lineRule="auto"/>
        <w:rPr>
          <w:sz w:val="20"/>
          <w:szCs w:val="20"/>
          <w:color w:val="auto"/>
        </w:rPr>
      </w:pPr>
      <w:r>
        <w:rPr>
          <w:rFonts w:ascii="Arial" w:cs="Arial" w:eastAsia="Arial" w:hAnsi="Arial"/>
          <w:sz w:val="13"/>
          <w:szCs w:val="13"/>
          <w:color w:val="auto"/>
        </w:rPr>
        <w:t>These unaudited financial statements and accompanying notes have been prepared in accordance with accounting principles generally accepted in the United States (“U.S.GAAP”), pursuant to the rules and regulations of the Securities and Exchange Commission (“SEC”). Certain information and note disclosures have been condensed or omitted pursuant to such rules and regulations. The accompanying Condensed Balance Sheet as of December 31, 2020 is derived from audited financial statements as of that date but does not include all of the information and footnotes required by U.S.GAAP for complete financial statements. The unaudited condensed financial statements have been prepared on the same basis as the annual financial statements and, in the opinion of management, reflect all adjustments, which include only normal recurring adjustments, necessary for a fair presentation of the period presented. The results of operations for the six months ended June 30, 2020 are not necessarily indicative of the results to the expected for the year ending December 31, 2021 or for other semiannual periods or for future years. These condensed financial statements should be read in conjunction with the Company’s audited financial statements and accompanying notes for the year ended December 31, 2020 included in the Company’s Annual Report on Form 1-K filed with the SEC. The Company’s significant accounting policies are described in Note 1 to those audited financial statements.</w:t>
      </w:r>
    </w:p>
    <w:p>
      <w:pPr>
        <w:spacing w:after="0" w:line="29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Since its inception, the Company has incurred significant operating losses and negative cash flows from operations which is principally the result of significant research and development activities related to the development and continued improvement of the Company’s ASRs (hardware and software).</w:t>
      </w:r>
    </w:p>
    <w:p>
      <w:pPr>
        <w:spacing w:after="0" w:line="128" w:lineRule="exact"/>
        <w:rPr>
          <w:sz w:val="20"/>
          <w:szCs w:val="20"/>
          <w:color w:val="auto"/>
        </w:rPr>
      </w:pPr>
    </w:p>
    <w:p>
      <w:pPr>
        <w:jc w:val="both"/>
        <w:spacing w:after="0" w:line="275" w:lineRule="auto"/>
        <w:rPr>
          <w:sz w:val="20"/>
          <w:szCs w:val="20"/>
          <w:color w:val="auto"/>
        </w:rPr>
      </w:pPr>
      <w:r>
        <w:rPr>
          <w:rFonts w:ascii="Arial" w:cs="Arial" w:eastAsia="Arial" w:hAnsi="Arial"/>
          <w:sz w:val="12"/>
          <w:szCs w:val="12"/>
          <w:color w:val="auto"/>
        </w:rPr>
        <w:t>Cash and cash equivalents on hand were $12.0 million as of June 30, 2021, compared to $7.1 million as of December 31, 2020. The Company has historically incurred losses and negative cashflows from operations. As of June 30, 2021, the Company also had an accumulated deficit of approximately $92.3 million, negative working capital of $6.6 million and stockholders’ deficit of $88.8 million. The Company is dependent on additional fundraising in order to sustain its ongoing operations. On April 20, 2021, the Company secured up to $10 million in financing of Client Machine-as-a-Service (“MaaS”) subscriptions. The Company’s Regulation A Offering terminated on April 21, 2021, generating additional cash proceeds, net of issuance costs, of $16.4 million year-to-date. In addition, the Company had an additional share issuance of 18,406 shares, representing gross proceeds of $0.2 million, of the Regulation A Offering. Without additional fundraising, typically and historically conducted on a rolling close basis, the Company will not be solvent after the second quarter of 2022. There can be no assurance that the Company will be successful in raising funds at levels sufficient to fund its future operations beyond the current cash runway. If the Company is unable to raise additional capital in sufficient amounts or on terms acceptable to it, the Company may have to significantly reduce its operations or delay, scale back or discontinue the development of one or more of its platforms, seek alternative financing arrangements, declare bankruptcy or terminate its operations entirely. These factors raise substantial doubt regarding the Company’s ability to continue as a going concern for a period of one year from the issuance date of these financial statements. Management’s plans include seeking additional financing activities such as issuances of equity, issuances of debt and convertible debt instruments. The Company’s projected cash flows are subject to various risks and uncertainties, and the unavailability or inadequacy of financing to meet future capital needs could force it to modify, curtail, delay, or suspend some or all aspects of its planned operations. Sales of additional equity securities by the Company could result in the dilution of the interests of existing stockholders. The Company will require significant additional financing and is pursuing opportunities to obtain additional financing in the future through equity and/or debt financings. However, there can be no assurance that financing will be available when required in sufficient amounts, on acceptable terms or at all. These financial statements have been prepared on a going concern basis and do not include any adjustments to the amounts and classification of assets and liabilities that may be necessary in the event the Company can no longer continue as a going concern.</w:t>
      </w:r>
    </w:p>
    <w:p>
      <w:pPr>
        <w:spacing w:after="0" w:line="289"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9">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95" w:name="page96"/>
    <w:bookmarkEnd w:id="95"/>
    <w:p>
      <w:pPr>
        <w:spacing w:after="0"/>
        <w:rPr>
          <w:sz w:val="20"/>
          <w:szCs w:val="20"/>
          <w:color w:val="auto"/>
        </w:rPr>
      </w:pPr>
      <w:r>
        <w:rPr>
          <w:rFonts w:ascii="Arial" w:cs="Arial" w:eastAsia="Arial" w:hAnsi="Arial"/>
          <w:sz w:val="13"/>
          <w:szCs w:val="13"/>
          <w:b w:val="1"/>
          <w:bCs w:val="1"/>
          <w:i w:val="1"/>
          <w:iCs w:val="1"/>
          <w:color w:val="auto"/>
        </w:rPr>
        <w:t>Basic and Diluted Net Loss per Share</w:t>
      </w:r>
    </w:p>
    <w:p>
      <w:pPr>
        <w:spacing w:after="0" w:line="163" w:lineRule="exact"/>
        <w:rPr>
          <w:sz w:val="20"/>
          <w:szCs w:val="20"/>
          <w:color w:val="auto"/>
        </w:rPr>
      </w:pPr>
    </w:p>
    <w:p>
      <w:pPr>
        <w:jc w:val="both"/>
        <w:ind w:right="20"/>
        <w:spacing w:after="0" w:line="254" w:lineRule="auto"/>
        <w:rPr>
          <w:sz w:val="20"/>
          <w:szCs w:val="20"/>
          <w:color w:val="auto"/>
        </w:rPr>
      </w:pPr>
      <w:r>
        <w:rPr>
          <w:rFonts w:ascii="Arial" w:cs="Arial" w:eastAsia="Arial" w:hAnsi="Arial"/>
          <w:sz w:val="13"/>
          <w:szCs w:val="13"/>
          <w:color w:val="auto"/>
        </w:rPr>
        <w:t>Net loss per share of common stock is computed using the two-class method required for participating securities based on their participation rights. All series of convertible preferred stock are participating securities as the holders are entitled to participate in common stock dividends with common stock on an as converted basis. Holders of Series m-4 Preferred Stock are entitled to receive cumulative dividends payable semi-annually in arrears at the rate per share of Series m-4 Preferred Stock equal to the Dividend Rate for the Series m-4 Preferred Stock, in each case subject to compliance with applicable law. Dividends to holders of Series m-4 Preferred Stock are paid in kind as a dividend of additional shares of Series m-4 Preferred Stock for each Dividend Period on the applicable Dividend Payment Date using a price per share equal to the original issue price, provided that the Company shall not issue any fractional shares of Series m-4 Preferred Stock. The holders of the Company’s convertible preferred stock, other than m-4 preferred stock, are also entitled to noncumulative dividends prior and in preference to common stock and do not have a contractual obligation to share in the losses of the Company. In accordance with the two-class method, earnings allocated to these participating securities, which include participation rights in undistributed earnings with common stock, are subtracted from net loss to determine net loss attributable to common stockholders upon their occurrence.</w:t>
      </w:r>
    </w:p>
    <w:p>
      <w:pPr>
        <w:spacing w:after="0" w:line="142"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Basic net loss per share is computed by dividing net loss attributable to common stockholders (net adjusted for preferred stock dividends declared or accumulated) by the weighted average number of common shares outstanding during the period. All participating securities are excluded from basic weighted-average shares outstanding. In computing diluted net loss attributable to common stockholders, undistributed earnings are re-allocated to reflect the potential impact of dilutive securities. Diluted net loss per share attributable to common stockholders is computed by dividing net loss attributable to common stockholders by diluted weighted-average shares outstanding, including potentially dilutive securities, unless anti-dilutive. Potentially dilutive securities that were excluded from the computation of diluted net loss per share consist of the following:</w:t>
      </w:r>
    </w:p>
    <w:p>
      <w:pPr>
        <w:spacing w:after="0" w:line="137" w:lineRule="exact"/>
        <w:rPr>
          <w:sz w:val="20"/>
          <w:szCs w:val="20"/>
          <w:color w:val="auto"/>
        </w:rPr>
      </w:pPr>
    </w:p>
    <w:tbl>
      <w:tblPr>
        <w:tblLayout w:type="fixed"/>
        <w:tblInd w:w="0" w:type="dxa"/>
        <w:tblCellMar>
          <w:top w:w="0" w:type="dxa"/>
          <w:left w:w="0" w:type="dxa"/>
          <w:bottom w:w="0" w:type="dxa"/>
          <w:right w:w="0" w:type="dxa"/>
        </w:tblCellMar>
      </w:tblPr>
      <w:tr>
        <w:trPr>
          <w:trHeight w:val="156"/>
        </w:trPr>
        <w:tc>
          <w:tcPr>
            <w:tcW w:w="8480" w:type="dxa"/>
            <w:vAlign w:val="bottom"/>
          </w:tcPr>
          <w:p>
            <w:pPr>
              <w:spacing w:after="0"/>
              <w:rPr>
                <w:sz w:val="13"/>
                <w:szCs w:val="13"/>
                <w:color w:val="auto"/>
              </w:rPr>
            </w:pPr>
          </w:p>
        </w:tc>
        <w:tc>
          <w:tcPr>
            <w:tcW w:w="1480" w:type="dxa"/>
            <w:vAlign w:val="bottom"/>
            <w:gridSpan w:val="2"/>
          </w:tcPr>
          <w:p>
            <w:pPr>
              <w:jc w:val="right"/>
              <w:ind w:right="620"/>
              <w:spacing w:after="0"/>
              <w:rPr>
                <w:sz w:val="20"/>
                <w:szCs w:val="20"/>
                <w:color w:val="auto"/>
              </w:rPr>
            </w:pPr>
            <w:r>
              <w:rPr>
                <w:rFonts w:ascii="Arial" w:cs="Arial" w:eastAsia="Arial" w:hAnsi="Arial"/>
                <w:sz w:val="13"/>
                <w:szCs w:val="13"/>
                <w:b w:val="1"/>
                <w:bCs w:val="1"/>
                <w:color w:val="auto"/>
              </w:rPr>
              <w:t>June 30,</w:t>
            </w:r>
          </w:p>
        </w:tc>
        <w:tc>
          <w:tcPr>
            <w:tcW w:w="1320" w:type="dxa"/>
            <w:vAlign w:val="bottom"/>
            <w:gridSpan w:val="2"/>
          </w:tcPr>
          <w:p>
            <w:pPr>
              <w:jc w:val="right"/>
              <w:ind w:right="500"/>
              <w:spacing w:after="0"/>
              <w:rPr>
                <w:sz w:val="20"/>
                <w:szCs w:val="20"/>
                <w:color w:val="auto"/>
              </w:rPr>
            </w:pPr>
            <w:r>
              <w:rPr>
                <w:rFonts w:ascii="Arial" w:cs="Arial" w:eastAsia="Arial" w:hAnsi="Arial"/>
                <w:sz w:val="13"/>
                <w:szCs w:val="13"/>
                <w:b w:val="1"/>
                <w:bCs w:val="1"/>
                <w:color w:val="auto"/>
              </w:rPr>
              <w:t>June 30,</w:t>
            </w:r>
          </w:p>
        </w:tc>
        <w:tc>
          <w:tcPr>
            <w:tcW w:w="0" w:type="dxa"/>
            <w:vAlign w:val="bottom"/>
          </w:tcPr>
          <w:p>
            <w:pPr>
              <w:spacing w:after="0"/>
              <w:rPr>
                <w:sz w:val="1"/>
                <w:szCs w:val="1"/>
                <w:color w:val="auto"/>
              </w:rPr>
            </w:pPr>
          </w:p>
        </w:tc>
      </w:tr>
      <w:tr>
        <w:trPr>
          <w:trHeight w:val="169"/>
        </w:trPr>
        <w:tc>
          <w:tcPr>
            <w:tcW w:w="8480" w:type="dxa"/>
            <w:vAlign w:val="bottom"/>
            <w:tcBorders>
              <w:bottom w:val="single" w:sz="8" w:color="CCEEFF"/>
            </w:tcBorders>
          </w:tcPr>
          <w:p>
            <w:pPr>
              <w:spacing w:after="0"/>
              <w:rPr>
                <w:sz w:val="14"/>
                <w:szCs w:val="14"/>
                <w:color w:val="auto"/>
              </w:rPr>
            </w:pPr>
          </w:p>
        </w:tc>
        <w:tc>
          <w:tcPr>
            <w:tcW w:w="124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240" w:type="dxa"/>
            <w:vAlign w:val="bottom"/>
            <w:tcBorders>
              <w:bottom w:val="single" w:sz="8" w:color="CCEEFF"/>
            </w:tcBorders>
          </w:tcPr>
          <w:p>
            <w:pPr>
              <w:spacing w:after="0"/>
              <w:rPr>
                <w:sz w:val="14"/>
                <w:szCs w:val="14"/>
                <w:color w:val="auto"/>
              </w:rPr>
            </w:pPr>
          </w:p>
        </w:tc>
        <w:tc>
          <w:tcPr>
            <w:tcW w:w="122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8480" w:type="dxa"/>
            <w:vAlign w:val="bottom"/>
            <w:shd w:val="clear" w:color="auto" w:fill="CCEEFF"/>
          </w:tcPr>
          <w:p>
            <w:pPr>
              <w:spacing w:after="0" w:line="146" w:lineRule="exact"/>
              <w:rPr>
                <w:sz w:val="20"/>
                <w:szCs w:val="20"/>
                <w:color w:val="auto"/>
              </w:rPr>
            </w:pPr>
            <w:r>
              <w:rPr>
                <w:rFonts w:ascii="Arial" w:cs="Arial" w:eastAsia="Arial" w:hAnsi="Arial"/>
                <w:sz w:val="13"/>
                <w:szCs w:val="13"/>
                <w:color w:val="auto"/>
              </w:rPr>
              <w:t>Series A Preferred Stock (convertible to Class B common stock)</w:t>
            </w:r>
          </w:p>
        </w:tc>
        <w:tc>
          <w:tcPr>
            <w:tcW w:w="124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8,936,015</w:t>
            </w:r>
          </w:p>
        </w:tc>
        <w:tc>
          <w:tcPr>
            <w:tcW w:w="240" w:type="dxa"/>
            <w:vAlign w:val="bottom"/>
            <w:shd w:val="clear" w:color="auto" w:fill="CCEEFF"/>
          </w:tcPr>
          <w:p>
            <w:pPr>
              <w:spacing w:after="0"/>
              <w:rPr>
                <w:sz w:val="12"/>
                <w:szCs w:val="12"/>
                <w:color w:val="auto"/>
              </w:rPr>
            </w:pPr>
          </w:p>
        </w:tc>
        <w:tc>
          <w:tcPr>
            <w:tcW w:w="122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8,936,015</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Series B Preferred Stock (convertible to Class B common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4,653,583</w:t>
            </w:r>
          </w:p>
        </w:tc>
        <w:tc>
          <w:tcPr>
            <w:tcW w:w="1220" w:type="dxa"/>
            <w:vAlign w:val="bottom"/>
          </w:tcPr>
          <w:p>
            <w:pPr>
              <w:jc w:val="right"/>
              <w:spacing w:after="0"/>
              <w:rPr>
                <w:sz w:val="20"/>
                <w:szCs w:val="20"/>
                <w:color w:val="auto"/>
              </w:rPr>
            </w:pPr>
            <w:r>
              <w:rPr>
                <w:rFonts w:ascii="Arial" w:cs="Arial" w:eastAsia="Arial" w:hAnsi="Arial"/>
                <w:sz w:val="13"/>
                <w:szCs w:val="13"/>
                <w:color w:val="auto"/>
              </w:rPr>
              <w:t>4,653,583</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Series m Preferred Stock (convertible to Class A common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5,339,215</w:t>
            </w:r>
          </w:p>
        </w:tc>
        <w:tc>
          <w:tcPr>
            <w:tcW w:w="12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5,339,215</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Series m-2 Preferred Stock (convertible to Class B common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1,660,756</w:t>
            </w:r>
          </w:p>
        </w:tc>
        <w:tc>
          <w:tcPr>
            <w:tcW w:w="1220" w:type="dxa"/>
            <w:vAlign w:val="bottom"/>
          </w:tcPr>
          <w:p>
            <w:pPr>
              <w:jc w:val="right"/>
              <w:spacing w:after="0"/>
              <w:rPr>
                <w:sz w:val="20"/>
                <w:szCs w:val="20"/>
                <w:color w:val="auto"/>
              </w:rPr>
            </w:pPr>
            <w:r>
              <w:rPr>
                <w:rFonts w:ascii="Arial" w:cs="Arial" w:eastAsia="Arial" w:hAnsi="Arial"/>
                <w:sz w:val="13"/>
                <w:szCs w:val="13"/>
                <w:color w:val="auto"/>
              </w:rPr>
              <w:t>1,660,756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Series m-3 Preferred Stock (convertible to Class A common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16,757</w:t>
            </w:r>
          </w:p>
        </w:tc>
        <w:tc>
          <w:tcPr>
            <w:tcW w:w="132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16,757</w:t>
            </w: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Series m-4 Preferred Stock (convertible to Class A common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1,432,786</w:t>
            </w:r>
          </w:p>
        </w:tc>
        <w:tc>
          <w:tcPr>
            <w:tcW w:w="1220" w:type="dxa"/>
            <w:vAlign w:val="bottom"/>
          </w:tcPr>
          <w:p>
            <w:pPr>
              <w:jc w:val="right"/>
              <w:spacing w:after="0"/>
              <w:rPr>
                <w:sz w:val="20"/>
                <w:szCs w:val="20"/>
                <w:color w:val="auto"/>
              </w:rPr>
            </w:pPr>
            <w:r>
              <w:rPr>
                <w:rFonts w:ascii="Arial" w:cs="Arial" w:eastAsia="Arial" w:hAnsi="Arial"/>
                <w:sz w:val="13"/>
                <w:szCs w:val="13"/>
                <w:color w:val="auto"/>
              </w:rPr>
              <w:t>1,432,786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Series S Preferred Stock (convertible to Class A common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5,567,171</w:t>
            </w:r>
          </w:p>
        </w:tc>
        <w:tc>
          <w:tcPr>
            <w:tcW w:w="12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1,575,586</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Warrants to purchase common stock (convertible to Class B common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121,913</w:t>
            </w:r>
          </w:p>
        </w:tc>
        <w:tc>
          <w:tcPr>
            <w:tcW w:w="1220" w:type="dxa"/>
            <w:vAlign w:val="bottom"/>
          </w:tcPr>
          <w:p>
            <w:pPr>
              <w:jc w:val="right"/>
              <w:spacing w:after="0"/>
              <w:rPr>
                <w:sz w:val="20"/>
                <w:szCs w:val="20"/>
                <w:color w:val="auto"/>
              </w:rPr>
            </w:pPr>
            <w:r>
              <w:rPr>
                <w:rFonts w:ascii="Arial" w:cs="Arial" w:eastAsia="Arial" w:hAnsi="Arial"/>
                <w:sz w:val="13"/>
                <w:szCs w:val="13"/>
                <w:color w:val="auto"/>
              </w:rPr>
              <w:t>121,913</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Warrants to purchase Series B Class B Preferred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53,918</w:t>
            </w:r>
          </w:p>
        </w:tc>
        <w:tc>
          <w:tcPr>
            <w:tcW w:w="132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53,918</w:t>
            </w: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Warrants to purchase of Series m-1 Class A Preferred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266,961</w:t>
            </w:r>
          </w:p>
        </w:tc>
        <w:tc>
          <w:tcPr>
            <w:tcW w:w="1220" w:type="dxa"/>
            <w:vAlign w:val="bottom"/>
          </w:tcPr>
          <w:p>
            <w:pPr>
              <w:jc w:val="right"/>
              <w:spacing w:after="0"/>
              <w:rPr>
                <w:sz w:val="20"/>
                <w:szCs w:val="20"/>
                <w:color w:val="auto"/>
              </w:rPr>
            </w:pPr>
            <w:r>
              <w:rPr>
                <w:rFonts w:ascii="Arial" w:cs="Arial" w:eastAsia="Arial" w:hAnsi="Arial"/>
                <w:sz w:val="13"/>
                <w:szCs w:val="13"/>
                <w:color w:val="auto"/>
              </w:rPr>
              <w:t>266,961</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Warrants to purchase of Series m-3 Class A Preferred Stock</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1,432,786</w:t>
            </w:r>
          </w:p>
        </w:tc>
        <w:tc>
          <w:tcPr>
            <w:tcW w:w="12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1,432,786</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tcPr>
          <w:p>
            <w:pPr>
              <w:spacing w:after="0"/>
              <w:rPr>
                <w:sz w:val="20"/>
                <w:szCs w:val="20"/>
                <w:color w:val="auto"/>
              </w:rPr>
            </w:pPr>
            <w:r>
              <w:rPr>
                <w:rFonts w:ascii="Arial" w:cs="Arial" w:eastAsia="Arial" w:hAnsi="Arial"/>
                <w:sz w:val="13"/>
                <w:szCs w:val="13"/>
                <w:color w:val="auto"/>
              </w:rPr>
              <w:t>Warrants to purchase of Series S Class A Preferred Stock</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2,525,714</w:t>
            </w:r>
          </w:p>
        </w:tc>
        <w:tc>
          <w:tcPr>
            <w:tcW w:w="1220" w:type="dxa"/>
            <w:vAlign w:val="bottom"/>
          </w:tcPr>
          <w:p>
            <w:pPr>
              <w:jc w:val="right"/>
              <w:spacing w:after="0"/>
              <w:rPr>
                <w:sz w:val="20"/>
                <w:szCs w:val="20"/>
                <w:color w:val="auto"/>
              </w:rPr>
            </w:pPr>
            <w:r>
              <w:rPr>
                <w:rFonts w:ascii="Arial" w:cs="Arial" w:eastAsia="Arial" w:hAnsi="Arial"/>
                <w:sz w:val="13"/>
                <w:szCs w:val="13"/>
                <w:color w:val="auto"/>
              </w:rPr>
              <w:t>2,387,590</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8480" w:type="dxa"/>
            <w:vAlign w:val="bottom"/>
            <w:shd w:val="clear" w:color="auto" w:fill="CCEEFF"/>
          </w:tcPr>
          <w:p>
            <w:pPr>
              <w:spacing w:after="0"/>
              <w:rPr>
                <w:sz w:val="20"/>
                <w:szCs w:val="20"/>
                <w:color w:val="auto"/>
              </w:rPr>
            </w:pPr>
            <w:r>
              <w:rPr>
                <w:rFonts w:ascii="Arial" w:cs="Arial" w:eastAsia="Arial" w:hAnsi="Arial"/>
                <w:sz w:val="13"/>
                <w:szCs w:val="13"/>
                <w:color w:val="auto"/>
              </w:rPr>
              <w:t>Convertible Notes</w:t>
            </w: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1,465,306</w:t>
            </w:r>
          </w:p>
        </w:tc>
        <w:tc>
          <w:tcPr>
            <w:tcW w:w="132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986,211</w:t>
            </w:r>
          </w:p>
        </w:tc>
        <w:tc>
          <w:tcPr>
            <w:tcW w:w="0" w:type="dxa"/>
            <w:vAlign w:val="bottom"/>
          </w:tcPr>
          <w:p>
            <w:pPr>
              <w:spacing w:after="0"/>
              <w:rPr>
                <w:sz w:val="1"/>
                <w:szCs w:val="1"/>
                <w:color w:val="auto"/>
              </w:rPr>
            </w:pPr>
          </w:p>
        </w:tc>
      </w:tr>
      <w:tr>
        <w:trPr>
          <w:trHeight w:val="166"/>
        </w:trPr>
        <w:tc>
          <w:tcPr>
            <w:tcW w:w="8480" w:type="dxa"/>
            <w:vAlign w:val="bottom"/>
          </w:tcPr>
          <w:p>
            <w:pPr>
              <w:spacing w:after="0"/>
              <w:rPr>
                <w:sz w:val="20"/>
                <w:szCs w:val="20"/>
                <w:color w:val="auto"/>
              </w:rPr>
            </w:pPr>
            <w:r>
              <w:rPr>
                <w:rFonts w:ascii="Arial" w:cs="Arial" w:eastAsia="Arial" w:hAnsi="Arial"/>
                <w:sz w:val="13"/>
                <w:szCs w:val="13"/>
                <w:color w:val="auto"/>
              </w:rPr>
              <w:t>Stock options</w:t>
            </w:r>
          </w:p>
        </w:tc>
        <w:tc>
          <w:tcPr>
            <w:tcW w:w="1480" w:type="dxa"/>
            <w:vAlign w:val="bottom"/>
            <w:gridSpan w:val="2"/>
          </w:tcPr>
          <w:p>
            <w:pPr>
              <w:jc w:val="right"/>
              <w:ind w:right="240"/>
              <w:spacing w:after="0"/>
              <w:rPr>
                <w:sz w:val="20"/>
                <w:szCs w:val="20"/>
                <w:color w:val="auto"/>
              </w:rPr>
            </w:pPr>
            <w:r>
              <w:rPr>
                <w:rFonts w:ascii="Arial" w:cs="Arial" w:eastAsia="Arial" w:hAnsi="Arial"/>
                <w:sz w:val="13"/>
                <w:szCs w:val="13"/>
                <w:color w:val="auto"/>
              </w:rPr>
              <w:t>9,019,814</w:t>
            </w:r>
          </w:p>
        </w:tc>
        <w:tc>
          <w:tcPr>
            <w:tcW w:w="1220" w:type="dxa"/>
            <w:vAlign w:val="bottom"/>
          </w:tcPr>
          <w:p>
            <w:pPr>
              <w:jc w:val="right"/>
              <w:spacing w:after="0"/>
              <w:rPr>
                <w:sz w:val="20"/>
                <w:szCs w:val="20"/>
                <w:color w:val="auto"/>
              </w:rPr>
            </w:pPr>
            <w:r>
              <w:rPr>
                <w:rFonts w:ascii="Arial" w:cs="Arial" w:eastAsia="Arial" w:hAnsi="Arial"/>
                <w:sz w:val="13"/>
                <w:szCs w:val="13"/>
                <w:color w:val="auto"/>
              </w:rPr>
              <w:t>9,019,814</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0"/>
        </w:trPr>
        <w:tc>
          <w:tcPr>
            <w:tcW w:w="8480" w:type="dxa"/>
            <w:vAlign w:val="bottom"/>
            <w:vMerge w:val="restart"/>
            <w:shd w:val="clear" w:color="auto" w:fill="CCEEFF"/>
          </w:tcPr>
          <w:p>
            <w:pPr>
              <w:ind w:left="240"/>
              <w:spacing w:after="0"/>
              <w:rPr>
                <w:sz w:val="20"/>
                <w:szCs w:val="20"/>
                <w:color w:val="auto"/>
              </w:rPr>
            </w:pPr>
            <w:r>
              <w:rPr>
                <w:rFonts w:ascii="Arial" w:cs="Arial" w:eastAsia="Arial" w:hAnsi="Arial"/>
                <w:sz w:val="13"/>
                <w:szCs w:val="13"/>
                <w:color w:val="auto"/>
              </w:rPr>
              <w:t>Total potentially dilutive shares</w:t>
            </w:r>
          </w:p>
        </w:tc>
        <w:tc>
          <w:tcPr>
            <w:tcW w:w="1240" w:type="dxa"/>
            <w:vAlign w:val="bottom"/>
            <w:shd w:val="clear" w:color="auto" w:fill="000000"/>
          </w:tcPr>
          <w:p>
            <w:pPr>
              <w:spacing w:after="0" w:line="20" w:lineRule="exact"/>
              <w:rPr>
                <w:sz w:val="1"/>
                <w:szCs w:val="1"/>
                <w:color w:val="auto"/>
              </w:rPr>
            </w:pPr>
          </w:p>
        </w:tc>
        <w:tc>
          <w:tcPr>
            <w:tcW w:w="240" w:type="dxa"/>
            <w:vAlign w:val="bottom"/>
            <w:shd w:val="clear" w:color="auto" w:fill="CCEEFF"/>
          </w:tcPr>
          <w:p>
            <w:pPr>
              <w:spacing w:after="0" w:line="20" w:lineRule="exact"/>
              <w:rPr>
                <w:sz w:val="1"/>
                <w:szCs w:val="1"/>
                <w:color w:val="auto"/>
              </w:rPr>
            </w:pPr>
          </w:p>
        </w:tc>
        <w:tc>
          <w:tcPr>
            <w:tcW w:w="122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6"/>
        </w:trPr>
        <w:tc>
          <w:tcPr>
            <w:tcW w:w="8480" w:type="dxa"/>
            <w:vAlign w:val="bottom"/>
            <w:vMerge w:val="continue"/>
            <w:shd w:val="clear" w:color="auto" w:fill="CCEEFF"/>
          </w:tcPr>
          <w:p>
            <w:pPr>
              <w:spacing w:after="0"/>
              <w:rPr>
                <w:sz w:val="13"/>
                <w:szCs w:val="13"/>
                <w:color w:val="auto"/>
              </w:rPr>
            </w:pPr>
          </w:p>
        </w:tc>
        <w:tc>
          <w:tcPr>
            <w:tcW w:w="1480" w:type="dxa"/>
            <w:vAlign w:val="bottom"/>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42,492,695</w:t>
            </w:r>
          </w:p>
        </w:tc>
        <w:tc>
          <w:tcPr>
            <w:tcW w:w="132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37,883,891</w:t>
            </w:r>
          </w:p>
        </w:tc>
        <w:tc>
          <w:tcPr>
            <w:tcW w:w="0" w:type="dxa"/>
            <w:vAlign w:val="bottom"/>
          </w:tcPr>
          <w:p>
            <w:pPr>
              <w:spacing w:after="0"/>
              <w:rPr>
                <w:sz w:val="1"/>
                <w:szCs w:val="1"/>
                <w:color w:val="auto"/>
              </w:rPr>
            </w:pPr>
          </w:p>
        </w:tc>
      </w:tr>
      <w:tr>
        <w:trPr>
          <w:trHeight w:val="30"/>
        </w:trPr>
        <w:tc>
          <w:tcPr>
            <w:tcW w:w="8480" w:type="dxa"/>
            <w:vAlign w:val="bottom"/>
            <w:shd w:val="clear" w:color="auto" w:fill="CCEEFF"/>
          </w:tcPr>
          <w:p>
            <w:pPr>
              <w:spacing w:after="0"/>
              <w:rPr>
                <w:sz w:val="2"/>
                <w:szCs w:val="2"/>
                <w:color w:val="auto"/>
              </w:rPr>
            </w:pPr>
          </w:p>
        </w:tc>
        <w:tc>
          <w:tcPr>
            <w:tcW w:w="1240" w:type="dxa"/>
            <w:vAlign w:val="bottom"/>
            <w:shd w:val="clear" w:color="auto" w:fill="000000"/>
          </w:tcPr>
          <w:p>
            <w:pPr>
              <w:spacing w:after="0"/>
              <w:rPr>
                <w:sz w:val="2"/>
                <w:szCs w:val="2"/>
                <w:color w:val="auto"/>
              </w:rPr>
            </w:pPr>
          </w:p>
        </w:tc>
        <w:tc>
          <w:tcPr>
            <w:tcW w:w="240" w:type="dxa"/>
            <w:vAlign w:val="bottom"/>
            <w:shd w:val="clear" w:color="auto" w:fill="CCEEFF"/>
          </w:tcPr>
          <w:p>
            <w:pPr>
              <w:spacing w:after="0"/>
              <w:rPr>
                <w:sz w:val="2"/>
                <w:szCs w:val="2"/>
                <w:color w:val="auto"/>
              </w:rPr>
            </w:pPr>
          </w:p>
        </w:tc>
        <w:tc>
          <w:tcPr>
            <w:tcW w:w="122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8" w:lineRule="exact"/>
        <w:rPr>
          <w:sz w:val="20"/>
          <w:szCs w:val="20"/>
          <w:color w:val="auto"/>
        </w:rPr>
      </w:pPr>
    </w:p>
    <w:p>
      <w:pPr>
        <w:spacing w:after="0"/>
        <w:rPr>
          <w:sz w:val="20"/>
          <w:szCs w:val="20"/>
          <w:color w:val="auto"/>
        </w:rPr>
      </w:pPr>
      <w:r>
        <w:rPr>
          <w:rFonts w:ascii="Arial" w:cs="Arial" w:eastAsia="Arial" w:hAnsi="Arial"/>
          <w:sz w:val="13"/>
          <w:szCs w:val="13"/>
          <w:color w:val="auto"/>
        </w:rPr>
        <w:t>As all potentially dilutive securities are anti-dilutive as of June 30, 2021 and June 30, 2020, diluted net loss per share is the same as basic net loss per share for each period.</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Comprehensive Loss</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Net loss was equal to comprehensive loss for the six month periods ended June 30, 2021 and 2020.</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Use of Estimates</w:t>
      </w:r>
    </w:p>
    <w:p>
      <w:pPr>
        <w:spacing w:after="0" w:line="163" w:lineRule="exact"/>
        <w:rPr>
          <w:sz w:val="20"/>
          <w:szCs w:val="20"/>
          <w:color w:val="auto"/>
        </w:rPr>
      </w:pPr>
    </w:p>
    <w:p>
      <w:pPr>
        <w:jc w:val="both"/>
        <w:ind w:right="20"/>
        <w:spacing w:after="0" w:line="258" w:lineRule="auto"/>
        <w:rPr>
          <w:sz w:val="20"/>
          <w:szCs w:val="20"/>
          <w:color w:val="auto"/>
        </w:rPr>
      </w:pPr>
      <w:r>
        <w:rPr>
          <w:rFonts w:ascii="Arial" w:cs="Arial" w:eastAsia="Arial" w:hAnsi="Arial"/>
          <w:sz w:val="13"/>
          <w:szCs w:val="13"/>
          <w:color w:val="auto"/>
        </w:rPr>
        <w:t>The preparation of financial statements in conformity with GAAP requires management to make judgements, estimates and assumptions that affect the reported amounts of assets, liabilities, revenue and expenses. Specific accounts that require management estimates include, but are not limited to, estimating the useful lives of our ASRs and property and equipment, certain estimates required within revenue recognition, estimating fair values of Company’s common stock, share-based awards and warrant liabilities, inclusive of any contingent assets and liabilities. Actual results could differ from those estimates and such differences may be material to the financial statements.</w:t>
      </w:r>
    </w:p>
    <w:p>
      <w:pPr>
        <w:spacing w:after="0" w:line="296" w:lineRule="exact"/>
        <w:rPr>
          <w:sz w:val="20"/>
          <w:szCs w:val="20"/>
          <w:color w:val="auto"/>
        </w:rPr>
      </w:pPr>
    </w:p>
    <w:p>
      <w:pPr>
        <w:jc w:val="center"/>
        <w:ind w:right="20"/>
        <w:spacing w:after="0"/>
        <w:rPr>
          <w:sz w:val="20"/>
          <w:szCs w:val="20"/>
          <w:color w:val="auto"/>
        </w:rPr>
      </w:pPr>
      <w:r>
        <w:rPr>
          <w:rFonts w:ascii="Arial" w:cs="Arial" w:eastAsia="Arial" w:hAnsi="Arial"/>
          <w:sz w:val="13"/>
          <w:szCs w:val="13"/>
          <w:color w:val="auto"/>
        </w:rPr>
        <w:t>F-34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0">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300"/>
          </w:cols>
          <w:pgMar w:left="300" w:top="698" w:right="299" w:bottom="1440" w:gutter="0" w:footer="0" w:header="0"/>
        </w:sectPr>
      </w:pPr>
    </w:p>
    <w:bookmarkStart w:id="96" w:name="page97"/>
    <w:bookmarkEnd w:id="96"/>
    <w:p>
      <w:pPr>
        <w:spacing w:after="0"/>
        <w:rPr>
          <w:sz w:val="20"/>
          <w:szCs w:val="20"/>
          <w:color w:val="auto"/>
        </w:rPr>
      </w:pPr>
      <w:r>
        <w:rPr>
          <w:rFonts w:ascii="Arial" w:cs="Arial" w:eastAsia="Arial" w:hAnsi="Arial"/>
          <w:sz w:val="13"/>
          <w:szCs w:val="13"/>
          <w:b w:val="1"/>
          <w:bCs w:val="1"/>
          <w:i w:val="1"/>
          <w:iCs w:val="1"/>
          <w:color w:val="auto"/>
        </w:rPr>
        <w:t>Accounting Pronouncements Adopted in 2021</w:t>
      </w:r>
    </w:p>
    <w:p>
      <w:pPr>
        <w:spacing w:after="0" w:line="163" w:lineRule="exact"/>
        <w:rPr>
          <w:sz w:val="20"/>
          <w:szCs w:val="20"/>
          <w:color w:val="auto"/>
        </w:rPr>
      </w:pPr>
    </w:p>
    <w:p>
      <w:pPr>
        <w:jc w:val="both"/>
        <w:spacing w:after="0" w:line="255" w:lineRule="auto"/>
        <w:rPr>
          <w:sz w:val="20"/>
          <w:szCs w:val="20"/>
          <w:color w:val="auto"/>
        </w:rPr>
      </w:pPr>
      <w:r>
        <w:rPr>
          <w:rFonts w:ascii="Arial" w:cs="Arial" w:eastAsia="Arial" w:hAnsi="Arial"/>
          <w:sz w:val="13"/>
          <w:szCs w:val="13"/>
          <w:color w:val="auto"/>
        </w:rPr>
        <w:t>In December 2019, the Financial Accounting Standards Board (“FASB”) issued Accounting Standards Update (“ASU”) No. 2019-12, Income Taxes – Simplifying the Accounting for Income Taxes (“ASU 2019-12”). The guidance removes exceptions to the general principles in Income Taxes (Topic 740) for allocating tax expense between financial statement components, accounting basis differences stemming from an ownership change in foreign investments, and interim period income tax accounting for year-to-date losses that exceed projected losses. The guidance also requires franchise tax (or similar tax) to be recognized as non-income tax unless partially based on net income. The new standard becomes effective for annual reporting periods beginning after December 15, 2020 for public entities and December 31, 2021 for all other entities, and interim periods within those fiscal years with early adoption permitted. On January 1, 2021, the Company early adopted ASU 2019-12. The adoption of ASU 2019-12 did not have a material impact on the Company's Consolidated Financial Statements.</w:t>
      </w:r>
    </w:p>
    <w:p>
      <w:pPr>
        <w:spacing w:after="0" w:line="142"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Recent Accounting Pronouncements Not Yet Effective</w:t>
      </w:r>
    </w:p>
    <w:p>
      <w:pPr>
        <w:spacing w:after="0" w:line="163"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In June 2016, the FASB released ASU No. 2016-13</w:t>
      </w:r>
      <w:r>
        <w:rPr>
          <w:rFonts w:ascii="Arial" w:cs="Arial" w:eastAsia="Arial" w:hAnsi="Arial"/>
          <w:sz w:val="12"/>
          <w:szCs w:val="12"/>
          <w:i w:val="1"/>
          <w:iCs w:val="1"/>
          <w:color w:val="auto"/>
        </w:rPr>
        <w:t>,</w:t>
      </w:r>
      <w:r>
        <w:rPr>
          <w:rFonts w:ascii="Arial" w:cs="Arial" w:eastAsia="Arial" w:hAnsi="Arial"/>
          <w:sz w:val="12"/>
          <w:szCs w:val="12"/>
          <w:color w:val="auto"/>
        </w:rPr>
        <w:t xml:space="preserve"> Financial Instruments – Credit Losses. The amendment revises the impairment model to utilize an expected loss methodology in place of the currently used incurred loss methodology, which will result in more timely recognition of losses on financial instruments, including but not limited to available-for-sale debt securities and accounts receivable. ASU 2016-03 is effective for fiscal years for public business entities beginning after December 15, 2022. The Company is currently in the process of evaluating the impact of adoption on its financial statements.</w:t>
      </w:r>
    </w:p>
    <w:p>
      <w:pPr>
        <w:spacing w:after="0" w:line="119"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In August 2020, the FASB issued ASU No. 2020-06</w:t>
      </w:r>
      <w:r>
        <w:rPr>
          <w:rFonts w:ascii="Arial" w:cs="Arial" w:eastAsia="Arial" w:hAnsi="Arial"/>
          <w:sz w:val="12"/>
          <w:szCs w:val="12"/>
          <w:i w:val="1"/>
          <w:iCs w:val="1"/>
          <w:color w:val="auto"/>
        </w:rPr>
        <w:t>,</w:t>
      </w:r>
      <w:r>
        <w:rPr>
          <w:rFonts w:ascii="Arial" w:cs="Arial" w:eastAsia="Arial" w:hAnsi="Arial"/>
          <w:sz w:val="12"/>
          <w:szCs w:val="12"/>
          <w:color w:val="auto"/>
        </w:rPr>
        <w:t xml:space="preserve"> Debt-Debt with Conversion and Other Options (Subtopic 470-20) and Derivatives and Hedging-Contracts in Entity’s Own Equity (Subtopic 815-40). The update is to simplify the accounting for convertible instruments by removing certain separation models in Subtopic 470-20. This amendment is applicable to all public business entities for fiscal years, and interim periods within those fiscal years, beginning after December 15, 2021, with early adoption permitted. The Company is currently evaluating the impact of adoption on its financial statements.</w:t>
      </w:r>
    </w:p>
    <w:p>
      <w:pPr>
        <w:spacing w:after="0" w:line="11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Autonomous Security Robots, net</w:t>
      </w:r>
    </w:p>
    <w:p>
      <w:pPr>
        <w:spacing w:after="0" w:line="167" w:lineRule="exact"/>
        <w:rPr>
          <w:sz w:val="20"/>
          <w:szCs w:val="20"/>
          <w:color w:val="auto"/>
        </w:rPr>
      </w:pPr>
    </w:p>
    <w:p>
      <w:pPr>
        <w:jc w:val="both"/>
        <w:spacing w:after="0" w:line="256" w:lineRule="auto"/>
        <w:rPr>
          <w:sz w:val="20"/>
          <w:szCs w:val="20"/>
          <w:color w:val="auto"/>
        </w:rPr>
      </w:pPr>
      <w:r>
        <w:rPr>
          <w:rFonts w:ascii="Arial" w:cs="Arial" w:eastAsia="Arial" w:hAnsi="Arial"/>
          <w:sz w:val="13"/>
          <w:szCs w:val="13"/>
          <w:color w:val="auto"/>
        </w:rPr>
        <w:t>ASRs consist of materials, ASRs in progress and finished ASRs. ASRs in progress and finished ASRs include materials, labor and other direct and indirect costs used in their production. Finished ASRs are valued using a discrete bill of materials, which includes an allocation of labor and direct overhead based on assembly hours. Depreciation expense on ASRs is recorded using the straight-line method over their estimated expected lives, which currently ranges from 3 to 4.5 years. Depreciation expense of finished ASRs included in research and development expense amounted to $40,962 and $0, depreciation expense of finished ASRs included in sales and marketing expense amounted to $35,259 and $39,724, and depreciation expense included in cost of services amounted to $671,240 and $ 619,569 for the six months ended June 30, 2021 and 2020, respectively.</w:t>
      </w:r>
    </w:p>
    <w:p>
      <w:pPr>
        <w:spacing w:after="0" w:line="141"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4920" w:type="dxa"/>
            <w:vAlign w:val="bottom"/>
            <w:gridSpan w:val="2"/>
          </w:tcPr>
          <w:p>
            <w:pPr>
              <w:spacing w:after="0"/>
              <w:rPr>
                <w:sz w:val="20"/>
                <w:szCs w:val="20"/>
                <w:color w:val="auto"/>
              </w:rPr>
            </w:pPr>
            <w:r>
              <w:rPr>
                <w:rFonts w:ascii="Arial" w:cs="Arial" w:eastAsia="Arial" w:hAnsi="Arial"/>
                <w:sz w:val="13"/>
                <w:szCs w:val="13"/>
                <w:color w:val="auto"/>
              </w:rPr>
              <w:t>ASRs, net, consisted of the following:</w:t>
            </w:r>
          </w:p>
        </w:tc>
        <w:tc>
          <w:tcPr>
            <w:tcW w:w="35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160" w:type="dxa"/>
            <w:vAlign w:val="bottom"/>
            <w:gridSpan w:val="2"/>
            <w:vMerge w:val="restart"/>
          </w:tcPr>
          <w:p>
            <w:pPr>
              <w:jc w:val="right"/>
              <w:ind w:right="520"/>
              <w:spacing w:after="0"/>
              <w:rPr>
                <w:sz w:val="20"/>
                <w:szCs w:val="20"/>
                <w:color w:val="auto"/>
              </w:rPr>
            </w:pPr>
            <w:r>
              <w:rPr>
                <w:rFonts w:ascii="Arial" w:cs="Arial" w:eastAsia="Arial" w:hAnsi="Arial"/>
                <w:sz w:val="13"/>
                <w:szCs w:val="13"/>
                <w:b w:val="1"/>
                <w:bCs w:val="1"/>
                <w:color w:val="auto"/>
              </w:rPr>
              <w:t>June 30,</w:t>
            </w:r>
          </w:p>
        </w:tc>
        <w:tc>
          <w:tcPr>
            <w:tcW w:w="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180" w:type="dxa"/>
            <w:vAlign w:val="bottom"/>
            <w:gridSpan w:val="2"/>
            <w:vMerge w:val="restart"/>
          </w:tcPr>
          <w:p>
            <w:pPr>
              <w:jc w:val="right"/>
              <w:ind w:right="340"/>
              <w:spacing w:after="0"/>
              <w:rPr>
                <w:sz w:val="20"/>
                <w:szCs w:val="20"/>
                <w:color w:val="auto"/>
              </w:rPr>
            </w:pPr>
            <w:r>
              <w:rPr>
                <w:rFonts w:ascii="Arial" w:cs="Arial" w:eastAsia="Arial" w:hAnsi="Arial"/>
                <w:sz w:val="13"/>
                <w:szCs w:val="13"/>
                <w:b w:val="1"/>
                <w:bCs w:val="1"/>
                <w:color w:val="auto"/>
                <w:w w:val="96"/>
              </w:rPr>
              <w:t>December 31,</w:t>
            </w:r>
          </w:p>
        </w:tc>
        <w:tc>
          <w:tcPr>
            <w:tcW w:w="0" w:type="dxa"/>
            <w:vAlign w:val="bottom"/>
          </w:tcPr>
          <w:p>
            <w:pPr>
              <w:spacing w:after="0"/>
              <w:rPr>
                <w:sz w:val="1"/>
                <w:szCs w:val="1"/>
                <w:color w:val="auto"/>
              </w:rPr>
            </w:pPr>
          </w:p>
        </w:tc>
      </w:tr>
      <w:tr>
        <w:trPr>
          <w:trHeight w:val="155"/>
        </w:trPr>
        <w:tc>
          <w:tcPr>
            <w:tcW w:w="20" w:type="dxa"/>
            <w:vAlign w:val="bottom"/>
          </w:tcPr>
          <w:p>
            <w:pPr>
              <w:spacing w:after="0"/>
              <w:rPr>
                <w:sz w:val="13"/>
                <w:szCs w:val="13"/>
                <w:color w:val="auto"/>
              </w:rPr>
            </w:pPr>
          </w:p>
        </w:tc>
        <w:tc>
          <w:tcPr>
            <w:tcW w:w="4900" w:type="dxa"/>
            <w:vAlign w:val="bottom"/>
          </w:tcPr>
          <w:p>
            <w:pPr>
              <w:spacing w:after="0"/>
              <w:rPr>
                <w:sz w:val="13"/>
                <w:szCs w:val="13"/>
                <w:color w:val="auto"/>
              </w:rPr>
            </w:pPr>
          </w:p>
        </w:tc>
        <w:tc>
          <w:tcPr>
            <w:tcW w:w="356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160" w:type="dxa"/>
            <w:vAlign w:val="bottom"/>
            <w:gridSpan w:val="2"/>
            <w:vMerge w:val="continue"/>
          </w:tcPr>
          <w:p>
            <w:pPr>
              <w:spacing w:after="0"/>
              <w:rPr>
                <w:sz w:val="13"/>
                <w:szCs w:val="13"/>
                <w:color w:val="auto"/>
              </w:rPr>
            </w:pPr>
          </w:p>
        </w:tc>
        <w:tc>
          <w:tcPr>
            <w:tcW w:w="8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180" w:type="dxa"/>
            <w:vAlign w:val="bottom"/>
            <w:gridSpan w:val="2"/>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4900" w:type="dxa"/>
            <w:vAlign w:val="bottom"/>
            <w:tcBorders>
              <w:bottom w:val="single" w:sz="8" w:color="CCEEFF"/>
            </w:tcBorders>
          </w:tcPr>
          <w:p>
            <w:pPr>
              <w:spacing w:after="0"/>
              <w:rPr>
                <w:sz w:val="14"/>
                <w:szCs w:val="14"/>
                <w:color w:val="auto"/>
              </w:rPr>
            </w:pPr>
          </w:p>
        </w:tc>
        <w:tc>
          <w:tcPr>
            <w:tcW w:w="3560" w:type="dxa"/>
            <w:vAlign w:val="bottom"/>
            <w:tcBorders>
              <w:bottom w:val="single" w:sz="8" w:color="CCEEFF"/>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02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140" w:type="dxa"/>
            <w:vAlign w:val="bottom"/>
            <w:tcBorders>
              <w:bottom w:val="single" w:sz="8" w:color="CCEEFF"/>
            </w:tcBorders>
          </w:tcPr>
          <w:p>
            <w:pPr>
              <w:spacing w:after="0"/>
              <w:rPr>
                <w:sz w:val="14"/>
                <w:szCs w:val="14"/>
                <w:color w:val="auto"/>
              </w:rPr>
            </w:pPr>
          </w:p>
        </w:tc>
        <w:tc>
          <w:tcPr>
            <w:tcW w:w="80" w:type="dxa"/>
            <w:vAlign w:val="bottom"/>
            <w:tcBorders>
              <w:bottom w:val="single" w:sz="8" w:color="CCEEFF"/>
            </w:tcBorders>
          </w:tcPr>
          <w:p>
            <w:pPr>
              <w:spacing w:after="0"/>
              <w:rPr>
                <w:sz w:val="14"/>
                <w:szCs w:val="14"/>
                <w:color w:val="auto"/>
              </w:rPr>
            </w:pPr>
          </w:p>
        </w:tc>
        <w:tc>
          <w:tcPr>
            <w:tcW w:w="20" w:type="dxa"/>
            <w:vAlign w:val="bottom"/>
            <w:tcBorders>
              <w:bottom w:val="single" w:sz="8" w:color="CCEEFF"/>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08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4900" w:type="dxa"/>
            <w:vAlign w:val="bottom"/>
            <w:shd w:val="clear" w:color="auto" w:fill="CCEEFF"/>
          </w:tcPr>
          <w:p>
            <w:pPr>
              <w:spacing w:after="0" w:line="146" w:lineRule="exact"/>
              <w:rPr>
                <w:sz w:val="20"/>
                <w:szCs w:val="20"/>
                <w:color w:val="auto"/>
              </w:rPr>
            </w:pPr>
            <w:r>
              <w:rPr>
                <w:rFonts w:ascii="Arial" w:cs="Arial" w:eastAsia="Arial" w:hAnsi="Arial"/>
                <w:sz w:val="13"/>
                <w:szCs w:val="13"/>
                <w:color w:val="auto"/>
              </w:rPr>
              <w:t>Raw materials</w:t>
            </w:r>
          </w:p>
        </w:tc>
        <w:tc>
          <w:tcPr>
            <w:tcW w:w="3560" w:type="dxa"/>
            <w:vAlign w:val="bottom"/>
            <w:shd w:val="clear" w:color="auto" w:fill="CCEEFF"/>
          </w:tcPr>
          <w:p>
            <w:pPr>
              <w:spacing w:after="0"/>
              <w:rPr>
                <w:sz w:val="12"/>
                <w:szCs w:val="12"/>
                <w:color w:val="auto"/>
              </w:rPr>
            </w:pPr>
          </w:p>
        </w:tc>
        <w:tc>
          <w:tcPr>
            <w:tcW w:w="220" w:type="dxa"/>
            <w:vAlign w:val="bottom"/>
            <w:shd w:val="clear" w:color="auto" w:fill="CCEEFF"/>
          </w:tcPr>
          <w:p>
            <w:pPr>
              <w:jc w:val="right"/>
              <w:ind w:right="11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571,549</w:t>
            </w:r>
          </w:p>
        </w:tc>
        <w:tc>
          <w:tcPr>
            <w:tcW w:w="14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jc w:val="right"/>
              <w:ind w:right="31"/>
              <w:spacing w:after="0"/>
              <w:rPr>
                <w:sz w:val="20"/>
                <w:szCs w:val="20"/>
                <w:color w:val="auto"/>
              </w:rPr>
            </w:pPr>
            <w:r>
              <w:rPr>
                <w:rFonts w:ascii="Arial" w:cs="Arial" w:eastAsia="Arial" w:hAnsi="Arial"/>
                <w:sz w:val="10"/>
                <w:szCs w:val="10"/>
                <w:color w:val="auto"/>
                <w:w w:val="71"/>
              </w:rPr>
              <w:t>$</w:t>
            </w:r>
          </w:p>
        </w:tc>
        <w:tc>
          <w:tcPr>
            <w:tcW w:w="108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596,841</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900" w:type="dxa"/>
            <w:vAlign w:val="bottom"/>
          </w:tcPr>
          <w:p>
            <w:pPr>
              <w:spacing w:after="0"/>
              <w:rPr>
                <w:sz w:val="20"/>
                <w:szCs w:val="20"/>
                <w:color w:val="auto"/>
              </w:rPr>
            </w:pPr>
            <w:r>
              <w:rPr>
                <w:rFonts w:ascii="Arial" w:cs="Arial" w:eastAsia="Arial" w:hAnsi="Arial"/>
                <w:sz w:val="13"/>
                <w:szCs w:val="13"/>
                <w:color w:val="auto"/>
              </w:rPr>
              <w:t>ASRs in progress</w:t>
            </w:r>
          </w:p>
        </w:tc>
        <w:tc>
          <w:tcPr>
            <w:tcW w:w="356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160" w:type="dxa"/>
            <w:vAlign w:val="bottom"/>
            <w:gridSpan w:val="2"/>
          </w:tcPr>
          <w:p>
            <w:pPr>
              <w:jc w:val="right"/>
              <w:ind w:right="140"/>
              <w:spacing w:after="0"/>
              <w:rPr>
                <w:sz w:val="20"/>
                <w:szCs w:val="20"/>
                <w:color w:val="auto"/>
              </w:rPr>
            </w:pPr>
            <w:r>
              <w:rPr>
                <w:rFonts w:ascii="Arial" w:cs="Arial" w:eastAsia="Arial" w:hAnsi="Arial"/>
                <w:sz w:val="13"/>
                <w:szCs w:val="13"/>
                <w:color w:val="auto"/>
              </w:rPr>
              <w:t>609,280</w:t>
            </w:r>
          </w:p>
        </w:tc>
        <w:tc>
          <w:tcPr>
            <w:tcW w:w="8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80" w:type="dxa"/>
            <w:vAlign w:val="bottom"/>
          </w:tcPr>
          <w:p>
            <w:pPr>
              <w:jc w:val="right"/>
              <w:spacing w:after="0"/>
              <w:rPr>
                <w:sz w:val="20"/>
                <w:szCs w:val="20"/>
                <w:color w:val="auto"/>
              </w:rPr>
            </w:pPr>
            <w:r>
              <w:rPr>
                <w:rFonts w:ascii="Arial" w:cs="Arial" w:eastAsia="Arial" w:hAnsi="Arial"/>
                <w:sz w:val="13"/>
                <w:szCs w:val="13"/>
                <w:color w:val="auto"/>
              </w:rPr>
              <w:t>132,594</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4900" w:type="dxa"/>
            <w:vAlign w:val="bottom"/>
            <w:shd w:val="clear" w:color="auto" w:fill="CCEEFF"/>
          </w:tcPr>
          <w:p>
            <w:pPr>
              <w:spacing w:after="0"/>
              <w:rPr>
                <w:sz w:val="20"/>
                <w:szCs w:val="20"/>
                <w:color w:val="auto"/>
              </w:rPr>
            </w:pPr>
            <w:r>
              <w:rPr>
                <w:rFonts w:ascii="Arial" w:cs="Arial" w:eastAsia="Arial" w:hAnsi="Arial"/>
                <w:sz w:val="13"/>
                <w:szCs w:val="13"/>
                <w:color w:val="auto"/>
              </w:rPr>
              <w:t>Finished ASRs</w:t>
            </w:r>
          </w:p>
        </w:tc>
        <w:tc>
          <w:tcPr>
            <w:tcW w:w="3560" w:type="dxa"/>
            <w:vAlign w:val="bottom"/>
            <w:shd w:val="clear" w:color="auto" w:fill="CCEEFF"/>
          </w:tcPr>
          <w:p>
            <w:pPr>
              <w:spacing w:after="0"/>
              <w:rPr>
                <w:sz w:val="14"/>
                <w:szCs w:val="14"/>
                <w:color w:val="auto"/>
              </w:rPr>
            </w:pPr>
          </w:p>
        </w:tc>
        <w:tc>
          <w:tcPr>
            <w:tcW w:w="220" w:type="dxa"/>
            <w:vAlign w:val="bottom"/>
            <w:shd w:val="clear" w:color="auto" w:fill="CCEEFF"/>
          </w:tcPr>
          <w:p>
            <w:pPr>
              <w:spacing w:after="0"/>
              <w:rPr>
                <w:sz w:val="14"/>
                <w:szCs w:val="14"/>
                <w:color w:val="auto"/>
              </w:rPr>
            </w:pPr>
          </w:p>
        </w:tc>
        <w:tc>
          <w:tcPr>
            <w:tcW w:w="116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6,688,264</w:t>
            </w:r>
          </w:p>
        </w:tc>
        <w:tc>
          <w:tcPr>
            <w:tcW w:w="80" w:type="dxa"/>
            <w:vAlign w:val="bottom"/>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6,216,863</w:t>
            </w:r>
          </w:p>
        </w:tc>
        <w:tc>
          <w:tcPr>
            <w:tcW w:w="10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6"/>
        </w:trPr>
        <w:tc>
          <w:tcPr>
            <w:tcW w:w="20" w:type="dxa"/>
            <w:vAlign w:val="bottom"/>
          </w:tcPr>
          <w:p>
            <w:pPr>
              <w:spacing w:after="0"/>
              <w:rPr>
                <w:sz w:val="12"/>
                <w:szCs w:val="12"/>
                <w:color w:val="auto"/>
              </w:rPr>
            </w:pPr>
          </w:p>
        </w:tc>
        <w:tc>
          <w:tcPr>
            <w:tcW w:w="4900" w:type="dxa"/>
            <w:vAlign w:val="bottom"/>
          </w:tcPr>
          <w:p>
            <w:pPr>
              <w:spacing w:after="0"/>
              <w:rPr>
                <w:sz w:val="12"/>
                <w:szCs w:val="12"/>
                <w:color w:val="auto"/>
              </w:rPr>
            </w:pPr>
          </w:p>
        </w:tc>
        <w:tc>
          <w:tcPr>
            <w:tcW w:w="3560" w:type="dxa"/>
            <w:vAlign w:val="bottom"/>
          </w:tcPr>
          <w:p>
            <w:pPr>
              <w:spacing w:after="0"/>
              <w:rPr>
                <w:sz w:val="12"/>
                <w:szCs w:val="12"/>
                <w:color w:val="auto"/>
              </w:rPr>
            </w:pPr>
          </w:p>
        </w:tc>
        <w:tc>
          <w:tcPr>
            <w:tcW w:w="220" w:type="dxa"/>
            <w:vAlign w:val="bottom"/>
            <w:tcBorders>
              <w:top w:val="single" w:sz="8" w:color="auto"/>
            </w:tcBorders>
          </w:tcPr>
          <w:p>
            <w:pPr>
              <w:spacing w:after="0"/>
              <w:rPr>
                <w:sz w:val="12"/>
                <w:szCs w:val="12"/>
                <w:color w:val="auto"/>
              </w:rPr>
            </w:pPr>
          </w:p>
        </w:tc>
        <w:tc>
          <w:tcPr>
            <w:tcW w:w="1020" w:type="dxa"/>
            <w:vAlign w:val="bottom"/>
            <w:tcBorders>
              <w:top w:val="single" w:sz="8" w:color="auto"/>
            </w:tcBorders>
          </w:tcPr>
          <w:p>
            <w:pPr>
              <w:jc w:val="right"/>
              <w:spacing w:after="0" w:line="146" w:lineRule="exact"/>
              <w:rPr>
                <w:sz w:val="20"/>
                <w:szCs w:val="20"/>
                <w:color w:val="auto"/>
              </w:rPr>
            </w:pPr>
            <w:r>
              <w:rPr>
                <w:rFonts w:ascii="Arial" w:cs="Arial" w:eastAsia="Arial" w:hAnsi="Arial"/>
                <w:sz w:val="13"/>
                <w:szCs w:val="13"/>
                <w:color w:val="auto"/>
              </w:rPr>
              <w:t>7,869,093</w:t>
            </w:r>
          </w:p>
        </w:tc>
        <w:tc>
          <w:tcPr>
            <w:tcW w:w="1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40" w:type="dxa"/>
            <w:vAlign w:val="bottom"/>
            <w:tcBorders>
              <w:top w:val="single" w:sz="8" w:color="auto"/>
            </w:tcBorders>
          </w:tcPr>
          <w:p>
            <w:pPr>
              <w:spacing w:after="0"/>
              <w:rPr>
                <w:sz w:val="12"/>
                <w:szCs w:val="12"/>
                <w:color w:val="auto"/>
              </w:rPr>
            </w:pPr>
          </w:p>
        </w:tc>
        <w:tc>
          <w:tcPr>
            <w:tcW w:w="1080" w:type="dxa"/>
            <w:vAlign w:val="bottom"/>
            <w:tcBorders>
              <w:top w:val="single" w:sz="8" w:color="auto"/>
            </w:tcBorders>
          </w:tcPr>
          <w:p>
            <w:pPr>
              <w:jc w:val="right"/>
              <w:spacing w:after="0" w:line="146" w:lineRule="exact"/>
              <w:rPr>
                <w:sz w:val="20"/>
                <w:szCs w:val="20"/>
                <w:color w:val="auto"/>
              </w:rPr>
            </w:pPr>
            <w:r>
              <w:rPr>
                <w:rFonts w:ascii="Arial" w:cs="Arial" w:eastAsia="Arial" w:hAnsi="Arial"/>
                <w:sz w:val="13"/>
                <w:szCs w:val="13"/>
                <w:color w:val="auto"/>
              </w:rPr>
              <w:t>6,946,298</w:t>
            </w: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4900" w:type="dxa"/>
            <w:vAlign w:val="bottom"/>
            <w:shd w:val="clear" w:color="auto" w:fill="CCEEFF"/>
          </w:tcPr>
          <w:p>
            <w:pPr>
              <w:spacing w:after="0"/>
              <w:rPr>
                <w:sz w:val="20"/>
                <w:szCs w:val="20"/>
                <w:color w:val="auto"/>
              </w:rPr>
            </w:pPr>
            <w:r>
              <w:rPr>
                <w:rFonts w:ascii="Arial" w:cs="Arial" w:eastAsia="Arial" w:hAnsi="Arial"/>
                <w:sz w:val="13"/>
                <w:szCs w:val="13"/>
                <w:color w:val="auto"/>
              </w:rPr>
              <w:t>Accumulated depreciation on Finished ASRs</w:t>
            </w:r>
          </w:p>
        </w:tc>
        <w:tc>
          <w:tcPr>
            <w:tcW w:w="3560" w:type="dxa"/>
            <w:vAlign w:val="bottom"/>
            <w:shd w:val="clear" w:color="auto" w:fill="CCEEFF"/>
          </w:tcPr>
          <w:p>
            <w:pPr>
              <w:spacing w:after="0"/>
              <w:rPr>
                <w:sz w:val="14"/>
                <w:szCs w:val="14"/>
                <w:color w:val="auto"/>
              </w:rPr>
            </w:pPr>
          </w:p>
        </w:tc>
        <w:tc>
          <w:tcPr>
            <w:tcW w:w="220" w:type="dxa"/>
            <w:vAlign w:val="bottom"/>
            <w:shd w:val="clear" w:color="auto" w:fill="CCEEFF"/>
          </w:tcPr>
          <w:p>
            <w:pPr>
              <w:spacing w:after="0"/>
              <w:rPr>
                <w:sz w:val="14"/>
                <w:szCs w:val="14"/>
                <w:color w:val="auto"/>
              </w:rPr>
            </w:pPr>
          </w:p>
        </w:tc>
        <w:tc>
          <w:tcPr>
            <w:tcW w:w="11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(5,403,330)</w:t>
            </w:r>
          </w:p>
        </w:tc>
        <w:tc>
          <w:tcPr>
            <w:tcW w:w="80" w:type="dxa"/>
            <w:vAlign w:val="bottom"/>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140" w:type="dxa"/>
            <w:vAlign w:val="bottom"/>
            <w:shd w:val="clear" w:color="auto" w:fill="CCEEFF"/>
          </w:tcPr>
          <w:p>
            <w:pPr>
              <w:spacing w:after="0"/>
              <w:rPr>
                <w:sz w:val="14"/>
                <w:szCs w:val="14"/>
                <w:color w:val="auto"/>
              </w:rPr>
            </w:pPr>
          </w:p>
        </w:tc>
        <w:tc>
          <w:tcPr>
            <w:tcW w:w="118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(4,655,868)</w:t>
            </w:r>
          </w:p>
        </w:tc>
        <w:tc>
          <w:tcPr>
            <w:tcW w:w="0" w:type="dxa"/>
            <w:vAlign w:val="bottom"/>
          </w:tcPr>
          <w:p>
            <w:pPr>
              <w:spacing w:after="0"/>
              <w:rPr>
                <w:sz w:val="1"/>
                <w:szCs w:val="1"/>
                <w:color w:val="auto"/>
              </w:rPr>
            </w:pPr>
          </w:p>
        </w:tc>
      </w:tr>
      <w:tr>
        <w:trPr>
          <w:trHeight w:val="146"/>
        </w:trPr>
        <w:tc>
          <w:tcPr>
            <w:tcW w:w="20" w:type="dxa"/>
            <w:vAlign w:val="bottom"/>
            <w:vMerge w:val="restart"/>
          </w:tcPr>
          <w:p>
            <w:pPr>
              <w:spacing w:after="0"/>
              <w:rPr>
                <w:sz w:val="12"/>
                <w:szCs w:val="12"/>
                <w:color w:val="auto"/>
              </w:rPr>
            </w:pPr>
          </w:p>
        </w:tc>
        <w:tc>
          <w:tcPr>
            <w:tcW w:w="4900" w:type="dxa"/>
            <w:vAlign w:val="bottom"/>
          </w:tcPr>
          <w:p>
            <w:pPr>
              <w:spacing w:after="0"/>
              <w:rPr>
                <w:sz w:val="12"/>
                <w:szCs w:val="12"/>
                <w:color w:val="auto"/>
              </w:rPr>
            </w:pPr>
          </w:p>
        </w:tc>
        <w:tc>
          <w:tcPr>
            <w:tcW w:w="3560" w:type="dxa"/>
            <w:vAlign w:val="bottom"/>
          </w:tcPr>
          <w:p>
            <w:pPr>
              <w:spacing w:after="0"/>
              <w:rPr>
                <w:sz w:val="12"/>
                <w:szCs w:val="12"/>
                <w:color w:val="auto"/>
              </w:rPr>
            </w:pPr>
          </w:p>
        </w:tc>
        <w:tc>
          <w:tcPr>
            <w:tcW w:w="220" w:type="dxa"/>
            <w:vAlign w:val="bottom"/>
            <w:tcBorders>
              <w:top w:val="single" w:sz="8" w:color="auto"/>
            </w:tcBorders>
          </w:tcPr>
          <w:p>
            <w:pPr>
              <w:spacing w:after="0"/>
              <w:rPr>
                <w:sz w:val="12"/>
                <w:szCs w:val="12"/>
                <w:color w:val="auto"/>
              </w:rPr>
            </w:pPr>
          </w:p>
        </w:tc>
        <w:tc>
          <w:tcPr>
            <w:tcW w:w="1020" w:type="dxa"/>
            <w:vAlign w:val="bottom"/>
            <w:tcBorders>
              <w:top w:val="single" w:sz="8" w:color="auto"/>
            </w:tcBorders>
          </w:tcPr>
          <w:p>
            <w:pPr>
              <w:spacing w:after="0"/>
              <w:rPr>
                <w:sz w:val="12"/>
                <w:szCs w:val="12"/>
                <w:color w:val="auto"/>
              </w:rPr>
            </w:pPr>
          </w:p>
        </w:tc>
        <w:tc>
          <w:tcPr>
            <w:tcW w:w="1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40" w:type="dxa"/>
            <w:vAlign w:val="bottom"/>
            <w:tcBorders>
              <w:top w:val="single" w:sz="8" w:color="auto"/>
            </w:tcBorders>
          </w:tcPr>
          <w:p>
            <w:pPr>
              <w:spacing w:after="0"/>
              <w:rPr>
                <w:sz w:val="12"/>
                <w:szCs w:val="12"/>
                <w:color w:val="auto"/>
              </w:rPr>
            </w:pPr>
          </w:p>
        </w:tc>
        <w:tc>
          <w:tcPr>
            <w:tcW w:w="1080" w:type="dxa"/>
            <w:vAlign w:val="bottom"/>
            <w:tcBorders>
              <w:top w:val="single" w:sz="8" w:color="auto"/>
            </w:tcBorders>
          </w:tcPr>
          <w:p>
            <w:pPr>
              <w:spacing w:after="0"/>
              <w:rPr>
                <w:sz w:val="12"/>
                <w:szCs w:val="12"/>
                <w:color w:val="auto"/>
              </w:rPr>
            </w:pP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95"/>
        </w:trPr>
        <w:tc>
          <w:tcPr>
            <w:tcW w:w="20" w:type="dxa"/>
            <w:vAlign w:val="bottom"/>
            <w:vMerge w:val="continue"/>
          </w:tcPr>
          <w:p>
            <w:pPr>
              <w:spacing w:after="0"/>
              <w:rPr>
                <w:sz w:val="16"/>
                <w:szCs w:val="16"/>
                <w:color w:val="auto"/>
              </w:rPr>
            </w:pPr>
          </w:p>
        </w:tc>
        <w:tc>
          <w:tcPr>
            <w:tcW w:w="4900" w:type="dxa"/>
            <w:vAlign w:val="bottom"/>
            <w:shd w:val="clear" w:color="auto" w:fill="CCEEFF"/>
          </w:tcPr>
          <w:p>
            <w:pPr>
              <w:spacing w:after="0"/>
              <w:rPr>
                <w:sz w:val="20"/>
                <w:szCs w:val="20"/>
                <w:color w:val="auto"/>
              </w:rPr>
            </w:pPr>
            <w:r>
              <w:rPr>
                <w:rFonts w:ascii="Arial" w:cs="Arial" w:eastAsia="Arial" w:hAnsi="Arial"/>
                <w:sz w:val="13"/>
                <w:szCs w:val="13"/>
                <w:color w:val="auto"/>
              </w:rPr>
              <w:t>ASRs, net</w:t>
            </w:r>
          </w:p>
        </w:tc>
        <w:tc>
          <w:tcPr>
            <w:tcW w:w="3780" w:type="dxa"/>
            <w:vAlign w:val="bottom"/>
            <w:gridSpan w:val="2"/>
            <w:shd w:val="clear" w:color="auto" w:fill="CCEEFF"/>
          </w:tcPr>
          <w:p>
            <w:pPr>
              <w:jc w:val="right"/>
              <w:ind w:right="111"/>
              <w:spacing w:after="0"/>
              <w:rPr>
                <w:sz w:val="20"/>
                <w:szCs w:val="20"/>
                <w:color w:val="auto"/>
              </w:rPr>
            </w:pPr>
            <w:r>
              <w:rPr>
                <w:rFonts w:ascii="Arial" w:cs="Arial" w:eastAsia="Arial" w:hAnsi="Arial"/>
                <w:sz w:val="13"/>
                <w:szCs w:val="13"/>
                <w:color w:val="auto"/>
              </w:rPr>
              <w:t>$</w:t>
            </w:r>
          </w:p>
        </w:tc>
        <w:tc>
          <w:tcPr>
            <w:tcW w:w="116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2,465,763</w:t>
            </w:r>
          </w:p>
        </w:tc>
        <w:tc>
          <w:tcPr>
            <w:tcW w:w="240" w:type="dxa"/>
            <w:vAlign w:val="bottom"/>
            <w:gridSpan w:val="3"/>
            <w:shd w:val="clear" w:color="auto" w:fill="CCEEFF"/>
          </w:tcPr>
          <w:p>
            <w:pPr>
              <w:jc w:val="right"/>
              <w:ind w:right="31"/>
              <w:spacing w:after="0"/>
              <w:rPr>
                <w:sz w:val="20"/>
                <w:szCs w:val="20"/>
                <w:color w:val="auto"/>
              </w:rPr>
            </w:pPr>
            <w:r>
              <w:rPr>
                <w:rFonts w:ascii="Arial" w:cs="Arial" w:eastAsia="Arial" w:hAnsi="Arial"/>
                <w:sz w:val="13"/>
                <w:szCs w:val="13"/>
                <w:color w:val="auto"/>
              </w:rPr>
              <w:t>$</w:t>
            </w: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2,290,430</w:t>
            </w:r>
          </w:p>
        </w:tc>
        <w:tc>
          <w:tcPr>
            <w:tcW w:w="100" w:type="dxa"/>
            <w:vAlign w:val="bottom"/>
            <w:shd w:val="clear" w:color="auto" w:fill="CCEEFF"/>
          </w:tcPr>
          <w:p>
            <w:pPr>
              <w:spacing w:after="0"/>
              <w:rPr>
                <w:sz w:val="16"/>
                <w:szCs w:val="16"/>
                <w:color w:val="auto"/>
              </w:rPr>
            </w:pPr>
          </w:p>
        </w:tc>
        <w:tc>
          <w:tcPr>
            <w:tcW w:w="0" w:type="dxa"/>
            <w:vAlign w:val="bottom"/>
          </w:tcPr>
          <w:p>
            <w:pPr>
              <w:spacing w:after="0"/>
              <w:rPr>
                <w:sz w:val="1"/>
                <w:szCs w:val="1"/>
                <w:color w:val="auto"/>
              </w:rPr>
            </w:pPr>
          </w:p>
        </w:tc>
      </w:tr>
      <w:tr>
        <w:trPr>
          <w:trHeight w:val="302"/>
        </w:trPr>
        <w:tc>
          <w:tcPr>
            <w:tcW w:w="20" w:type="dxa"/>
            <w:vAlign w:val="bottom"/>
          </w:tcPr>
          <w:p>
            <w:pPr>
              <w:spacing w:after="0"/>
              <w:rPr>
                <w:sz w:val="24"/>
                <w:szCs w:val="24"/>
                <w:color w:val="auto"/>
              </w:rPr>
            </w:pPr>
          </w:p>
        </w:tc>
        <w:tc>
          <w:tcPr>
            <w:tcW w:w="4900" w:type="dxa"/>
            <w:vAlign w:val="bottom"/>
            <w:tcBorders>
              <w:top w:val="single" w:sz="8" w:color="CCEEFF"/>
            </w:tcBorders>
          </w:tcPr>
          <w:p>
            <w:pPr>
              <w:ind w:left="220"/>
              <w:spacing w:after="0"/>
              <w:rPr>
                <w:sz w:val="20"/>
                <w:szCs w:val="20"/>
                <w:color w:val="auto"/>
              </w:rPr>
            </w:pPr>
            <w:r>
              <w:rPr>
                <w:rFonts w:ascii="Arial" w:cs="Arial" w:eastAsia="Arial" w:hAnsi="Arial"/>
                <w:sz w:val="13"/>
                <w:szCs w:val="13"/>
                <w:color w:val="auto"/>
              </w:rPr>
              <w:t>The components of the Finished ASRs, net as of June 30, 2021 are as follows:</w:t>
            </w:r>
          </w:p>
        </w:tc>
        <w:tc>
          <w:tcPr>
            <w:tcW w:w="3560" w:type="dxa"/>
            <w:vAlign w:val="bottom"/>
            <w:tcBorders>
              <w:top w:val="single" w:sz="8" w:color="CCEEFF"/>
            </w:tcBorders>
          </w:tcPr>
          <w:p>
            <w:pPr>
              <w:spacing w:after="0"/>
              <w:rPr>
                <w:sz w:val="24"/>
                <w:szCs w:val="24"/>
                <w:color w:val="auto"/>
              </w:rPr>
            </w:pPr>
          </w:p>
        </w:tc>
        <w:tc>
          <w:tcPr>
            <w:tcW w:w="220" w:type="dxa"/>
            <w:vAlign w:val="bottom"/>
            <w:tcBorders>
              <w:top w:val="single" w:sz="8" w:color="auto"/>
            </w:tcBorders>
          </w:tcPr>
          <w:p>
            <w:pPr>
              <w:spacing w:after="0"/>
              <w:rPr>
                <w:sz w:val="24"/>
                <w:szCs w:val="24"/>
                <w:color w:val="auto"/>
              </w:rPr>
            </w:pPr>
          </w:p>
        </w:tc>
        <w:tc>
          <w:tcPr>
            <w:tcW w:w="1020" w:type="dxa"/>
            <w:vAlign w:val="bottom"/>
            <w:tcBorders>
              <w:top w:val="single" w:sz="8" w:color="auto"/>
            </w:tcBorders>
          </w:tcPr>
          <w:p>
            <w:pPr>
              <w:spacing w:after="0"/>
              <w:rPr>
                <w:sz w:val="24"/>
                <w:szCs w:val="24"/>
                <w:color w:val="auto"/>
              </w:rPr>
            </w:pPr>
          </w:p>
        </w:tc>
        <w:tc>
          <w:tcPr>
            <w:tcW w:w="140" w:type="dxa"/>
            <w:vAlign w:val="bottom"/>
            <w:tcBorders>
              <w:top w:val="single" w:sz="8" w:color="CCEEFF"/>
            </w:tcBorders>
          </w:tcPr>
          <w:p>
            <w:pPr>
              <w:spacing w:after="0"/>
              <w:rPr>
                <w:sz w:val="24"/>
                <w:szCs w:val="24"/>
                <w:color w:val="auto"/>
              </w:rPr>
            </w:pPr>
          </w:p>
        </w:tc>
        <w:tc>
          <w:tcPr>
            <w:tcW w:w="80" w:type="dxa"/>
            <w:vAlign w:val="bottom"/>
            <w:tcBorders>
              <w:top w:val="single" w:sz="8" w:color="CCEEFF"/>
            </w:tcBorders>
          </w:tcPr>
          <w:p>
            <w:pPr>
              <w:spacing w:after="0"/>
              <w:rPr>
                <w:sz w:val="24"/>
                <w:szCs w:val="24"/>
                <w:color w:val="auto"/>
              </w:rPr>
            </w:pPr>
          </w:p>
        </w:tc>
        <w:tc>
          <w:tcPr>
            <w:tcW w:w="20" w:type="dxa"/>
            <w:vAlign w:val="bottom"/>
            <w:tcBorders>
              <w:top w:val="single" w:sz="8" w:color="CCEEFF"/>
            </w:tcBorders>
          </w:tcPr>
          <w:p>
            <w:pPr>
              <w:spacing w:after="0"/>
              <w:rPr>
                <w:sz w:val="24"/>
                <w:szCs w:val="24"/>
                <w:color w:val="auto"/>
              </w:rPr>
            </w:pPr>
          </w:p>
        </w:tc>
        <w:tc>
          <w:tcPr>
            <w:tcW w:w="140" w:type="dxa"/>
            <w:vAlign w:val="bottom"/>
            <w:tcBorders>
              <w:top w:val="single" w:sz="8" w:color="auto"/>
            </w:tcBorders>
          </w:tcPr>
          <w:p>
            <w:pPr>
              <w:spacing w:after="0"/>
              <w:rPr>
                <w:sz w:val="24"/>
                <w:szCs w:val="24"/>
                <w:color w:val="auto"/>
              </w:rPr>
            </w:pPr>
          </w:p>
        </w:tc>
        <w:tc>
          <w:tcPr>
            <w:tcW w:w="1080" w:type="dxa"/>
            <w:vAlign w:val="bottom"/>
            <w:tcBorders>
              <w:top w:val="single" w:sz="8" w:color="auto"/>
            </w:tcBorders>
          </w:tcPr>
          <w:p>
            <w:pPr>
              <w:spacing w:after="0"/>
              <w:rPr>
                <w:sz w:val="24"/>
                <w:szCs w:val="24"/>
                <w:color w:val="auto"/>
              </w:rPr>
            </w:pPr>
          </w:p>
        </w:tc>
        <w:tc>
          <w:tcPr>
            <w:tcW w:w="100" w:type="dxa"/>
            <w:vAlign w:val="bottom"/>
            <w:tcBorders>
              <w:top w:val="single" w:sz="8" w:color="CCEEFF"/>
            </w:tcBorders>
          </w:tcPr>
          <w:p>
            <w:pPr>
              <w:spacing w:after="0"/>
              <w:rPr>
                <w:sz w:val="24"/>
                <w:szCs w:val="24"/>
                <w:color w:val="auto"/>
              </w:rPr>
            </w:pPr>
          </w:p>
        </w:tc>
        <w:tc>
          <w:tcPr>
            <w:tcW w:w="0" w:type="dxa"/>
            <w:vAlign w:val="bottom"/>
          </w:tcPr>
          <w:p>
            <w:pPr>
              <w:spacing w:after="0"/>
              <w:rPr>
                <w:sz w:val="1"/>
                <w:szCs w:val="1"/>
                <w:color w:val="auto"/>
              </w:rPr>
            </w:pPr>
          </w:p>
        </w:tc>
      </w:tr>
      <w:tr>
        <w:trPr>
          <w:trHeight w:val="158"/>
        </w:trPr>
        <w:tc>
          <w:tcPr>
            <w:tcW w:w="20" w:type="dxa"/>
            <w:vAlign w:val="bottom"/>
            <w:vMerge w:val="restart"/>
          </w:tcPr>
          <w:p>
            <w:pPr>
              <w:spacing w:after="0"/>
              <w:rPr>
                <w:sz w:val="13"/>
                <w:szCs w:val="13"/>
                <w:color w:val="auto"/>
              </w:rPr>
            </w:pPr>
          </w:p>
        </w:tc>
        <w:tc>
          <w:tcPr>
            <w:tcW w:w="4900" w:type="dxa"/>
            <w:vAlign w:val="bottom"/>
          </w:tcPr>
          <w:p>
            <w:pPr>
              <w:spacing w:after="0"/>
              <w:rPr>
                <w:sz w:val="13"/>
                <w:szCs w:val="13"/>
                <w:color w:val="auto"/>
              </w:rPr>
            </w:pPr>
          </w:p>
        </w:tc>
        <w:tc>
          <w:tcPr>
            <w:tcW w:w="356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60" w:type="dxa"/>
            <w:vAlign w:val="bottom"/>
            <w:gridSpan w:val="2"/>
          </w:tcPr>
          <w:p>
            <w:pPr>
              <w:spacing w:after="0"/>
              <w:rPr>
                <w:sz w:val="13"/>
                <w:szCs w:val="13"/>
                <w:color w:val="auto"/>
              </w:rPr>
            </w:pPr>
          </w:p>
        </w:tc>
        <w:tc>
          <w:tcPr>
            <w:tcW w:w="10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vMerge w:val="continue"/>
          </w:tcPr>
          <w:p>
            <w:pPr>
              <w:spacing w:after="0"/>
              <w:rPr>
                <w:sz w:val="13"/>
                <w:szCs w:val="13"/>
                <w:color w:val="auto"/>
              </w:rPr>
            </w:pPr>
          </w:p>
        </w:tc>
        <w:tc>
          <w:tcPr>
            <w:tcW w:w="4900" w:type="dxa"/>
            <w:vAlign w:val="bottom"/>
            <w:shd w:val="clear" w:color="auto" w:fill="CCEEFF"/>
          </w:tcPr>
          <w:p>
            <w:pPr>
              <w:spacing w:after="0"/>
              <w:rPr>
                <w:sz w:val="20"/>
                <w:szCs w:val="20"/>
                <w:color w:val="auto"/>
              </w:rPr>
            </w:pPr>
            <w:r>
              <w:rPr>
                <w:rFonts w:ascii="Arial" w:cs="Arial" w:eastAsia="Arial" w:hAnsi="Arial"/>
                <w:sz w:val="13"/>
                <w:szCs w:val="13"/>
                <w:color w:val="auto"/>
              </w:rPr>
              <w:t>ASRs on lease or available for lease</w:t>
            </w:r>
          </w:p>
        </w:tc>
        <w:tc>
          <w:tcPr>
            <w:tcW w:w="356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240" w:type="dxa"/>
            <w:vAlign w:val="bottom"/>
            <w:gridSpan w:val="3"/>
            <w:shd w:val="clear" w:color="auto" w:fill="CCEEFF"/>
          </w:tcPr>
          <w:p>
            <w:pPr>
              <w:jc w:val="right"/>
              <w:ind w:right="51"/>
              <w:spacing w:after="0"/>
              <w:rPr>
                <w:sz w:val="20"/>
                <w:szCs w:val="20"/>
                <w:color w:val="auto"/>
              </w:rPr>
            </w:pPr>
            <w:r>
              <w:rPr>
                <w:rFonts w:ascii="Arial" w:cs="Arial" w:eastAsia="Arial" w:hAnsi="Arial"/>
                <w:sz w:val="13"/>
                <w:szCs w:val="13"/>
                <w:color w:val="auto"/>
              </w:rPr>
              <w:t>$</w:t>
            </w: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5,228,283</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900" w:type="dxa"/>
            <w:vAlign w:val="bottom"/>
          </w:tcPr>
          <w:p>
            <w:pPr>
              <w:spacing w:after="0"/>
              <w:rPr>
                <w:sz w:val="20"/>
                <w:szCs w:val="20"/>
                <w:color w:val="auto"/>
              </w:rPr>
            </w:pPr>
            <w:r>
              <w:rPr>
                <w:rFonts w:ascii="Arial" w:cs="Arial" w:eastAsia="Arial" w:hAnsi="Arial"/>
                <w:sz w:val="13"/>
                <w:szCs w:val="13"/>
                <w:color w:val="auto"/>
              </w:rPr>
              <w:t>Demonstration ASRs</w:t>
            </w:r>
          </w:p>
        </w:tc>
        <w:tc>
          <w:tcPr>
            <w:tcW w:w="356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0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80" w:type="dxa"/>
            <w:vAlign w:val="bottom"/>
          </w:tcPr>
          <w:p>
            <w:pPr>
              <w:jc w:val="right"/>
              <w:spacing w:after="0"/>
              <w:rPr>
                <w:sz w:val="20"/>
                <w:szCs w:val="20"/>
                <w:color w:val="auto"/>
              </w:rPr>
            </w:pPr>
            <w:r>
              <w:rPr>
                <w:rFonts w:ascii="Arial" w:cs="Arial" w:eastAsia="Arial" w:hAnsi="Arial"/>
                <w:sz w:val="13"/>
                <w:szCs w:val="13"/>
                <w:color w:val="auto"/>
              </w:rPr>
              <w:t>613,923</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900" w:type="dxa"/>
            <w:vAlign w:val="bottom"/>
            <w:shd w:val="clear" w:color="auto" w:fill="CCEEFF"/>
          </w:tcPr>
          <w:p>
            <w:pPr>
              <w:spacing w:after="0"/>
              <w:rPr>
                <w:sz w:val="20"/>
                <w:szCs w:val="20"/>
                <w:color w:val="auto"/>
              </w:rPr>
            </w:pPr>
            <w:r>
              <w:rPr>
                <w:rFonts w:ascii="Arial" w:cs="Arial" w:eastAsia="Arial" w:hAnsi="Arial"/>
                <w:sz w:val="13"/>
                <w:szCs w:val="13"/>
                <w:color w:val="auto"/>
              </w:rPr>
              <w:t>Research and development ASRs</w:t>
            </w:r>
          </w:p>
        </w:tc>
        <w:tc>
          <w:tcPr>
            <w:tcW w:w="356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2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80" w:type="dxa"/>
            <w:vAlign w:val="bottom"/>
            <w:shd w:val="clear" w:color="auto" w:fill="CCEEFF"/>
          </w:tcPr>
          <w:p>
            <w:pPr>
              <w:spacing w:after="0"/>
              <w:rPr>
                <w:sz w:val="13"/>
                <w:szCs w:val="13"/>
                <w:color w:val="auto"/>
              </w:rPr>
            </w:pPr>
          </w:p>
        </w:tc>
        <w:tc>
          <w:tcPr>
            <w:tcW w:w="20" w:type="dxa"/>
            <w:vAlign w:val="bottom"/>
            <w:shd w:val="clear" w:color="auto" w:fill="CCEEFF"/>
          </w:tcPr>
          <w:p>
            <w:pPr>
              <w:spacing w:after="0"/>
              <w:rPr>
                <w:sz w:val="13"/>
                <w:szCs w:val="13"/>
                <w:color w:val="auto"/>
              </w:rPr>
            </w:pPr>
          </w:p>
        </w:tc>
        <w:tc>
          <w:tcPr>
            <w:tcW w:w="140" w:type="dxa"/>
            <w:vAlign w:val="bottom"/>
            <w:shd w:val="clear" w:color="auto" w:fill="CCEEFF"/>
          </w:tcPr>
          <w:p>
            <w:pPr>
              <w:spacing w:after="0"/>
              <w:rPr>
                <w:sz w:val="13"/>
                <w:szCs w:val="13"/>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567,109</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4900" w:type="dxa"/>
            <w:vAlign w:val="bottom"/>
            <w:tcBorders>
              <w:bottom w:val="single" w:sz="8" w:color="CCEEFF"/>
            </w:tcBorders>
          </w:tcPr>
          <w:p>
            <w:pPr>
              <w:spacing w:after="0"/>
              <w:rPr>
                <w:sz w:val="20"/>
                <w:szCs w:val="20"/>
                <w:color w:val="auto"/>
              </w:rPr>
            </w:pPr>
            <w:r>
              <w:rPr>
                <w:rFonts w:ascii="Arial" w:cs="Arial" w:eastAsia="Arial" w:hAnsi="Arial"/>
                <w:sz w:val="13"/>
                <w:szCs w:val="13"/>
                <w:color w:val="auto"/>
              </w:rPr>
              <w:t>Charge boxes</w:t>
            </w:r>
          </w:p>
        </w:tc>
        <w:tc>
          <w:tcPr>
            <w:tcW w:w="3560" w:type="dxa"/>
            <w:vAlign w:val="bottom"/>
            <w:tcBorders>
              <w:bottom w:val="single" w:sz="8" w:color="CCEEFF"/>
            </w:tcBorders>
          </w:tcPr>
          <w:p>
            <w:pPr>
              <w:spacing w:after="0"/>
              <w:rPr>
                <w:sz w:val="14"/>
                <w:szCs w:val="14"/>
                <w:color w:val="auto"/>
              </w:rPr>
            </w:pPr>
          </w:p>
        </w:tc>
        <w:tc>
          <w:tcPr>
            <w:tcW w:w="220" w:type="dxa"/>
            <w:vAlign w:val="bottom"/>
            <w:tcBorders>
              <w:bottom w:val="single" w:sz="8" w:color="CCEEFF"/>
            </w:tcBorders>
          </w:tcPr>
          <w:p>
            <w:pPr>
              <w:spacing w:after="0"/>
              <w:rPr>
                <w:sz w:val="14"/>
                <w:szCs w:val="14"/>
                <w:color w:val="auto"/>
              </w:rPr>
            </w:pPr>
          </w:p>
        </w:tc>
        <w:tc>
          <w:tcPr>
            <w:tcW w:w="1020" w:type="dxa"/>
            <w:vAlign w:val="bottom"/>
            <w:tcBorders>
              <w:bottom w:val="single" w:sz="8" w:color="CCEEFF"/>
            </w:tcBorders>
          </w:tcPr>
          <w:p>
            <w:pPr>
              <w:spacing w:after="0"/>
              <w:rPr>
                <w:sz w:val="14"/>
                <w:szCs w:val="14"/>
                <w:color w:val="auto"/>
              </w:rPr>
            </w:pPr>
          </w:p>
        </w:tc>
        <w:tc>
          <w:tcPr>
            <w:tcW w:w="140" w:type="dxa"/>
            <w:vAlign w:val="bottom"/>
            <w:tcBorders>
              <w:bottom w:val="single" w:sz="8" w:color="CCEEFF"/>
            </w:tcBorders>
          </w:tcPr>
          <w:p>
            <w:pPr>
              <w:spacing w:after="0"/>
              <w:rPr>
                <w:sz w:val="14"/>
                <w:szCs w:val="14"/>
                <w:color w:val="auto"/>
              </w:rPr>
            </w:pPr>
          </w:p>
        </w:tc>
        <w:tc>
          <w:tcPr>
            <w:tcW w:w="80" w:type="dxa"/>
            <w:vAlign w:val="bottom"/>
            <w:tcBorders>
              <w:bottom w:val="single" w:sz="8" w:color="CCEEFF"/>
            </w:tcBorders>
          </w:tcPr>
          <w:p>
            <w:pPr>
              <w:spacing w:after="0"/>
              <w:rPr>
                <w:sz w:val="14"/>
                <w:szCs w:val="14"/>
                <w:color w:val="auto"/>
              </w:rPr>
            </w:pPr>
          </w:p>
        </w:tc>
        <w:tc>
          <w:tcPr>
            <w:tcW w:w="20" w:type="dxa"/>
            <w:vAlign w:val="bottom"/>
            <w:tcBorders>
              <w:bottom w:val="single" w:sz="8" w:color="auto"/>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08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278,949</w:t>
            </w:r>
          </w:p>
        </w:tc>
        <w:tc>
          <w:tcPr>
            <w:tcW w:w="100" w:type="dxa"/>
            <w:vAlign w:val="bottom"/>
            <w:tcBorders>
              <w:bottom w:val="single" w:sz="8" w:color="CCEEFF"/>
            </w:tcBorders>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4900" w:type="dxa"/>
            <w:vAlign w:val="bottom"/>
            <w:shd w:val="clear" w:color="auto" w:fill="CCEEFF"/>
          </w:tcPr>
          <w:p>
            <w:pPr>
              <w:spacing w:after="0"/>
              <w:rPr>
                <w:sz w:val="12"/>
                <w:szCs w:val="12"/>
                <w:color w:val="auto"/>
              </w:rPr>
            </w:pPr>
          </w:p>
        </w:tc>
        <w:tc>
          <w:tcPr>
            <w:tcW w:w="356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0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80" w:type="dxa"/>
            <w:vAlign w:val="bottom"/>
            <w:shd w:val="clear" w:color="auto" w:fill="CCEEFF"/>
          </w:tcPr>
          <w:p>
            <w:pPr>
              <w:spacing w:after="0"/>
              <w:rPr>
                <w:sz w:val="12"/>
                <w:szCs w:val="12"/>
                <w:color w:val="auto"/>
              </w:rPr>
            </w:pPr>
          </w:p>
        </w:tc>
        <w:tc>
          <w:tcPr>
            <w:tcW w:w="20" w:type="dxa"/>
            <w:vAlign w:val="bottom"/>
            <w:shd w:val="clear" w:color="auto" w:fill="CCEEFF"/>
          </w:tcPr>
          <w:p>
            <w:pPr>
              <w:spacing w:after="0"/>
              <w:rPr>
                <w:sz w:val="12"/>
                <w:szCs w:val="12"/>
                <w:color w:val="auto"/>
              </w:rPr>
            </w:pPr>
          </w:p>
        </w:tc>
        <w:tc>
          <w:tcPr>
            <w:tcW w:w="140" w:type="dxa"/>
            <w:vAlign w:val="bottom"/>
            <w:shd w:val="clear" w:color="auto" w:fill="CCEEFF"/>
          </w:tcPr>
          <w:p>
            <w:pPr>
              <w:spacing w:after="0"/>
              <w:rPr>
                <w:sz w:val="12"/>
                <w:szCs w:val="12"/>
                <w:color w:val="auto"/>
              </w:rPr>
            </w:pPr>
          </w:p>
        </w:tc>
        <w:tc>
          <w:tcPr>
            <w:tcW w:w="108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6,688,264</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4900" w:type="dxa"/>
            <w:vAlign w:val="bottom"/>
          </w:tcPr>
          <w:p>
            <w:pPr>
              <w:spacing w:after="0"/>
              <w:rPr>
                <w:sz w:val="20"/>
                <w:szCs w:val="20"/>
                <w:color w:val="auto"/>
              </w:rPr>
            </w:pPr>
            <w:r>
              <w:rPr>
                <w:rFonts w:ascii="Arial" w:cs="Arial" w:eastAsia="Arial" w:hAnsi="Arial"/>
                <w:sz w:val="13"/>
                <w:szCs w:val="13"/>
                <w:color w:val="auto"/>
              </w:rPr>
              <w:t>Less: accumulated depreciation</w:t>
            </w:r>
          </w:p>
        </w:tc>
        <w:tc>
          <w:tcPr>
            <w:tcW w:w="35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180" w:type="dxa"/>
            <w:vAlign w:val="bottom"/>
            <w:gridSpan w:val="2"/>
          </w:tcPr>
          <w:p>
            <w:pPr>
              <w:jc w:val="right"/>
              <w:ind w:right="60"/>
              <w:spacing w:after="0"/>
              <w:rPr>
                <w:sz w:val="20"/>
                <w:szCs w:val="20"/>
                <w:color w:val="auto"/>
              </w:rPr>
            </w:pPr>
            <w:r>
              <w:rPr>
                <w:rFonts w:ascii="Arial" w:cs="Arial" w:eastAsia="Arial" w:hAnsi="Arial"/>
                <w:sz w:val="13"/>
                <w:szCs w:val="13"/>
                <w:color w:val="auto"/>
              </w:rPr>
              <w:t>(5,403,330)</w:t>
            </w:r>
          </w:p>
        </w:tc>
        <w:tc>
          <w:tcPr>
            <w:tcW w:w="0" w:type="dxa"/>
            <w:vAlign w:val="bottom"/>
          </w:tcPr>
          <w:p>
            <w:pPr>
              <w:spacing w:after="0"/>
              <w:rPr>
                <w:sz w:val="1"/>
                <w:szCs w:val="1"/>
                <w:color w:val="auto"/>
              </w:rPr>
            </w:pPr>
          </w:p>
        </w:tc>
      </w:tr>
      <w:tr>
        <w:trPr>
          <w:trHeight w:val="175"/>
        </w:trPr>
        <w:tc>
          <w:tcPr>
            <w:tcW w:w="20" w:type="dxa"/>
            <w:vAlign w:val="bottom"/>
          </w:tcPr>
          <w:p>
            <w:pPr>
              <w:spacing w:after="0"/>
              <w:rPr>
                <w:sz w:val="15"/>
                <w:szCs w:val="15"/>
                <w:color w:val="auto"/>
              </w:rPr>
            </w:pPr>
          </w:p>
        </w:tc>
        <w:tc>
          <w:tcPr>
            <w:tcW w:w="4900" w:type="dxa"/>
            <w:vAlign w:val="bottom"/>
            <w:tcBorders>
              <w:top w:val="single" w:sz="8" w:color="CCEEFF"/>
              <w:bottom w:val="single" w:sz="8" w:color="CCEEFF"/>
            </w:tcBorders>
            <w:shd w:val="clear" w:color="auto" w:fill="CCEEFF"/>
          </w:tcPr>
          <w:p>
            <w:pPr>
              <w:spacing w:after="0" w:line="144" w:lineRule="exact"/>
              <w:rPr>
                <w:sz w:val="20"/>
                <w:szCs w:val="20"/>
                <w:color w:val="auto"/>
              </w:rPr>
            </w:pPr>
            <w:r>
              <w:rPr>
                <w:rFonts w:ascii="Arial" w:cs="Arial" w:eastAsia="Arial" w:hAnsi="Arial"/>
                <w:sz w:val="13"/>
                <w:szCs w:val="13"/>
                <w:color w:val="auto"/>
              </w:rPr>
              <w:t>Finished ASRs, net</w:t>
            </w:r>
          </w:p>
        </w:tc>
        <w:tc>
          <w:tcPr>
            <w:tcW w:w="3560" w:type="dxa"/>
            <w:vAlign w:val="bottom"/>
            <w:tcBorders>
              <w:top w:val="single" w:sz="8" w:color="CCEEFF"/>
              <w:bottom w:val="single" w:sz="8" w:color="CCEEFF"/>
            </w:tcBorders>
            <w:shd w:val="clear" w:color="auto" w:fill="CCEEFF"/>
          </w:tcPr>
          <w:p>
            <w:pPr>
              <w:spacing w:after="0"/>
              <w:rPr>
                <w:sz w:val="15"/>
                <w:szCs w:val="15"/>
                <w:color w:val="auto"/>
              </w:rPr>
            </w:pPr>
          </w:p>
        </w:tc>
        <w:tc>
          <w:tcPr>
            <w:tcW w:w="220" w:type="dxa"/>
            <w:vAlign w:val="bottom"/>
            <w:tcBorders>
              <w:top w:val="single" w:sz="8" w:color="CCEEFF"/>
              <w:bottom w:val="single" w:sz="8" w:color="CCEEFF"/>
            </w:tcBorders>
            <w:shd w:val="clear" w:color="auto" w:fill="CCEEFF"/>
          </w:tcPr>
          <w:p>
            <w:pPr>
              <w:spacing w:after="0"/>
              <w:rPr>
                <w:sz w:val="15"/>
                <w:szCs w:val="15"/>
                <w:color w:val="auto"/>
              </w:rPr>
            </w:pPr>
          </w:p>
        </w:tc>
        <w:tc>
          <w:tcPr>
            <w:tcW w:w="1020" w:type="dxa"/>
            <w:vAlign w:val="bottom"/>
            <w:tcBorders>
              <w:top w:val="single" w:sz="8" w:color="CCEEFF"/>
              <w:bottom w:val="single" w:sz="8" w:color="CCEEFF"/>
            </w:tcBorders>
            <w:shd w:val="clear" w:color="auto" w:fill="CCEEFF"/>
          </w:tcPr>
          <w:p>
            <w:pPr>
              <w:spacing w:after="0"/>
              <w:rPr>
                <w:sz w:val="15"/>
                <w:szCs w:val="15"/>
                <w:color w:val="auto"/>
              </w:rPr>
            </w:pPr>
          </w:p>
        </w:tc>
        <w:tc>
          <w:tcPr>
            <w:tcW w:w="140" w:type="dxa"/>
            <w:vAlign w:val="bottom"/>
            <w:tcBorders>
              <w:top w:val="single" w:sz="8" w:color="CCEEFF"/>
              <w:bottom w:val="single" w:sz="8" w:color="CCEEFF"/>
            </w:tcBorders>
            <w:shd w:val="clear" w:color="auto" w:fill="CCEEFF"/>
          </w:tcPr>
          <w:p>
            <w:pPr>
              <w:spacing w:after="0"/>
              <w:rPr>
                <w:sz w:val="15"/>
                <w:szCs w:val="15"/>
                <w:color w:val="auto"/>
              </w:rPr>
            </w:pPr>
          </w:p>
        </w:tc>
        <w:tc>
          <w:tcPr>
            <w:tcW w:w="80" w:type="dxa"/>
            <w:vAlign w:val="bottom"/>
            <w:tcBorders>
              <w:top w:val="single" w:sz="8" w:color="CCEEFF"/>
              <w:bottom w:val="single" w:sz="8" w:color="CCEEFF"/>
            </w:tcBorders>
            <w:shd w:val="clear" w:color="auto" w:fill="CCEEFF"/>
          </w:tcPr>
          <w:p>
            <w:pPr>
              <w:spacing w:after="0"/>
              <w:rPr>
                <w:sz w:val="15"/>
                <w:szCs w:val="15"/>
                <w:color w:val="auto"/>
              </w:rPr>
            </w:pPr>
          </w:p>
        </w:tc>
        <w:tc>
          <w:tcPr>
            <w:tcW w:w="160" w:type="dxa"/>
            <w:vAlign w:val="bottom"/>
            <w:tcBorders>
              <w:top w:val="single" w:sz="8" w:color="auto"/>
              <w:bottom w:val="single" w:sz="8" w:color="auto"/>
            </w:tcBorders>
            <w:gridSpan w:val="2"/>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8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1,284,934</w:t>
            </w:r>
          </w:p>
        </w:tc>
        <w:tc>
          <w:tcPr>
            <w:tcW w:w="100" w:type="dxa"/>
            <w:vAlign w:val="bottom"/>
            <w:tcBorders>
              <w:top w:val="single" w:sz="8" w:color="CCEEFF"/>
              <w:bottom w:val="single" w:sz="8" w:color="CCEEFF"/>
            </w:tcBorders>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459"/>
        </w:trPr>
        <w:tc>
          <w:tcPr>
            <w:tcW w:w="20" w:type="dxa"/>
            <w:vAlign w:val="bottom"/>
          </w:tcPr>
          <w:p>
            <w:pPr>
              <w:spacing w:after="0"/>
              <w:rPr>
                <w:sz w:val="24"/>
                <w:szCs w:val="24"/>
                <w:color w:val="auto"/>
              </w:rPr>
            </w:pPr>
          </w:p>
        </w:tc>
        <w:tc>
          <w:tcPr>
            <w:tcW w:w="4900" w:type="dxa"/>
            <w:vAlign w:val="bottom"/>
            <w:tcBorders>
              <w:bottom w:val="single" w:sz="8" w:color="auto"/>
            </w:tcBorders>
          </w:tcPr>
          <w:p>
            <w:pPr>
              <w:spacing w:after="0"/>
              <w:rPr>
                <w:sz w:val="24"/>
                <w:szCs w:val="24"/>
                <w:color w:val="auto"/>
              </w:rPr>
            </w:pPr>
          </w:p>
        </w:tc>
        <w:tc>
          <w:tcPr>
            <w:tcW w:w="3780" w:type="dxa"/>
            <w:vAlign w:val="bottom"/>
            <w:tcBorders>
              <w:bottom w:val="single" w:sz="8" w:color="auto"/>
            </w:tcBorders>
            <w:gridSpan w:val="2"/>
          </w:tcPr>
          <w:p>
            <w:pPr>
              <w:jc w:val="right"/>
              <w:ind w:right="2891"/>
              <w:spacing w:after="0"/>
              <w:rPr>
                <w:sz w:val="20"/>
                <w:szCs w:val="20"/>
                <w:color w:val="auto"/>
              </w:rPr>
            </w:pPr>
            <w:r>
              <w:rPr>
                <w:rFonts w:ascii="Arial" w:cs="Arial" w:eastAsia="Arial" w:hAnsi="Arial"/>
                <w:sz w:val="13"/>
                <w:szCs w:val="13"/>
                <w:color w:val="auto"/>
              </w:rPr>
              <w:t>F-35</w:t>
            </w:r>
          </w:p>
        </w:tc>
        <w:tc>
          <w:tcPr>
            <w:tcW w:w="102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80"/>
          </w:cols>
          <w:pgMar w:left="300" w:top="698" w:right="319" w:bottom="1440" w:gutter="0" w:footer="0" w:header="0"/>
        </w:sectPr>
      </w:pPr>
    </w:p>
    <w:bookmarkStart w:id="97" w:name="page98"/>
    <w:bookmarkEnd w:id="97"/>
    <w:p>
      <w:pPr>
        <w:spacing w:after="0"/>
        <w:rPr>
          <w:sz w:val="20"/>
          <w:szCs w:val="20"/>
          <w:color w:val="auto"/>
        </w:rPr>
      </w:pPr>
      <w:r>
        <w:rPr>
          <w:rFonts w:ascii="Arial" w:cs="Arial" w:eastAsia="Arial" w:hAnsi="Arial"/>
          <w:sz w:val="13"/>
          <w:szCs w:val="13"/>
          <w:b w:val="1"/>
          <w:bCs w:val="1"/>
          <w:i w:val="1"/>
          <w:iCs w:val="1"/>
          <w:color w:val="auto"/>
        </w:rPr>
        <w:t>Convertible Preferred Warrant Liabilities and Common Stock Warrants</w:t>
      </w:r>
    </w:p>
    <w:p>
      <w:pPr>
        <w:spacing w:after="0" w:line="163" w:lineRule="exact"/>
        <w:rPr>
          <w:sz w:val="20"/>
          <w:szCs w:val="20"/>
          <w:color w:val="auto"/>
        </w:rPr>
      </w:pPr>
    </w:p>
    <w:p>
      <w:pPr>
        <w:jc w:val="both"/>
        <w:spacing w:after="0" w:line="255" w:lineRule="auto"/>
        <w:rPr>
          <w:sz w:val="20"/>
          <w:szCs w:val="20"/>
          <w:color w:val="auto"/>
        </w:rPr>
      </w:pPr>
      <w:r>
        <w:rPr>
          <w:rFonts w:ascii="Arial" w:cs="Arial" w:eastAsia="Arial" w:hAnsi="Arial"/>
          <w:sz w:val="13"/>
          <w:szCs w:val="13"/>
          <w:color w:val="auto"/>
        </w:rPr>
        <w:t>Freestanding warrants to purchase shares of the Company’s preferred stock are classified as liabilities on the balance sheets at their estimated fair value because the underlying shares of preferred stock are contingently redeemable and, therefore, may obligate the Company to transfer assets at some point in the future. The preferred stock warrants are recorded at fair value upon issuance and are subject to remeasurement to their respective estimated fair values. At the end of each reporting period, changes in the estimated fair value of the preferred stock warrants are recorded in the statements of operations. The Company will continue to adjust the liability associated with the preferred stock warrants for changes in the estimated fair value until the earlier of the exercise or expiration of the preferred stock warrants, the completion of a sale of the Company or an initial public offering (“IPO”). Upon an IPO, the preferred stock warrants will convert into warrants to purchase common stock and any liabilities recorded for the preferred stock warrants will be reclassified to additional paid-in capital and will no longer be subject to remeasurement.</w:t>
      </w:r>
    </w:p>
    <w:p>
      <w:pPr>
        <w:spacing w:after="0" w:line="142" w:lineRule="exact"/>
        <w:rPr>
          <w:sz w:val="20"/>
          <w:szCs w:val="20"/>
          <w:color w:val="auto"/>
        </w:rPr>
      </w:pPr>
    </w:p>
    <w:p>
      <w:pPr>
        <w:jc w:val="both"/>
        <w:spacing w:after="0" w:line="317" w:lineRule="auto"/>
        <w:rPr>
          <w:sz w:val="20"/>
          <w:szCs w:val="20"/>
          <w:color w:val="auto"/>
        </w:rPr>
      </w:pPr>
      <w:r>
        <w:rPr>
          <w:rFonts w:ascii="Arial" w:cs="Arial" w:eastAsia="Arial" w:hAnsi="Arial"/>
          <w:sz w:val="12"/>
          <w:szCs w:val="12"/>
          <w:color w:val="auto"/>
        </w:rPr>
        <w:t>The Company issued common stock warrants in connection with the execution of a certain debt financing during the year ended December 31, 2015. Common stock warrants that are not considered derivative liabilities are accounted for at fair value at the date of issuance in additional paid-in capital. The fair value of these common stock warrants is determined using the Black-Scholes option-pricing model.</w:t>
      </w:r>
    </w:p>
    <w:p>
      <w:pPr>
        <w:spacing w:after="0" w:line="105"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Stock-Based Compensation</w:t>
      </w:r>
    </w:p>
    <w:p>
      <w:pPr>
        <w:spacing w:after="0" w:line="163" w:lineRule="exact"/>
        <w:rPr>
          <w:sz w:val="20"/>
          <w:szCs w:val="20"/>
          <w:color w:val="auto"/>
        </w:rPr>
      </w:pPr>
    </w:p>
    <w:p>
      <w:pPr>
        <w:jc w:val="both"/>
        <w:spacing w:after="0" w:line="279" w:lineRule="auto"/>
        <w:rPr>
          <w:sz w:val="20"/>
          <w:szCs w:val="20"/>
          <w:color w:val="auto"/>
        </w:rPr>
      </w:pPr>
      <w:r>
        <w:rPr>
          <w:rFonts w:ascii="Arial" w:cs="Arial" w:eastAsia="Arial" w:hAnsi="Arial"/>
          <w:sz w:val="12"/>
          <w:szCs w:val="12"/>
          <w:color w:val="auto"/>
        </w:rPr>
        <w:t>The Company accounts for stock-based compensation in accordance with Accounting Standards Update 718, Compensation - Stock Compensation, which requires that the estimated fair value on the date of grant be recognized over the requisite service period of the awards, which is generally the option vesting period. Stock-based awards made to nonemployees are measured and recognized based on the estimated fair value on the vesting date and are re-measured at each reporting pricing model, is affected by the fair value of the Company’s common stock as well as other assumptions regarding a number of highly complex and subjective variables. These variables include but are not limited to the Company’s expected stock price volatility over the term of the awards, and actual and projected employee option exercise behaviors. Because there is insufficient historical information available to estimate the expected term of the stock-based awards, the Company adopted the simplified method of estimating the expected term of options granted by taking the average of the vesting term and the contractual term of the option. For awards with graded vesting, the Company recognizes stock-based compensation expense over the service period using the straight-line method, based on shares ultimately expected to vest. The Company recognizes forfeitures as they occur when calculating stock-based compensation for its equity awards.</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2: Revenue and Deferred Revenue</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Revenue Recognition</w:t>
      </w:r>
    </w:p>
    <w:p>
      <w:pPr>
        <w:spacing w:after="0" w:line="163"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The Company derives its revenues primarily from lease of proprietary ASRs along with access to the browser-based interface KSOC through contracts under the lease accounting that typically have a twelve (12) month term. In addition, the Company derives non-lease revenue items such as professional services related to ASRs’ deployments, special decals and training if any, recognized when control of these services is transferred to the Clients, in an amount that reflects the consideration the Company expects to be entitled to in exchange for those services.</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color w:val="auto"/>
        </w:rPr>
        <w:t>The Company determines revenue recognition through the following steps:</w:t>
      </w:r>
    </w:p>
    <w:p>
      <w:pPr>
        <w:spacing w:after="0" w:line="163" w:lineRule="exact"/>
        <w:rPr>
          <w:sz w:val="20"/>
          <w:szCs w:val="20"/>
          <w:color w:val="auto"/>
        </w:rPr>
      </w:pPr>
    </w:p>
    <w:p>
      <w:pPr>
        <w:ind w:left="460" w:hanging="227"/>
        <w:spacing w:after="0"/>
        <w:tabs>
          <w:tab w:leader="none" w:pos="460" w:val="left"/>
        </w:tabs>
        <w:numPr>
          <w:ilvl w:val="0"/>
          <w:numId w:val="41"/>
        </w:numPr>
        <w:rPr>
          <w:rFonts w:ascii="Arial" w:cs="Arial" w:eastAsia="Arial" w:hAnsi="Arial"/>
          <w:sz w:val="13"/>
          <w:szCs w:val="13"/>
          <w:color w:val="auto"/>
        </w:rPr>
      </w:pPr>
      <w:r>
        <w:rPr>
          <w:rFonts w:ascii="Arial" w:cs="Arial" w:eastAsia="Arial" w:hAnsi="Arial"/>
          <w:sz w:val="13"/>
          <w:szCs w:val="13"/>
          <w:color w:val="auto"/>
        </w:rPr>
        <w:t>identification of the contract, or contracts, with a Client;</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41"/>
        </w:numPr>
        <w:rPr>
          <w:rFonts w:ascii="Arial" w:cs="Arial" w:eastAsia="Arial" w:hAnsi="Arial"/>
          <w:sz w:val="13"/>
          <w:szCs w:val="13"/>
          <w:color w:val="auto"/>
        </w:rPr>
      </w:pPr>
      <w:r>
        <w:rPr>
          <w:rFonts w:ascii="Arial" w:cs="Arial" w:eastAsia="Arial" w:hAnsi="Arial"/>
          <w:sz w:val="13"/>
          <w:szCs w:val="13"/>
          <w:color w:val="auto"/>
        </w:rPr>
        <w:t>identification of the performance obligations in the contract;</w:t>
      </w:r>
    </w:p>
    <w:p>
      <w:pPr>
        <w:spacing w:after="0" w:line="163" w:lineRule="exact"/>
        <w:rPr>
          <w:rFonts w:ascii="Arial" w:cs="Arial" w:eastAsia="Arial" w:hAnsi="Arial"/>
          <w:sz w:val="13"/>
          <w:szCs w:val="13"/>
          <w:color w:val="auto"/>
        </w:rPr>
      </w:pPr>
    </w:p>
    <w:p>
      <w:pPr>
        <w:ind w:left="460" w:hanging="227"/>
        <w:spacing w:after="0"/>
        <w:tabs>
          <w:tab w:leader="none" w:pos="460" w:val="left"/>
        </w:tabs>
        <w:numPr>
          <w:ilvl w:val="0"/>
          <w:numId w:val="41"/>
        </w:numPr>
        <w:rPr>
          <w:rFonts w:ascii="Arial" w:cs="Arial" w:eastAsia="Arial" w:hAnsi="Arial"/>
          <w:sz w:val="13"/>
          <w:szCs w:val="13"/>
          <w:color w:val="auto"/>
        </w:rPr>
      </w:pPr>
      <w:r>
        <w:rPr>
          <w:rFonts w:ascii="Arial" w:cs="Arial" w:eastAsia="Arial" w:hAnsi="Arial"/>
          <w:sz w:val="13"/>
          <w:szCs w:val="13"/>
          <w:color w:val="auto"/>
        </w:rPr>
        <w:t>determination of the transaction price;</w:t>
      </w:r>
    </w:p>
    <w:p>
      <w:pPr>
        <w:spacing w:after="0" w:line="320"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1">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8" w:right="319" w:bottom="1440" w:gutter="0" w:footer="0" w:header="0"/>
        </w:sectPr>
      </w:pPr>
    </w:p>
    <w:bookmarkStart w:id="98" w:name="page99"/>
    <w:bookmarkEnd w:id="98"/>
    <w:p>
      <w:pPr>
        <w:spacing w:after="0"/>
        <w:rPr>
          <w:sz w:val="20"/>
          <w:szCs w:val="20"/>
          <w:color w:val="auto"/>
        </w:rPr>
      </w:pPr>
      <w:r>
        <w:rPr>
          <w:rFonts w:ascii="Arial" w:cs="Arial" w:eastAsia="Arial" w:hAnsi="Arial"/>
          <w:sz w:val="13"/>
          <w:szCs w:val="13"/>
          <w:b w:val="1"/>
          <w:bCs w:val="1"/>
          <w:color w:val="auto"/>
        </w:rPr>
        <w:t>NOTE 2: Revenue and Deferred Revenue (Continued)</w:t>
      </w:r>
    </w:p>
    <w:p>
      <w:pPr>
        <w:spacing w:after="0" w:line="167" w:lineRule="exact"/>
        <w:rPr>
          <w:sz w:val="20"/>
          <w:szCs w:val="20"/>
          <w:color w:val="auto"/>
        </w:rPr>
      </w:pPr>
    </w:p>
    <w:p>
      <w:pPr>
        <w:ind w:left="460" w:hanging="227"/>
        <w:spacing w:after="0"/>
        <w:tabs>
          <w:tab w:leader="none" w:pos="460" w:val="left"/>
        </w:tabs>
        <w:numPr>
          <w:ilvl w:val="0"/>
          <w:numId w:val="42"/>
        </w:numPr>
        <w:rPr>
          <w:rFonts w:ascii="Arial" w:cs="Arial" w:eastAsia="Arial" w:hAnsi="Arial"/>
          <w:sz w:val="13"/>
          <w:szCs w:val="13"/>
          <w:color w:val="auto"/>
        </w:rPr>
      </w:pPr>
      <w:r>
        <w:rPr>
          <w:rFonts w:ascii="Arial" w:cs="Arial" w:eastAsia="Arial" w:hAnsi="Arial"/>
          <w:sz w:val="13"/>
          <w:szCs w:val="13"/>
          <w:color w:val="auto"/>
        </w:rPr>
        <w:t>allocation of the transaction price to the performance obligations in the contract; and</w:t>
      </w:r>
    </w:p>
    <w:p>
      <w:pPr>
        <w:spacing w:after="0" w:line="163" w:lineRule="exact"/>
        <w:rPr>
          <w:rFonts w:ascii="Arial" w:cs="Arial" w:eastAsia="Arial" w:hAnsi="Arial"/>
          <w:sz w:val="13"/>
          <w:szCs w:val="13"/>
          <w:color w:val="auto"/>
        </w:rPr>
      </w:pPr>
    </w:p>
    <w:p>
      <w:pPr>
        <w:ind w:right="6420" w:firstLine="233"/>
        <w:spacing w:after="0" w:line="502" w:lineRule="auto"/>
        <w:tabs>
          <w:tab w:leader="none" w:pos="469" w:val="left"/>
        </w:tabs>
        <w:numPr>
          <w:ilvl w:val="0"/>
          <w:numId w:val="42"/>
        </w:numPr>
        <w:rPr>
          <w:rFonts w:ascii="Arial" w:cs="Arial" w:eastAsia="Arial" w:hAnsi="Arial"/>
          <w:sz w:val="13"/>
          <w:szCs w:val="13"/>
          <w:color w:val="auto"/>
        </w:rPr>
      </w:pPr>
      <w:r>
        <w:rPr>
          <w:rFonts w:ascii="Arial" w:cs="Arial" w:eastAsia="Arial" w:hAnsi="Arial"/>
          <w:sz w:val="13"/>
          <w:szCs w:val="13"/>
          <w:color w:val="auto"/>
        </w:rPr>
        <w:t>recognition of revenue when, or as, the Company satisfies a performance obligation. The Company recognizes revenue as follows:</w:t>
      </w:r>
    </w:p>
    <w:p>
      <w:pPr>
        <w:spacing w:after="0"/>
        <w:rPr>
          <w:sz w:val="20"/>
          <w:szCs w:val="20"/>
          <w:color w:val="auto"/>
        </w:rPr>
      </w:pPr>
      <w:r>
        <w:rPr>
          <w:rFonts w:ascii="Arial" w:cs="Arial" w:eastAsia="Arial" w:hAnsi="Arial"/>
          <w:sz w:val="13"/>
          <w:szCs w:val="13"/>
          <w:i w:val="1"/>
          <w:iCs w:val="1"/>
          <w:color w:val="auto"/>
        </w:rPr>
        <w:t>ASR subscription revenue</w:t>
      </w:r>
    </w:p>
    <w:p>
      <w:pPr>
        <w:spacing w:after="0" w:line="163"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ASR subscription revenue is generated from lease of proprietary ASRs along with access to the browser-based interface KSOC through contracts that typically have 12-month terms. These revenue arrangements adhere to lease accounting guidance and are classified as leases for revenue recognition purposes. Currently, all revenue arrangements qualify as operating leases where consideration allocated to the lease deliverables is recognized ratably over the lease term.</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i w:val="1"/>
          <w:iCs w:val="1"/>
          <w:color w:val="auto"/>
        </w:rPr>
        <w:t>Deferred revenue</w:t>
      </w:r>
    </w:p>
    <w:p>
      <w:pPr>
        <w:spacing w:after="0" w:line="163"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In connection with the Company’s MaaS subscription for the Company’s ASRs, the Company’s standard billing terms are annual in advance. In these situations, the Company records the invoices as deferred revenue and amortizes the subscription amount when the services are delivered, which generally is a 12-month period. In addition, the Company refers certain transactions to Dimension, whereby Dimension advances the full value of the MaaS subscription to the Company, less a processing fee. The advanced payment is recorded in deferred revenue and amortized over the term of the subscription once the ASR is delivered to the deployment site.</w:t>
      </w:r>
    </w:p>
    <w:p>
      <w:pPr>
        <w:spacing w:after="0" w:line="139"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 derives its revenue from the lease subscription of its proprietary ASRs along with access to its browser and mobile based software interface, KSOC. MaaS subscription agreements typically have a twelve (12) month term.</w:t>
      </w:r>
    </w:p>
    <w:p>
      <w:pPr>
        <w:spacing w:after="0" w:line="128" w:lineRule="exact"/>
        <w:rPr>
          <w:sz w:val="20"/>
          <w:szCs w:val="20"/>
          <w:color w:val="auto"/>
        </w:rPr>
      </w:pPr>
    </w:p>
    <w:p>
      <w:pPr>
        <w:spacing w:after="0"/>
        <w:rPr>
          <w:sz w:val="20"/>
          <w:szCs w:val="20"/>
          <w:color w:val="auto"/>
        </w:rPr>
      </w:pPr>
      <w:r>
        <w:rPr>
          <w:rFonts w:ascii="Arial" w:cs="Arial" w:eastAsia="Arial" w:hAnsi="Arial"/>
          <w:sz w:val="12"/>
          <w:szCs w:val="12"/>
          <w:color w:val="auto"/>
        </w:rPr>
        <w:t>With the adoption of ASC 606 in January 2019, the Company estimates its revenue in the periods in which the licensee uses the licensed technology. Payments are received in the subsequent period.</w:t>
      </w:r>
    </w:p>
    <w:p>
      <w:pPr>
        <w:spacing w:after="0" w:line="175"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6620" w:type="dxa"/>
            <w:vAlign w:val="bottom"/>
          </w:tcPr>
          <w:p>
            <w:pPr>
              <w:spacing w:after="0"/>
              <w:rPr>
                <w:sz w:val="20"/>
                <w:szCs w:val="20"/>
                <w:color w:val="auto"/>
              </w:rPr>
            </w:pPr>
            <w:r>
              <w:rPr>
                <w:rFonts w:ascii="Arial" w:cs="Arial" w:eastAsia="Arial" w:hAnsi="Arial"/>
                <w:sz w:val="13"/>
                <w:szCs w:val="13"/>
                <w:color w:val="auto"/>
              </w:rPr>
              <w:t>The following table summarizes revenue by timing of recognition for the six months ended:</w:t>
            </w:r>
          </w:p>
        </w:tc>
        <w:tc>
          <w:tcPr>
            <w:tcW w:w="186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0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8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66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200" w:type="dxa"/>
            <w:vAlign w:val="bottom"/>
            <w:gridSpan w:val="2"/>
          </w:tcPr>
          <w:p>
            <w:pPr>
              <w:jc w:val="right"/>
              <w:ind w:right="380"/>
              <w:spacing w:after="0"/>
              <w:rPr>
                <w:sz w:val="20"/>
                <w:szCs w:val="20"/>
                <w:color w:val="auto"/>
              </w:rPr>
            </w:pPr>
            <w:r>
              <w:rPr>
                <w:rFonts w:ascii="Arial" w:cs="Arial" w:eastAsia="Arial" w:hAnsi="Arial"/>
                <w:sz w:val="13"/>
                <w:szCs w:val="13"/>
                <w:color w:val="auto"/>
                <w:w w:val="97"/>
              </w:rPr>
              <w:t>June 30, 2021</w:t>
            </w:r>
          </w:p>
        </w:tc>
        <w:tc>
          <w:tcPr>
            <w:tcW w:w="1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180" w:type="dxa"/>
            <w:vAlign w:val="bottom"/>
            <w:gridSpan w:val="2"/>
          </w:tcPr>
          <w:p>
            <w:pPr>
              <w:ind w:left="100"/>
              <w:spacing w:after="0"/>
              <w:rPr>
                <w:sz w:val="20"/>
                <w:szCs w:val="20"/>
                <w:color w:val="auto"/>
              </w:rPr>
            </w:pPr>
            <w:r>
              <w:rPr>
                <w:rFonts w:ascii="Arial" w:cs="Arial" w:eastAsia="Arial" w:hAnsi="Arial"/>
                <w:sz w:val="13"/>
                <w:szCs w:val="13"/>
                <w:color w:val="auto"/>
              </w:rPr>
              <w:t>June 30, 2020</w:t>
            </w:r>
          </w:p>
        </w:tc>
      </w:tr>
      <w:tr>
        <w:trPr>
          <w:trHeight w:val="147"/>
        </w:trPr>
        <w:tc>
          <w:tcPr>
            <w:tcW w:w="6620" w:type="dxa"/>
            <w:vAlign w:val="bottom"/>
            <w:tcBorders>
              <w:top w:val="single" w:sz="8" w:color="CCEEFF"/>
            </w:tcBorders>
            <w:shd w:val="clear" w:color="auto" w:fill="CCEEFF"/>
          </w:tcPr>
          <w:p>
            <w:pPr>
              <w:spacing w:after="0" w:line="146" w:lineRule="exact"/>
              <w:rPr>
                <w:sz w:val="20"/>
                <w:szCs w:val="20"/>
                <w:color w:val="auto"/>
              </w:rPr>
            </w:pPr>
            <w:r>
              <w:rPr>
                <w:rFonts w:ascii="Arial" w:cs="Arial" w:eastAsia="Arial" w:hAnsi="Arial"/>
                <w:sz w:val="13"/>
                <w:szCs w:val="13"/>
                <w:color w:val="auto"/>
              </w:rPr>
              <w:t>Point in time</w:t>
            </w:r>
          </w:p>
        </w:tc>
        <w:tc>
          <w:tcPr>
            <w:tcW w:w="1860" w:type="dxa"/>
            <w:vAlign w:val="bottom"/>
            <w:tcBorders>
              <w:top w:val="single" w:sz="8" w:color="CCEEFF"/>
            </w:tcBorders>
            <w:shd w:val="clear" w:color="auto" w:fill="CCEEFF"/>
          </w:tcPr>
          <w:p>
            <w:pPr>
              <w:spacing w:after="0"/>
              <w:rPr>
                <w:sz w:val="12"/>
                <w:szCs w:val="12"/>
                <w:color w:val="auto"/>
              </w:rPr>
            </w:pPr>
          </w:p>
        </w:tc>
        <w:tc>
          <w:tcPr>
            <w:tcW w:w="160" w:type="dxa"/>
            <w:vAlign w:val="bottom"/>
            <w:tcBorders>
              <w:top w:val="single" w:sz="8" w:color="auto"/>
            </w:tcBorders>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8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24,812</w:t>
            </w:r>
          </w:p>
        </w:tc>
        <w:tc>
          <w:tcPr>
            <w:tcW w:w="12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tcBorders>
            <w:shd w:val="clear" w:color="auto" w:fill="CCEEFF"/>
          </w:tcPr>
          <w:p>
            <w:pPr>
              <w:jc w:val="right"/>
              <w:ind w:right="31"/>
              <w:spacing w:after="0"/>
              <w:rPr>
                <w:sz w:val="20"/>
                <w:szCs w:val="20"/>
                <w:color w:val="auto"/>
              </w:rPr>
            </w:pPr>
            <w:r>
              <w:rPr>
                <w:rFonts w:ascii="Arial" w:cs="Arial" w:eastAsia="Arial" w:hAnsi="Arial"/>
                <w:sz w:val="10"/>
                <w:szCs w:val="10"/>
                <w:color w:val="auto"/>
                <w:w w:val="71"/>
              </w:rPr>
              <w:t>$</w:t>
            </w:r>
          </w:p>
        </w:tc>
        <w:tc>
          <w:tcPr>
            <w:tcW w:w="108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22,851</w:t>
            </w:r>
          </w:p>
        </w:tc>
        <w:tc>
          <w:tcPr>
            <w:tcW w:w="100" w:type="dxa"/>
            <w:vAlign w:val="bottom"/>
            <w:tcBorders>
              <w:top w:val="single" w:sz="8" w:color="CCEEFF"/>
            </w:tcBorders>
            <w:shd w:val="clear" w:color="auto" w:fill="CCEEFF"/>
          </w:tcPr>
          <w:p>
            <w:pPr>
              <w:spacing w:after="0"/>
              <w:rPr>
                <w:sz w:val="12"/>
                <w:szCs w:val="12"/>
                <w:color w:val="auto"/>
              </w:rPr>
            </w:pPr>
          </w:p>
        </w:tc>
      </w:tr>
      <w:tr>
        <w:trPr>
          <w:trHeight w:val="166"/>
        </w:trPr>
        <w:tc>
          <w:tcPr>
            <w:tcW w:w="6620" w:type="dxa"/>
            <w:vAlign w:val="bottom"/>
          </w:tcPr>
          <w:p>
            <w:pPr>
              <w:spacing w:after="0"/>
              <w:rPr>
                <w:sz w:val="20"/>
                <w:szCs w:val="20"/>
                <w:color w:val="auto"/>
              </w:rPr>
            </w:pPr>
            <w:r>
              <w:rPr>
                <w:rFonts w:ascii="Arial" w:cs="Arial" w:eastAsia="Arial" w:hAnsi="Arial"/>
                <w:sz w:val="13"/>
                <w:szCs w:val="13"/>
                <w:color w:val="auto"/>
              </w:rPr>
              <w:t>Transferred over time</w:t>
            </w:r>
          </w:p>
        </w:tc>
        <w:tc>
          <w:tcPr>
            <w:tcW w:w="186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200" w:type="dxa"/>
            <w:vAlign w:val="bottom"/>
            <w:gridSpan w:val="2"/>
          </w:tcPr>
          <w:p>
            <w:pPr>
              <w:jc w:val="right"/>
              <w:ind w:right="120"/>
              <w:spacing w:after="0"/>
              <w:rPr>
                <w:sz w:val="20"/>
                <w:szCs w:val="20"/>
                <w:color w:val="auto"/>
              </w:rPr>
            </w:pPr>
            <w:r>
              <w:rPr>
                <w:rFonts w:ascii="Arial" w:cs="Arial" w:eastAsia="Arial" w:hAnsi="Arial"/>
                <w:sz w:val="13"/>
                <w:szCs w:val="13"/>
                <w:color w:val="auto"/>
              </w:rPr>
              <w:t>1,753,283</w:t>
            </w:r>
          </w:p>
        </w:tc>
        <w:tc>
          <w:tcPr>
            <w:tcW w:w="1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80" w:type="dxa"/>
            <w:vAlign w:val="bottom"/>
          </w:tcPr>
          <w:p>
            <w:pPr>
              <w:jc w:val="right"/>
              <w:spacing w:after="0"/>
              <w:rPr>
                <w:sz w:val="20"/>
                <w:szCs w:val="20"/>
                <w:color w:val="auto"/>
              </w:rPr>
            </w:pPr>
            <w:r>
              <w:rPr>
                <w:rFonts w:ascii="Arial" w:cs="Arial" w:eastAsia="Arial" w:hAnsi="Arial"/>
                <w:sz w:val="13"/>
                <w:szCs w:val="13"/>
                <w:color w:val="auto"/>
              </w:rPr>
              <w:t>1,614,697</w:t>
            </w:r>
          </w:p>
        </w:tc>
        <w:tc>
          <w:tcPr>
            <w:tcW w:w="100" w:type="dxa"/>
            <w:vAlign w:val="bottom"/>
          </w:tcPr>
          <w:p>
            <w:pPr>
              <w:spacing w:after="0"/>
              <w:rPr>
                <w:sz w:val="14"/>
                <w:szCs w:val="14"/>
                <w:color w:val="auto"/>
              </w:rPr>
            </w:pPr>
          </w:p>
        </w:tc>
      </w:tr>
      <w:tr>
        <w:trPr>
          <w:trHeight w:val="20"/>
        </w:trPr>
        <w:tc>
          <w:tcPr>
            <w:tcW w:w="6620" w:type="dxa"/>
            <w:vAlign w:val="bottom"/>
            <w:shd w:val="clear" w:color="auto" w:fill="CCEEFF"/>
          </w:tcPr>
          <w:p>
            <w:pPr>
              <w:spacing w:after="0" w:line="20" w:lineRule="exact"/>
              <w:rPr>
                <w:sz w:val="1"/>
                <w:szCs w:val="1"/>
                <w:color w:val="auto"/>
              </w:rPr>
            </w:pPr>
          </w:p>
        </w:tc>
        <w:tc>
          <w:tcPr>
            <w:tcW w:w="1860" w:type="dxa"/>
            <w:vAlign w:val="bottom"/>
            <w:shd w:val="clear" w:color="auto" w:fill="CCEEFF"/>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080" w:type="dxa"/>
            <w:vAlign w:val="bottom"/>
            <w:shd w:val="clear" w:color="auto" w:fill="000000"/>
          </w:tcPr>
          <w:p>
            <w:pPr>
              <w:spacing w:after="0" w:line="20" w:lineRule="exact"/>
              <w:rPr>
                <w:sz w:val="1"/>
                <w:szCs w:val="1"/>
                <w:color w:val="auto"/>
              </w:rPr>
            </w:pPr>
          </w:p>
        </w:tc>
        <w:tc>
          <w:tcPr>
            <w:tcW w:w="120" w:type="dxa"/>
            <w:vAlign w:val="bottom"/>
            <w:shd w:val="clear" w:color="auto" w:fill="CCEEFF"/>
          </w:tcPr>
          <w:p>
            <w:pPr>
              <w:spacing w:after="0" w:line="20" w:lineRule="exact"/>
              <w:rPr>
                <w:sz w:val="1"/>
                <w:szCs w:val="1"/>
                <w:color w:val="auto"/>
              </w:rPr>
            </w:pPr>
          </w:p>
        </w:tc>
        <w:tc>
          <w:tcPr>
            <w:tcW w:w="120" w:type="dxa"/>
            <w:vAlign w:val="bottom"/>
            <w:shd w:val="clear" w:color="auto" w:fill="CCEEFF"/>
          </w:tcPr>
          <w:p>
            <w:pPr>
              <w:spacing w:after="0" w:line="20" w:lineRule="exact"/>
              <w:rPr>
                <w:sz w:val="1"/>
                <w:szCs w:val="1"/>
                <w:color w:val="auto"/>
              </w:rPr>
            </w:pPr>
          </w:p>
        </w:tc>
        <w:tc>
          <w:tcPr>
            <w:tcW w:w="140" w:type="dxa"/>
            <w:vAlign w:val="bottom"/>
            <w:shd w:val="clear" w:color="auto" w:fill="000000"/>
          </w:tcPr>
          <w:p>
            <w:pPr>
              <w:spacing w:after="0" w:line="20" w:lineRule="exact"/>
              <w:rPr>
                <w:sz w:val="1"/>
                <w:szCs w:val="1"/>
                <w:color w:val="auto"/>
              </w:rPr>
            </w:pPr>
          </w:p>
        </w:tc>
        <w:tc>
          <w:tcPr>
            <w:tcW w:w="108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r>
      <w:tr>
        <w:trPr>
          <w:trHeight w:val="156"/>
        </w:trPr>
        <w:tc>
          <w:tcPr>
            <w:tcW w:w="6620" w:type="dxa"/>
            <w:vAlign w:val="bottom"/>
            <w:shd w:val="clear" w:color="auto" w:fill="CCEEFF"/>
          </w:tcPr>
          <w:p>
            <w:pPr>
              <w:spacing w:after="0"/>
              <w:rPr>
                <w:sz w:val="13"/>
                <w:szCs w:val="13"/>
                <w:color w:val="auto"/>
              </w:rPr>
            </w:pPr>
          </w:p>
        </w:tc>
        <w:tc>
          <w:tcPr>
            <w:tcW w:w="2020" w:type="dxa"/>
            <w:vAlign w:val="bottom"/>
            <w:gridSpan w:val="2"/>
            <w:shd w:val="clear" w:color="auto" w:fill="CCEEFF"/>
          </w:tcPr>
          <w:p>
            <w:pPr>
              <w:jc w:val="right"/>
              <w:ind w:right="51"/>
              <w:spacing w:after="0"/>
              <w:rPr>
                <w:sz w:val="20"/>
                <w:szCs w:val="20"/>
                <w:color w:val="auto"/>
              </w:rPr>
            </w:pPr>
            <w:r>
              <w:rPr>
                <w:rFonts w:ascii="Arial" w:cs="Arial" w:eastAsia="Arial" w:hAnsi="Arial"/>
                <w:sz w:val="13"/>
                <w:szCs w:val="13"/>
                <w:color w:val="auto"/>
              </w:rPr>
              <w:t>$</w:t>
            </w:r>
          </w:p>
        </w:tc>
        <w:tc>
          <w:tcPr>
            <w:tcW w:w="1200" w:type="dxa"/>
            <w:vAlign w:val="bottom"/>
            <w:gridSpan w:val="2"/>
            <w:shd w:val="clear" w:color="auto" w:fill="CCEEFF"/>
          </w:tcPr>
          <w:p>
            <w:pPr>
              <w:jc w:val="right"/>
              <w:ind w:right="120"/>
              <w:spacing w:after="0"/>
              <w:rPr>
                <w:sz w:val="20"/>
                <w:szCs w:val="20"/>
                <w:color w:val="auto"/>
              </w:rPr>
            </w:pPr>
            <w:r>
              <w:rPr>
                <w:rFonts w:ascii="Arial" w:cs="Arial" w:eastAsia="Arial" w:hAnsi="Arial"/>
                <w:sz w:val="13"/>
                <w:szCs w:val="13"/>
                <w:color w:val="auto"/>
              </w:rPr>
              <w:t>1,778,095</w:t>
            </w:r>
          </w:p>
        </w:tc>
        <w:tc>
          <w:tcPr>
            <w:tcW w:w="260" w:type="dxa"/>
            <w:vAlign w:val="bottom"/>
            <w:gridSpan w:val="2"/>
            <w:shd w:val="clear" w:color="auto" w:fill="CCEEFF"/>
          </w:tcPr>
          <w:p>
            <w:pPr>
              <w:jc w:val="right"/>
              <w:ind w:right="31"/>
              <w:spacing w:after="0"/>
              <w:rPr>
                <w:sz w:val="20"/>
                <w:szCs w:val="20"/>
                <w:color w:val="auto"/>
              </w:rPr>
            </w:pPr>
            <w:r>
              <w:rPr>
                <w:rFonts w:ascii="Arial" w:cs="Arial" w:eastAsia="Arial" w:hAnsi="Arial"/>
                <w:sz w:val="13"/>
                <w:szCs w:val="13"/>
                <w:color w:val="auto"/>
              </w:rPr>
              <w:t>$</w:t>
            </w: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1,637,548</w:t>
            </w:r>
          </w:p>
        </w:tc>
        <w:tc>
          <w:tcPr>
            <w:tcW w:w="100" w:type="dxa"/>
            <w:vAlign w:val="bottom"/>
            <w:shd w:val="clear" w:color="auto" w:fill="CCEEFF"/>
          </w:tcPr>
          <w:p>
            <w:pPr>
              <w:spacing w:after="0"/>
              <w:rPr>
                <w:sz w:val="13"/>
                <w:szCs w:val="13"/>
                <w:color w:val="auto"/>
              </w:rPr>
            </w:pPr>
          </w:p>
        </w:tc>
      </w:tr>
      <w:tr>
        <w:trPr>
          <w:trHeight w:val="30"/>
        </w:trPr>
        <w:tc>
          <w:tcPr>
            <w:tcW w:w="6620" w:type="dxa"/>
            <w:vAlign w:val="bottom"/>
            <w:shd w:val="clear" w:color="auto" w:fill="CCEEFF"/>
          </w:tcPr>
          <w:p>
            <w:pPr>
              <w:spacing w:after="0"/>
              <w:rPr>
                <w:sz w:val="2"/>
                <w:szCs w:val="2"/>
                <w:color w:val="auto"/>
              </w:rPr>
            </w:pPr>
          </w:p>
        </w:tc>
        <w:tc>
          <w:tcPr>
            <w:tcW w:w="1860" w:type="dxa"/>
            <w:vAlign w:val="bottom"/>
            <w:shd w:val="clear" w:color="auto" w:fill="CCEEFF"/>
          </w:tcPr>
          <w:p>
            <w:pPr>
              <w:spacing w:after="0"/>
              <w:rPr>
                <w:sz w:val="2"/>
                <w:szCs w:val="2"/>
                <w:color w:val="auto"/>
              </w:rPr>
            </w:pPr>
          </w:p>
        </w:tc>
        <w:tc>
          <w:tcPr>
            <w:tcW w:w="160" w:type="dxa"/>
            <w:vAlign w:val="bottom"/>
            <w:shd w:val="clear" w:color="auto" w:fill="000000"/>
          </w:tcPr>
          <w:p>
            <w:pPr>
              <w:spacing w:after="0"/>
              <w:rPr>
                <w:sz w:val="2"/>
                <w:szCs w:val="2"/>
                <w:color w:val="auto"/>
              </w:rPr>
            </w:pPr>
          </w:p>
        </w:tc>
        <w:tc>
          <w:tcPr>
            <w:tcW w:w="1080" w:type="dxa"/>
            <w:vAlign w:val="bottom"/>
            <w:shd w:val="clear" w:color="auto" w:fill="000000"/>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40" w:type="dxa"/>
            <w:vAlign w:val="bottom"/>
            <w:shd w:val="clear" w:color="auto" w:fill="000000"/>
          </w:tcPr>
          <w:p>
            <w:pPr>
              <w:spacing w:after="0"/>
              <w:rPr>
                <w:sz w:val="2"/>
                <w:szCs w:val="2"/>
                <w:color w:val="auto"/>
              </w:rPr>
            </w:pPr>
          </w:p>
        </w:tc>
        <w:tc>
          <w:tcPr>
            <w:tcW w:w="108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r>
    </w:tbl>
    <w:p>
      <w:pPr>
        <w:spacing w:after="0" w:line="148"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Deferred revenue includes billings in excess of revenue recognized. Revenue recognized at a point in time generally does not result in significant increases in deferred revenue. Revenue recognized over a period generally results in a majority of the increases in deferred revenue as the performance obligations are fulfilled after the billing event. Deferred revenue was as follows for the periods ended June 30, 2021 and December 31, 2020:</w:t>
      </w:r>
    </w:p>
    <w:p>
      <w:pPr>
        <w:spacing w:after="0" w:line="146" w:lineRule="exact"/>
        <w:rPr>
          <w:sz w:val="20"/>
          <w:szCs w:val="20"/>
          <w:color w:val="auto"/>
        </w:rPr>
      </w:pPr>
    </w:p>
    <w:tbl>
      <w:tblPr>
        <w:tblLayout w:type="fixed"/>
        <w:tblInd w:w="0" w:type="dxa"/>
        <w:tblCellMar>
          <w:top w:w="0" w:type="dxa"/>
          <w:left w:w="0" w:type="dxa"/>
          <w:bottom w:w="0" w:type="dxa"/>
          <w:right w:w="0" w:type="dxa"/>
        </w:tblCellMar>
      </w:tblPr>
      <w:tr>
        <w:trPr>
          <w:trHeight w:val="165"/>
        </w:trPr>
        <w:tc>
          <w:tcPr>
            <w:tcW w:w="7440" w:type="dxa"/>
            <w:vAlign w:val="bottom"/>
          </w:tcPr>
          <w:p>
            <w:pPr>
              <w:spacing w:after="0"/>
              <w:rPr>
                <w:sz w:val="14"/>
                <w:szCs w:val="14"/>
                <w:color w:val="auto"/>
              </w:rPr>
            </w:pPr>
          </w:p>
        </w:tc>
        <w:tc>
          <w:tcPr>
            <w:tcW w:w="104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200" w:type="dxa"/>
            <w:vAlign w:val="bottom"/>
            <w:gridSpan w:val="2"/>
          </w:tcPr>
          <w:p>
            <w:pPr>
              <w:jc w:val="right"/>
              <w:ind w:right="380"/>
              <w:spacing w:after="0"/>
              <w:rPr>
                <w:sz w:val="20"/>
                <w:szCs w:val="20"/>
                <w:color w:val="auto"/>
              </w:rPr>
            </w:pPr>
            <w:r>
              <w:rPr>
                <w:rFonts w:ascii="Arial" w:cs="Arial" w:eastAsia="Arial" w:hAnsi="Arial"/>
                <w:sz w:val="13"/>
                <w:szCs w:val="13"/>
                <w:color w:val="auto"/>
                <w:w w:val="97"/>
              </w:rPr>
              <w:t>June 30, 2021</w:t>
            </w:r>
          </w:p>
        </w:tc>
        <w:tc>
          <w:tcPr>
            <w:tcW w:w="1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240" w:type="dxa"/>
            <w:vAlign w:val="bottom"/>
            <w:gridSpan w:val="2"/>
          </w:tcPr>
          <w:p>
            <w:pPr>
              <w:ind w:left="20"/>
              <w:spacing w:after="0"/>
              <w:rPr>
                <w:sz w:val="20"/>
                <w:szCs w:val="20"/>
                <w:color w:val="auto"/>
              </w:rPr>
            </w:pPr>
            <w:r>
              <w:rPr>
                <w:rFonts w:ascii="Arial" w:cs="Arial" w:eastAsia="Arial" w:hAnsi="Arial"/>
                <w:sz w:val="13"/>
                <w:szCs w:val="13"/>
                <w:color w:val="auto"/>
              </w:rPr>
              <w:t>December 31, 2020</w:t>
            </w:r>
          </w:p>
        </w:tc>
      </w:tr>
      <w:tr>
        <w:trPr>
          <w:trHeight w:val="147"/>
        </w:trPr>
        <w:tc>
          <w:tcPr>
            <w:tcW w:w="7440" w:type="dxa"/>
            <w:vAlign w:val="bottom"/>
            <w:tcBorders>
              <w:top w:val="single" w:sz="8" w:color="CCEEFF"/>
            </w:tcBorders>
            <w:shd w:val="clear" w:color="auto" w:fill="CCEEFF"/>
          </w:tcPr>
          <w:p>
            <w:pPr>
              <w:spacing w:after="0" w:line="146" w:lineRule="exact"/>
              <w:rPr>
                <w:sz w:val="20"/>
                <w:szCs w:val="20"/>
                <w:color w:val="auto"/>
              </w:rPr>
            </w:pPr>
            <w:r>
              <w:rPr>
                <w:rFonts w:ascii="Arial" w:cs="Arial" w:eastAsia="Arial" w:hAnsi="Arial"/>
                <w:sz w:val="13"/>
                <w:szCs w:val="13"/>
                <w:color w:val="auto"/>
              </w:rPr>
              <w:t>Deferred revenue - short term</w:t>
            </w:r>
          </w:p>
        </w:tc>
        <w:tc>
          <w:tcPr>
            <w:tcW w:w="1040" w:type="dxa"/>
            <w:vAlign w:val="bottom"/>
            <w:tcBorders>
              <w:top w:val="single" w:sz="8" w:color="CCEEFF"/>
            </w:tcBorders>
            <w:shd w:val="clear" w:color="auto" w:fill="CCEEFF"/>
          </w:tcPr>
          <w:p>
            <w:pPr>
              <w:spacing w:after="0"/>
              <w:rPr>
                <w:sz w:val="12"/>
                <w:szCs w:val="12"/>
                <w:color w:val="auto"/>
              </w:rPr>
            </w:pPr>
          </w:p>
        </w:tc>
        <w:tc>
          <w:tcPr>
            <w:tcW w:w="160" w:type="dxa"/>
            <w:vAlign w:val="bottom"/>
            <w:tcBorders>
              <w:top w:val="single" w:sz="8" w:color="auto"/>
            </w:tcBorders>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8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318,222</w:t>
            </w:r>
          </w:p>
        </w:tc>
        <w:tc>
          <w:tcPr>
            <w:tcW w:w="12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8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0"/>
                <w:szCs w:val="10"/>
                <w:color w:val="auto"/>
                <w:w w:val="71"/>
              </w:rPr>
              <w:t>$</w:t>
            </w:r>
          </w:p>
        </w:tc>
        <w:tc>
          <w:tcPr>
            <w:tcW w:w="114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521,585</w:t>
            </w:r>
          </w:p>
        </w:tc>
        <w:tc>
          <w:tcPr>
            <w:tcW w:w="100" w:type="dxa"/>
            <w:vAlign w:val="bottom"/>
            <w:tcBorders>
              <w:top w:val="single" w:sz="8" w:color="CCEEFF"/>
            </w:tcBorders>
            <w:shd w:val="clear" w:color="auto" w:fill="CCEEFF"/>
          </w:tcPr>
          <w:p>
            <w:pPr>
              <w:spacing w:after="0"/>
              <w:rPr>
                <w:sz w:val="12"/>
                <w:szCs w:val="12"/>
                <w:color w:val="auto"/>
              </w:rPr>
            </w:pPr>
          </w:p>
        </w:tc>
      </w:tr>
      <w:tr>
        <w:trPr>
          <w:trHeight w:val="165"/>
        </w:trPr>
        <w:tc>
          <w:tcPr>
            <w:tcW w:w="7440" w:type="dxa"/>
            <w:vAlign w:val="bottom"/>
          </w:tcPr>
          <w:p>
            <w:pPr>
              <w:spacing w:after="0"/>
              <w:rPr>
                <w:sz w:val="20"/>
                <w:szCs w:val="20"/>
                <w:color w:val="auto"/>
              </w:rPr>
            </w:pPr>
            <w:r>
              <w:rPr>
                <w:rFonts w:ascii="Arial" w:cs="Arial" w:eastAsia="Arial" w:hAnsi="Arial"/>
                <w:sz w:val="13"/>
                <w:szCs w:val="13"/>
                <w:color w:val="auto"/>
              </w:rPr>
              <w:t>Revenue recognized in the six months ended related to amounts included in deferred revenue at the beginning of the period</w:t>
            </w:r>
          </w:p>
        </w:tc>
        <w:tc>
          <w:tcPr>
            <w:tcW w:w="1200" w:type="dxa"/>
            <w:vAlign w:val="bottom"/>
            <w:gridSpan w:val="2"/>
          </w:tcPr>
          <w:p>
            <w:pPr>
              <w:jc w:val="right"/>
              <w:ind w:right="51"/>
              <w:spacing w:after="0"/>
              <w:rPr>
                <w:sz w:val="20"/>
                <w:szCs w:val="20"/>
                <w:color w:val="auto"/>
              </w:rPr>
            </w:pPr>
            <w:r>
              <w:rPr>
                <w:rFonts w:ascii="Arial" w:cs="Arial" w:eastAsia="Arial" w:hAnsi="Arial"/>
                <w:sz w:val="13"/>
                <w:szCs w:val="13"/>
                <w:color w:val="auto"/>
              </w:rPr>
              <w:t>$</w:t>
            </w:r>
          </w:p>
        </w:tc>
        <w:tc>
          <w:tcPr>
            <w:tcW w:w="1200" w:type="dxa"/>
            <w:vAlign w:val="bottom"/>
            <w:gridSpan w:val="2"/>
          </w:tcPr>
          <w:p>
            <w:pPr>
              <w:jc w:val="right"/>
              <w:ind w:right="120"/>
              <w:spacing w:after="0"/>
              <w:rPr>
                <w:sz w:val="20"/>
                <w:szCs w:val="20"/>
                <w:color w:val="auto"/>
              </w:rPr>
            </w:pPr>
            <w:r>
              <w:rPr>
                <w:rFonts w:ascii="Arial" w:cs="Arial" w:eastAsia="Arial" w:hAnsi="Arial"/>
                <w:sz w:val="13"/>
                <w:szCs w:val="13"/>
                <w:color w:val="auto"/>
              </w:rPr>
              <w:t>274,125</w:t>
            </w:r>
          </w:p>
        </w:tc>
        <w:tc>
          <w:tcPr>
            <w:tcW w:w="200" w:type="dxa"/>
            <w:vAlign w:val="bottom"/>
            <w:gridSpan w:val="2"/>
          </w:tcPr>
          <w:p>
            <w:pPr>
              <w:jc w:val="right"/>
              <w:spacing w:after="0"/>
              <w:rPr>
                <w:sz w:val="20"/>
                <w:szCs w:val="20"/>
                <w:color w:val="auto"/>
              </w:rPr>
            </w:pPr>
            <w:r>
              <w:rPr>
                <w:rFonts w:ascii="Arial" w:cs="Arial" w:eastAsia="Arial" w:hAnsi="Arial"/>
                <w:sz w:val="13"/>
                <w:szCs w:val="13"/>
                <w:color w:val="auto"/>
              </w:rPr>
              <w:t>$</w:t>
            </w:r>
          </w:p>
        </w:tc>
        <w:tc>
          <w:tcPr>
            <w:tcW w:w="1140" w:type="dxa"/>
            <w:vAlign w:val="bottom"/>
          </w:tcPr>
          <w:p>
            <w:pPr>
              <w:jc w:val="right"/>
              <w:spacing w:after="0"/>
              <w:rPr>
                <w:sz w:val="20"/>
                <w:szCs w:val="20"/>
                <w:color w:val="auto"/>
              </w:rPr>
            </w:pPr>
            <w:r>
              <w:rPr>
                <w:rFonts w:ascii="Arial" w:cs="Arial" w:eastAsia="Arial" w:hAnsi="Arial"/>
                <w:sz w:val="13"/>
                <w:szCs w:val="13"/>
                <w:color w:val="auto"/>
              </w:rPr>
              <w:t>100,645</w:t>
            </w:r>
          </w:p>
        </w:tc>
        <w:tc>
          <w:tcPr>
            <w:tcW w:w="100" w:type="dxa"/>
            <w:vAlign w:val="bottom"/>
          </w:tcPr>
          <w:p>
            <w:pPr>
              <w:spacing w:after="0"/>
              <w:rPr>
                <w:sz w:val="14"/>
                <w:szCs w:val="14"/>
                <w:color w:val="auto"/>
              </w:rPr>
            </w:pPr>
          </w:p>
        </w:tc>
      </w:tr>
    </w:tbl>
    <w:p>
      <w:pPr>
        <w:spacing w:after="0" w:line="149"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Deferred revenue represents amounts invoiced to customers for contracts for which revenue has yet to be recognized based for subscription services to be delivered to our clients. Typically, the timing of invoicing is based on the terms of the contract.</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i w:val="1"/>
          <w:iCs w:val="1"/>
          <w:color w:val="auto"/>
        </w:rPr>
        <w:t>Other revenue</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color w:val="auto"/>
        </w:rPr>
        <w:t>Other non-ASR related revenue such as deployment services, decals, shipping, and training revenue is recognized when services are delivered.</w:t>
      </w:r>
    </w:p>
    <w:p>
      <w:pPr>
        <w:spacing w:after="0" w:line="320"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2">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99" w:name="page100"/>
    <w:bookmarkEnd w:id="99"/>
    <w:p>
      <w:pPr>
        <w:spacing w:after="0"/>
        <w:rPr>
          <w:sz w:val="20"/>
          <w:szCs w:val="20"/>
          <w:color w:val="auto"/>
        </w:rPr>
      </w:pPr>
      <w:r>
        <w:rPr>
          <w:rFonts w:ascii="Arial" w:cs="Arial" w:eastAsia="Arial" w:hAnsi="Arial"/>
          <w:sz w:val="13"/>
          <w:szCs w:val="13"/>
          <w:b w:val="1"/>
          <w:bCs w:val="1"/>
          <w:color w:val="auto"/>
        </w:rPr>
        <w:t>NOTE 3: Fair Value Measurement</w:t>
      </w:r>
    </w:p>
    <w:p>
      <w:pPr>
        <w:spacing w:after="0" w:line="167"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The Company determines the fair market values of its financial instruments based on the fair value hierarchy, which requires an entity to maximize the use of observable inputs and minimize the use of unobservable inputs when measuring fair value. The following are three levels of inputs that may be used to measure fair value:</w:t>
      </w:r>
    </w:p>
    <w:p>
      <w:pPr>
        <w:spacing w:after="0" w:line="128" w:lineRule="exact"/>
        <w:rPr>
          <w:sz w:val="20"/>
          <w:szCs w:val="20"/>
          <w:color w:val="auto"/>
        </w:rPr>
      </w:pPr>
    </w:p>
    <w:p>
      <w:pPr>
        <w:ind w:left="460" w:hanging="227"/>
        <w:spacing w:after="0" w:line="274" w:lineRule="auto"/>
        <w:tabs>
          <w:tab w:leader="none" w:pos="460" w:val="left"/>
        </w:tabs>
        <w:numPr>
          <w:ilvl w:val="0"/>
          <w:numId w:val="43"/>
        </w:numPr>
        <w:rPr>
          <w:rFonts w:ascii="Arial" w:cs="Arial" w:eastAsia="Arial" w:hAnsi="Arial"/>
          <w:sz w:val="13"/>
          <w:szCs w:val="13"/>
          <w:color w:val="auto"/>
        </w:rPr>
      </w:pPr>
      <w:r>
        <w:rPr>
          <w:rFonts w:ascii="Arial" w:cs="Arial" w:eastAsia="Arial" w:hAnsi="Arial"/>
          <w:sz w:val="13"/>
          <w:szCs w:val="13"/>
          <w:color w:val="auto"/>
        </w:rPr>
        <w:t>Level 1 – Quoted prices in active markets for identical assets or liabilities. The Company considers a market to be active when transactions for the asset occur with sufficient frequency and volume to provide pricing information on an ongoing basis.</w:t>
      </w:r>
    </w:p>
    <w:p>
      <w:pPr>
        <w:spacing w:after="0" w:line="127" w:lineRule="exact"/>
        <w:rPr>
          <w:rFonts w:ascii="Arial" w:cs="Arial" w:eastAsia="Arial" w:hAnsi="Arial"/>
          <w:sz w:val="13"/>
          <w:szCs w:val="13"/>
          <w:color w:val="auto"/>
        </w:rPr>
      </w:pPr>
    </w:p>
    <w:p>
      <w:pPr>
        <w:ind w:left="460" w:hanging="227"/>
        <w:spacing w:after="0" w:line="274" w:lineRule="auto"/>
        <w:tabs>
          <w:tab w:leader="none" w:pos="460" w:val="left"/>
        </w:tabs>
        <w:numPr>
          <w:ilvl w:val="0"/>
          <w:numId w:val="43"/>
        </w:numPr>
        <w:rPr>
          <w:rFonts w:ascii="Arial" w:cs="Arial" w:eastAsia="Arial" w:hAnsi="Arial"/>
          <w:sz w:val="13"/>
          <w:szCs w:val="13"/>
          <w:color w:val="auto"/>
        </w:rPr>
      </w:pPr>
      <w:r>
        <w:rPr>
          <w:rFonts w:ascii="Arial" w:cs="Arial" w:eastAsia="Arial" w:hAnsi="Arial"/>
          <w:sz w:val="13"/>
          <w:szCs w:val="13"/>
          <w:color w:val="auto"/>
        </w:rPr>
        <w:t>Level 2 – Inputs other than Level 1 that are observable, either directly or indirectly, such as quoted prices for similar assets or liabilities; quoted prices in markets that are not active; or other inputs that are observable or can be corroborated by observable market data for substantially the full term of the assets or liabilities.</w:t>
      </w:r>
    </w:p>
    <w:p>
      <w:pPr>
        <w:spacing w:after="0" w:line="127" w:lineRule="exact"/>
        <w:rPr>
          <w:rFonts w:ascii="Arial" w:cs="Arial" w:eastAsia="Arial" w:hAnsi="Arial"/>
          <w:sz w:val="13"/>
          <w:szCs w:val="13"/>
          <w:color w:val="auto"/>
        </w:rPr>
      </w:pPr>
    </w:p>
    <w:p>
      <w:pPr>
        <w:ind w:left="460" w:hanging="227"/>
        <w:spacing w:after="0" w:line="274" w:lineRule="auto"/>
        <w:tabs>
          <w:tab w:leader="none" w:pos="460" w:val="left"/>
        </w:tabs>
        <w:numPr>
          <w:ilvl w:val="0"/>
          <w:numId w:val="43"/>
        </w:numPr>
        <w:rPr>
          <w:rFonts w:ascii="Arial" w:cs="Arial" w:eastAsia="Arial" w:hAnsi="Arial"/>
          <w:sz w:val="13"/>
          <w:szCs w:val="13"/>
          <w:color w:val="auto"/>
        </w:rPr>
      </w:pPr>
      <w:r>
        <w:rPr>
          <w:rFonts w:ascii="Arial" w:cs="Arial" w:eastAsia="Arial" w:hAnsi="Arial"/>
          <w:sz w:val="13"/>
          <w:szCs w:val="13"/>
          <w:color w:val="auto"/>
        </w:rPr>
        <w:t>Level 3 – Unobservable inputs that are supported by little or no market activity and that are significant to the fair value of the assets or liabilities. The valuation of Level 3 investments requires the use of significant management judgments or estimation.</w:t>
      </w:r>
    </w:p>
    <w:p>
      <w:pPr>
        <w:spacing w:after="0" w:line="128"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 xml:space="preserve">In certain cases where there is limited activity or less transparency around inputs to valuation, securities are classified as Level 3. Level 3 liabilities that are measured at fair value on a recurring basis consist of the convertible preferred stock warrant liabilities. The inputs used in estimating the fair value of the warrant liabilities are described in Note 4 -- </w:t>
      </w:r>
      <w:r>
        <w:rPr>
          <w:rFonts w:ascii="Arial" w:cs="Arial" w:eastAsia="Arial" w:hAnsi="Arial"/>
          <w:sz w:val="13"/>
          <w:szCs w:val="13"/>
          <w:i w:val="1"/>
          <w:iCs w:val="1"/>
          <w:color w:val="auto"/>
        </w:rPr>
        <w:t>Capital Stock and Warrants</w:t>
      </w:r>
      <w:r>
        <w:rPr>
          <w:rFonts w:ascii="Arial" w:cs="Arial" w:eastAsia="Arial" w:hAnsi="Arial"/>
          <w:sz w:val="13"/>
          <w:szCs w:val="13"/>
          <w:color w:val="auto"/>
        </w:rPr>
        <w:t>.</w:t>
      </w:r>
    </w:p>
    <w:p>
      <w:pPr>
        <w:spacing w:after="0" w:line="128" w:lineRule="exact"/>
        <w:rPr>
          <w:sz w:val="20"/>
          <w:szCs w:val="20"/>
          <w:color w:val="auto"/>
        </w:rPr>
      </w:pPr>
    </w:p>
    <w:p>
      <w:pPr>
        <w:spacing w:after="0" w:line="274" w:lineRule="auto"/>
        <w:rPr>
          <w:sz w:val="20"/>
          <w:szCs w:val="20"/>
          <w:color w:val="auto"/>
        </w:rPr>
      </w:pPr>
      <w:r>
        <w:rPr>
          <w:rFonts w:ascii="Arial" w:cs="Arial" w:eastAsia="Arial" w:hAnsi="Arial"/>
          <w:sz w:val="13"/>
          <w:szCs w:val="13"/>
          <w:color w:val="auto"/>
        </w:rPr>
        <w:t>The following tables summarize, for each category of assets or liabilities carried at fair value, the respective fair value as of June 30, 2021 and December 31, 2020 and the classification by level of input within the fair value hierarchy:</w:t>
      </w:r>
    </w:p>
    <w:p>
      <w:pPr>
        <w:spacing w:after="0" w:line="134" w:lineRule="exact"/>
        <w:rPr>
          <w:sz w:val="20"/>
          <w:szCs w:val="20"/>
          <w:color w:val="auto"/>
        </w:rPr>
      </w:pPr>
    </w:p>
    <w:tbl>
      <w:tblPr>
        <w:tblLayout w:type="fixed"/>
        <w:tblInd w:w="0" w:type="dxa"/>
        <w:tblCellMar>
          <w:top w:w="0" w:type="dxa"/>
          <w:left w:w="0" w:type="dxa"/>
          <w:bottom w:w="0" w:type="dxa"/>
          <w:right w:w="0" w:type="dxa"/>
        </w:tblCellMar>
      </w:tblPr>
      <w:tr>
        <w:trPr>
          <w:trHeight w:val="169"/>
        </w:trPr>
        <w:tc>
          <w:tcPr>
            <w:tcW w:w="20" w:type="dxa"/>
            <w:vAlign w:val="bottom"/>
          </w:tcPr>
          <w:p>
            <w:pPr>
              <w:spacing w:after="0"/>
              <w:rPr>
                <w:sz w:val="14"/>
                <w:szCs w:val="14"/>
                <w:color w:val="auto"/>
              </w:rPr>
            </w:pPr>
          </w:p>
        </w:tc>
        <w:tc>
          <w:tcPr>
            <w:tcW w:w="700" w:type="dxa"/>
            <w:vAlign w:val="bottom"/>
          </w:tcPr>
          <w:p>
            <w:pPr>
              <w:spacing w:after="0"/>
              <w:rPr>
                <w:sz w:val="14"/>
                <w:szCs w:val="14"/>
                <w:color w:val="auto"/>
              </w:rPr>
            </w:pPr>
          </w:p>
        </w:tc>
        <w:tc>
          <w:tcPr>
            <w:tcW w:w="3300" w:type="dxa"/>
            <w:vAlign w:val="bottom"/>
          </w:tcPr>
          <w:p>
            <w:pPr>
              <w:spacing w:after="0"/>
              <w:rPr>
                <w:sz w:val="14"/>
                <w:szCs w:val="14"/>
                <w:color w:val="auto"/>
              </w:rPr>
            </w:pPr>
          </w:p>
        </w:tc>
        <w:tc>
          <w:tcPr>
            <w:tcW w:w="152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1120" w:type="dxa"/>
            <w:vAlign w:val="bottom"/>
            <w:gridSpan w:val="2"/>
          </w:tcPr>
          <w:p>
            <w:pPr>
              <w:ind w:left="120"/>
              <w:spacing w:after="0"/>
              <w:rPr>
                <w:sz w:val="20"/>
                <w:szCs w:val="20"/>
                <w:color w:val="auto"/>
              </w:rPr>
            </w:pPr>
            <w:r>
              <w:rPr>
                <w:rFonts w:ascii="Arial" w:cs="Arial" w:eastAsia="Arial" w:hAnsi="Arial"/>
                <w:sz w:val="13"/>
                <w:szCs w:val="13"/>
                <w:b w:val="1"/>
                <w:bCs w:val="1"/>
                <w:color w:val="auto"/>
              </w:rPr>
              <w:t>Total</w:t>
            </w:r>
          </w:p>
        </w:tc>
        <w:tc>
          <w:tcPr>
            <w:tcW w:w="260" w:type="dxa"/>
            <w:vAlign w:val="bottom"/>
          </w:tcPr>
          <w:p>
            <w:pPr>
              <w:spacing w:after="0"/>
              <w:rPr>
                <w:sz w:val="14"/>
                <w:szCs w:val="14"/>
                <w:color w:val="auto"/>
              </w:rPr>
            </w:pPr>
          </w:p>
        </w:tc>
        <w:tc>
          <w:tcPr>
            <w:tcW w:w="1220" w:type="dxa"/>
            <w:vAlign w:val="bottom"/>
            <w:gridSpan w:val="2"/>
          </w:tcPr>
          <w:p>
            <w:pPr>
              <w:ind w:left="180"/>
              <w:spacing w:after="0"/>
              <w:rPr>
                <w:sz w:val="20"/>
                <w:szCs w:val="20"/>
                <w:color w:val="auto"/>
              </w:rPr>
            </w:pPr>
            <w:r>
              <w:rPr>
                <w:rFonts w:ascii="Arial" w:cs="Arial" w:eastAsia="Arial" w:hAnsi="Arial"/>
                <w:sz w:val="13"/>
                <w:szCs w:val="13"/>
                <w:b w:val="1"/>
                <w:bCs w:val="1"/>
                <w:color w:val="auto"/>
              </w:rPr>
              <w:t>Level 1</w:t>
            </w:r>
          </w:p>
        </w:tc>
        <w:tc>
          <w:tcPr>
            <w:tcW w:w="1000" w:type="dxa"/>
            <w:vAlign w:val="bottom"/>
          </w:tcPr>
          <w:p>
            <w:pPr>
              <w:jc w:val="right"/>
              <w:ind w:right="128"/>
              <w:spacing w:after="0"/>
              <w:rPr>
                <w:sz w:val="20"/>
                <w:szCs w:val="20"/>
                <w:color w:val="auto"/>
              </w:rPr>
            </w:pPr>
            <w:r>
              <w:rPr>
                <w:rFonts w:ascii="Arial" w:cs="Arial" w:eastAsia="Arial" w:hAnsi="Arial"/>
                <w:sz w:val="13"/>
                <w:szCs w:val="13"/>
                <w:b w:val="1"/>
                <w:bCs w:val="1"/>
                <w:color w:val="auto"/>
              </w:rPr>
              <w:t>Level 2</w:t>
            </w:r>
          </w:p>
        </w:tc>
        <w:tc>
          <w:tcPr>
            <w:tcW w:w="2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080" w:type="dxa"/>
            <w:vAlign w:val="bottom"/>
            <w:gridSpan w:val="2"/>
          </w:tcPr>
          <w:p>
            <w:pPr>
              <w:jc w:val="right"/>
              <w:ind w:right="520"/>
              <w:spacing w:after="0"/>
              <w:rPr>
                <w:sz w:val="20"/>
                <w:szCs w:val="20"/>
                <w:color w:val="auto"/>
              </w:rPr>
            </w:pPr>
            <w:r>
              <w:rPr>
                <w:rFonts w:ascii="Arial" w:cs="Arial" w:eastAsia="Arial" w:hAnsi="Arial"/>
                <w:sz w:val="13"/>
                <w:szCs w:val="13"/>
                <w:b w:val="1"/>
                <w:bCs w:val="1"/>
                <w:color w:val="auto"/>
              </w:rPr>
              <w:t>Level 3</w:t>
            </w:r>
          </w:p>
        </w:tc>
      </w:tr>
      <w:tr>
        <w:trPr>
          <w:trHeight w:val="127"/>
        </w:trPr>
        <w:tc>
          <w:tcPr>
            <w:tcW w:w="20" w:type="dxa"/>
            <w:vAlign w:val="bottom"/>
          </w:tcPr>
          <w:p>
            <w:pPr>
              <w:spacing w:after="0"/>
              <w:rPr>
                <w:sz w:val="11"/>
                <w:szCs w:val="11"/>
                <w:color w:val="auto"/>
              </w:rPr>
            </w:pPr>
          </w:p>
        </w:tc>
        <w:tc>
          <w:tcPr>
            <w:tcW w:w="4000" w:type="dxa"/>
            <w:vAlign w:val="bottom"/>
            <w:tcBorders>
              <w:top w:val="single" w:sz="8" w:color="CCEEFF"/>
            </w:tcBorders>
            <w:gridSpan w:val="2"/>
            <w:shd w:val="clear" w:color="auto" w:fill="CCEEFF"/>
          </w:tcPr>
          <w:p>
            <w:pPr>
              <w:spacing w:after="0" w:line="118" w:lineRule="exact"/>
              <w:rPr>
                <w:sz w:val="20"/>
                <w:szCs w:val="20"/>
                <w:color w:val="auto"/>
              </w:rPr>
            </w:pPr>
            <w:r>
              <w:rPr>
                <w:rFonts w:ascii="Arial" w:cs="Arial" w:eastAsia="Arial" w:hAnsi="Arial"/>
                <w:sz w:val="13"/>
                <w:szCs w:val="13"/>
                <w:color w:val="auto"/>
              </w:rPr>
              <w:t>June 30, 2021</w:t>
            </w:r>
          </w:p>
        </w:tc>
        <w:tc>
          <w:tcPr>
            <w:tcW w:w="1520" w:type="dxa"/>
            <w:vAlign w:val="bottom"/>
            <w:tcBorders>
              <w:top w:val="single" w:sz="8" w:color="CCEEFF"/>
            </w:tcBorders>
            <w:shd w:val="clear" w:color="auto" w:fill="CCEEFF"/>
          </w:tcPr>
          <w:p>
            <w:pPr>
              <w:spacing w:after="0"/>
              <w:rPr>
                <w:sz w:val="11"/>
                <w:szCs w:val="11"/>
                <w:color w:val="auto"/>
              </w:rPr>
            </w:pPr>
          </w:p>
        </w:tc>
        <w:tc>
          <w:tcPr>
            <w:tcW w:w="360" w:type="dxa"/>
            <w:vAlign w:val="bottom"/>
            <w:tcBorders>
              <w:top w:val="single" w:sz="8" w:color="auto"/>
            </w:tcBorders>
            <w:shd w:val="clear" w:color="auto" w:fill="CCEEFF"/>
          </w:tcPr>
          <w:p>
            <w:pPr>
              <w:spacing w:after="0"/>
              <w:rPr>
                <w:sz w:val="11"/>
                <w:szCs w:val="11"/>
                <w:color w:val="auto"/>
              </w:rPr>
            </w:pPr>
          </w:p>
        </w:tc>
        <w:tc>
          <w:tcPr>
            <w:tcW w:w="900" w:type="dxa"/>
            <w:vAlign w:val="bottom"/>
            <w:tcBorders>
              <w:top w:val="single" w:sz="8" w:color="auto"/>
            </w:tcBorders>
            <w:shd w:val="clear" w:color="auto" w:fill="CCEEFF"/>
          </w:tcPr>
          <w:p>
            <w:pPr>
              <w:spacing w:after="0"/>
              <w:rPr>
                <w:sz w:val="11"/>
                <w:szCs w:val="11"/>
                <w:color w:val="auto"/>
              </w:rPr>
            </w:pPr>
          </w:p>
        </w:tc>
        <w:tc>
          <w:tcPr>
            <w:tcW w:w="220" w:type="dxa"/>
            <w:vAlign w:val="bottom"/>
            <w:tcBorders>
              <w:top w:val="single" w:sz="8" w:color="CCEEFF"/>
            </w:tcBorders>
            <w:shd w:val="clear" w:color="auto" w:fill="CCEEFF"/>
          </w:tcPr>
          <w:p>
            <w:pPr>
              <w:spacing w:after="0"/>
              <w:rPr>
                <w:sz w:val="11"/>
                <w:szCs w:val="11"/>
                <w:color w:val="auto"/>
              </w:rPr>
            </w:pPr>
          </w:p>
        </w:tc>
        <w:tc>
          <w:tcPr>
            <w:tcW w:w="260" w:type="dxa"/>
            <w:vAlign w:val="bottom"/>
            <w:tcBorders>
              <w:top w:val="single" w:sz="8" w:color="auto"/>
            </w:tcBorders>
            <w:shd w:val="clear" w:color="auto" w:fill="CCEEFF"/>
          </w:tcPr>
          <w:p>
            <w:pPr>
              <w:spacing w:after="0"/>
              <w:rPr>
                <w:sz w:val="11"/>
                <w:szCs w:val="11"/>
                <w:color w:val="auto"/>
              </w:rPr>
            </w:pPr>
          </w:p>
        </w:tc>
        <w:tc>
          <w:tcPr>
            <w:tcW w:w="1000" w:type="dxa"/>
            <w:vAlign w:val="bottom"/>
            <w:tcBorders>
              <w:top w:val="single" w:sz="8" w:color="auto"/>
            </w:tcBorders>
            <w:shd w:val="clear" w:color="auto" w:fill="CCEEFF"/>
          </w:tcPr>
          <w:p>
            <w:pPr>
              <w:spacing w:after="0"/>
              <w:rPr>
                <w:sz w:val="11"/>
                <w:szCs w:val="11"/>
                <w:color w:val="auto"/>
              </w:rPr>
            </w:pPr>
          </w:p>
        </w:tc>
        <w:tc>
          <w:tcPr>
            <w:tcW w:w="220" w:type="dxa"/>
            <w:vAlign w:val="bottom"/>
            <w:tcBorders>
              <w:top w:val="single" w:sz="8" w:color="CCEEFF"/>
            </w:tcBorders>
            <w:shd w:val="clear" w:color="auto" w:fill="CCEEFF"/>
          </w:tcPr>
          <w:p>
            <w:pPr>
              <w:spacing w:after="0"/>
              <w:rPr>
                <w:sz w:val="11"/>
                <w:szCs w:val="11"/>
                <w:color w:val="auto"/>
              </w:rPr>
            </w:pPr>
          </w:p>
        </w:tc>
        <w:tc>
          <w:tcPr>
            <w:tcW w:w="1000" w:type="dxa"/>
            <w:vAlign w:val="bottom"/>
            <w:tcBorders>
              <w:top w:val="single" w:sz="8" w:color="auto"/>
            </w:tcBorders>
            <w:shd w:val="clear" w:color="auto" w:fill="CCEEFF"/>
          </w:tcPr>
          <w:p>
            <w:pPr>
              <w:spacing w:after="0"/>
              <w:rPr>
                <w:sz w:val="11"/>
                <w:szCs w:val="11"/>
                <w:color w:val="auto"/>
              </w:rPr>
            </w:pPr>
          </w:p>
        </w:tc>
        <w:tc>
          <w:tcPr>
            <w:tcW w:w="240" w:type="dxa"/>
            <w:vAlign w:val="bottom"/>
            <w:tcBorders>
              <w:top w:val="single" w:sz="8" w:color="auto"/>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c>
          <w:tcPr>
            <w:tcW w:w="120" w:type="dxa"/>
            <w:vAlign w:val="bottom"/>
            <w:tcBorders>
              <w:top w:val="single" w:sz="8" w:color="CCEEFF"/>
            </w:tcBorders>
            <w:shd w:val="clear" w:color="auto" w:fill="CCEEFF"/>
          </w:tcPr>
          <w:p>
            <w:pPr>
              <w:spacing w:after="0"/>
              <w:rPr>
                <w:sz w:val="11"/>
                <w:szCs w:val="11"/>
                <w:color w:val="auto"/>
              </w:rPr>
            </w:pPr>
          </w:p>
        </w:tc>
        <w:tc>
          <w:tcPr>
            <w:tcW w:w="240" w:type="dxa"/>
            <w:vAlign w:val="bottom"/>
            <w:tcBorders>
              <w:top w:val="single" w:sz="8" w:color="auto"/>
            </w:tcBorders>
            <w:shd w:val="clear" w:color="auto" w:fill="CCEEFF"/>
          </w:tcPr>
          <w:p>
            <w:pPr>
              <w:spacing w:after="0"/>
              <w:rPr>
                <w:sz w:val="11"/>
                <w:szCs w:val="11"/>
                <w:color w:val="auto"/>
              </w:rPr>
            </w:pPr>
          </w:p>
        </w:tc>
        <w:tc>
          <w:tcPr>
            <w:tcW w:w="980" w:type="dxa"/>
            <w:vAlign w:val="bottom"/>
            <w:tcBorders>
              <w:top w:val="single" w:sz="8" w:color="auto"/>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r>
      <w:tr>
        <w:trPr>
          <w:trHeight w:val="156"/>
        </w:trPr>
        <w:tc>
          <w:tcPr>
            <w:tcW w:w="20" w:type="dxa"/>
            <w:vAlign w:val="bottom"/>
          </w:tcPr>
          <w:p>
            <w:pPr>
              <w:spacing w:after="0"/>
              <w:rPr>
                <w:sz w:val="13"/>
                <w:szCs w:val="13"/>
                <w:color w:val="auto"/>
              </w:rPr>
            </w:pPr>
          </w:p>
        </w:tc>
        <w:tc>
          <w:tcPr>
            <w:tcW w:w="700" w:type="dxa"/>
            <w:vAlign w:val="bottom"/>
            <w:tcBorders>
              <w:top w:val="single" w:sz="8" w:color="auto"/>
            </w:tcBorders>
          </w:tcPr>
          <w:p>
            <w:pPr>
              <w:spacing w:after="0"/>
              <w:rPr>
                <w:sz w:val="20"/>
                <w:szCs w:val="20"/>
                <w:color w:val="auto"/>
              </w:rPr>
            </w:pPr>
            <w:r>
              <w:rPr>
                <w:rFonts w:ascii="Arial" w:cs="Arial" w:eastAsia="Arial" w:hAnsi="Arial"/>
                <w:sz w:val="13"/>
                <w:szCs w:val="13"/>
                <w:b w:val="1"/>
                <w:bCs w:val="1"/>
                <w:color w:val="auto"/>
              </w:rPr>
              <w:t>Assets</w:t>
            </w:r>
          </w:p>
        </w:tc>
        <w:tc>
          <w:tcPr>
            <w:tcW w:w="3300" w:type="dxa"/>
            <w:vAlign w:val="bottom"/>
            <w:tcBorders>
              <w:top w:val="single" w:sz="8" w:color="CCEEFF"/>
            </w:tcBorders>
          </w:tcPr>
          <w:p>
            <w:pPr>
              <w:spacing w:after="0"/>
              <w:rPr>
                <w:sz w:val="13"/>
                <w:szCs w:val="13"/>
                <w:color w:val="auto"/>
              </w:rPr>
            </w:pPr>
          </w:p>
        </w:tc>
        <w:tc>
          <w:tcPr>
            <w:tcW w:w="1520" w:type="dxa"/>
            <w:vAlign w:val="bottom"/>
            <w:tcBorders>
              <w:top w:val="single" w:sz="8" w:color="CCEEFF"/>
            </w:tcBorders>
          </w:tcPr>
          <w:p>
            <w:pPr>
              <w:spacing w:after="0"/>
              <w:rPr>
                <w:sz w:val="13"/>
                <w:szCs w:val="13"/>
                <w:color w:val="auto"/>
              </w:rPr>
            </w:pPr>
          </w:p>
        </w:tc>
        <w:tc>
          <w:tcPr>
            <w:tcW w:w="360" w:type="dxa"/>
            <w:vAlign w:val="bottom"/>
            <w:tcBorders>
              <w:top w:val="single" w:sz="8" w:color="CCEEFF"/>
            </w:tcBorders>
          </w:tcPr>
          <w:p>
            <w:pPr>
              <w:spacing w:after="0"/>
              <w:rPr>
                <w:sz w:val="13"/>
                <w:szCs w:val="13"/>
                <w:color w:val="auto"/>
              </w:rPr>
            </w:pPr>
          </w:p>
        </w:tc>
        <w:tc>
          <w:tcPr>
            <w:tcW w:w="90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260" w:type="dxa"/>
            <w:vAlign w:val="bottom"/>
            <w:tcBorders>
              <w:top w:val="single" w:sz="8" w:color="CCEEFF"/>
            </w:tcBorders>
          </w:tcPr>
          <w:p>
            <w:pPr>
              <w:spacing w:after="0"/>
              <w:rPr>
                <w:sz w:val="13"/>
                <w:szCs w:val="13"/>
                <w:color w:val="auto"/>
              </w:rPr>
            </w:pPr>
          </w:p>
        </w:tc>
        <w:tc>
          <w:tcPr>
            <w:tcW w:w="100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1000" w:type="dxa"/>
            <w:vAlign w:val="bottom"/>
            <w:tcBorders>
              <w:top w:val="single" w:sz="8" w:color="CCEEFF"/>
            </w:tcBorders>
          </w:tcPr>
          <w:p>
            <w:pPr>
              <w:spacing w:after="0"/>
              <w:rPr>
                <w:sz w:val="13"/>
                <w:szCs w:val="13"/>
                <w:color w:val="auto"/>
              </w:rPr>
            </w:pPr>
          </w:p>
        </w:tc>
        <w:tc>
          <w:tcPr>
            <w:tcW w:w="240" w:type="dxa"/>
            <w:vAlign w:val="bottom"/>
            <w:tcBorders>
              <w:top w:val="single" w:sz="8" w:color="CCEEFF"/>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c>
          <w:tcPr>
            <w:tcW w:w="120" w:type="dxa"/>
            <w:vAlign w:val="bottom"/>
            <w:tcBorders>
              <w:top w:val="single" w:sz="8" w:color="CCEEFF"/>
            </w:tcBorders>
          </w:tcPr>
          <w:p>
            <w:pPr>
              <w:spacing w:after="0"/>
              <w:rPr>
                <w:sz w:val="13"/>
                <w:szCs w:val="13"/>
                <w:color w:val="auto"/>
              </w:rPr>
            </w:pPr>
          </w:p>
        </w:tc>
        <w:tc>
          <w:tcPr>
            <w:tcW w:w="240" w:type="dxa"/>
            <w:vAlign w:val="bottom"/>
            <w:tcBorders>
              <w:top w:val="single" w:sz="8" w:color="CCEEFF"/>
            </w:tcBorders>
          </w:tcPr>
          <w:p>
            <w:pPr>
              <w:spacing w:after="0"/>
              <w:rPr>
                <w:sz w:val="13"/>
                <w:szCs w:val="13"/>
                <w:color w:val="auto"/>
              </w:rPr>
            </w:pPr>
          </w:p>
        </w:tc>
        <w:tc>
          <w:tcPr>
            <w:tcW w:w="980" w:type="dxa"/>
            <w:vAlign w:val="bottom"/>
            <w:tcBorders>
              <w:top w:val="single" w:sz="8" w:color="CCEEFF"/>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400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Cash equivalents and restricted cash:</w:t>
            </w:r>
          </w:p>
        </w:tc>
        <w:tc>
          <w:tcPr>
            <w:tcW w:w="152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9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4000" w:type="dxa"/>
            <w:vAlign w:val="bottom"/>
            <w:gridSpan w:val="2"/>
          </w:tcPr>
          <w:p>
            <w:pPr>
              <w:ind w:left="100"/>
              <w:spacing w:after="0"/>
              <w:rPr>
                <w:sz w:val="20"/>
                <w:szCs w:val="20"/>
                <w:color w:val="auto"/>
              </w:rPr>
            </w:pPr>
            <w:r>
              <w:rPr>
                <w:rFonts w:ascii="Arial" w:cs="Arial" w:eastAsia="Arial" w:hAnsi="Arial"/>
                <w:sz w:val="13"/>
                <w:szCs w:val="13"/>
                <w:color w:val="auto"/>
              </w:rPr>
              <w:t>Money market funds</w:t>
            </w:r>
          </w:p>
        </w:tc>
        <w:tc>
          <w:tcPr>
            <w:tcW w:w="1880" w:type="dxa"/>
            <w:vAlign w:val="bottom"/>
            <w:gridSpan w:val="2"/>
          </w:tcPr>
          <w:p>
            <w:pPr>
              <w:jc w:val="right"/>
              <w:ind w:right="300"/>
              <w:spacing w:after="0"/>
              <w:rPr>
                <w:sz w:val="20"/>
                <w:szCs w:val="20"/>
                <w:color w:val="auto"/>
              </w:rPr>
            </w:pPr>
            <w:r>
              <w:rPr>
                <w:rFonts w:ascii="Arial" w:cs="Arial" w:eastAsia="Arial" w:hAnsi="Arial"/>
                <w:sz w:val="13"/>
                <w:szCs w:val="13"/>
                <w:color w:val="auto"/>
              </w:rPr>
              <w:t>$</w:t>
            </w:r>
          </w:p>
        </w:tc>
        <w:tc>
          <w:tcPr>
            <w:tcW w:w="1120" w:type="dxa"/>
            <w:vAlign w:val="bottom"/>
            <w:gridSpan w:val="2"/>
          </w:tcPr>
          <w:p>
            <w:pPr>
              <w:jc w:val="right"/>
              <w:ind w:right="220"/>
              <w:spacing w:after="0"/>
              <w:rPr>
                <w:sz w:val="20"/>
                <w:szCs w:val="20"/>
                <w:color w:val="auto"/>
              </w:rPr>
            </w:pPr>
            <w:r>
              <w:rPr>
                <w:rFonts w:ascii="Arial" w:cs="Arial" w:eastAsia="Arial" w:hAnsi="Arial"/>
                <w:sz w:val="13"/>
                <w:szCs w:val="13"/>
                <w:color w:val="auto"/>
              </w:rPr>
              <w:t>9,022,958</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9,022,958</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4000" w:type="dxa"/>
            <w:vAlign w:val="bottom"/>
            <w:gridSpan w:val="2"/>
            <w:shd w:val="clear" w:color="auto" w:fill="CCEEFF"/>
          </w:tcPr>
          <w:p>
            <w:pPr>
              <w:spacing w:after="0"/>
              <w:rPr>
                <w:sz w:val="20"/>
                <w:szCs w:val="20"/>
                <w:color w:val="auto"/>
              </w:rPr>
            </w:pPr>
            <w:r>
              <w:rPr>
                <w:rFonts w:ascii="Arial" w:cs="Arial" w:eastAsia="Arial" w:hAnsi="Arial"/>
                <w:sz w:val="13"/>
                <w:szCs w:val="13"/>
                <w:b w:val="1"/>
                <w:bCs w:val="1"/>
                <w:color w:val="auto"/>
              </w:rPr>
              <w:t>Liabilities</w:t>
            </w:r>
          </w:p>
        </w:tc>
        <w:tc>
          <w:tcPr>
            <w:tcW w:w="1520" w:type="dxa"/>
            <w:vAlign w:val="bottom"/>
            <w:shd w:val="clear" w:color="auto" w:fill="CCEEFF"/>
          </w:tcPr>
          <w:p>
            <w:pPr>
              <w:spacing w:after="0"/>
              <w:rPr>
                <w:sz w:val="13"/>
                <w:szCs w:val="13"/>
                <w:color w:val="auto"/>
              </w:rPr>
            </w:pPr>
          </w:p>
        </w:tc>
        <w:tc>
          <w:tcPr>
            <w:tcW w:w="360" w:type="dxa"/>
            <w:vAlign w:val="bottom"/>
            <w:shd w:val="clear" w:color="auto" w:fill="CCEEFF"/>
          </w:tcPr>
          <w:p>
            <w:pPr>
              <w:spacing w:after="0"/>
              <w:rPr>
                <w:sz w:val="13"/>
                <w:szCs w:val="13"/>
                <w:color w:val="auto"/>
              </w:rPr>
            </w:pPr>
          </w:p>
        </w:tc>
        <w:tc>
          <w:tcPr>
            <w:tcW w:w="9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4000" w:type="dxa"/>
            <w:vAlign w:val="bottom"/>
            <w:gridSpan w:val="2"/>
          </w:tcPr>
          <w:p>
            <w:pPr>
              <w:ind w:left="100"/>
              <w:spacing w:after="0"/>
              <w:rPr>
                <w:sz w:val="20"/>
                <w:szCs w:val="20"/>
                <w:color w:val="auto"/>
              </w:rPr>
            </w:pPr>
            <w:r>
              <w:rPr>
                <w:rFonts w:ascii="Arial" w:cs="Arial" w:eastAsia="Arial" w:hAnsi="Arial"/>
                <w:sz w:val="13"/>
                <w:szCs w:val="13"/>
                <w:color w:val="auto"/>
              </w:rPr>
              <w:t>Warrant liability – Series B Preferred Stock</w:t>
            </w:r>
          </w:p>
        </w:tc>
        <w:tc>
          <w:tcPr>
            <w:tcW w:w="1880" w:type="dxa"/>
            <w:vAlign w:val="bottom"/>
            <w:gridSpan w:val="2"/>
          </w:tcPr>
          <w:p>
            <w:pPr>
              <w:jc w:val="right"/>
              <w:ind w:right="300"/>
              <w:spacing w:after="0"/>
              <w:rPr>
                <w:sz w:val="20"/>
                <w:szCs w:val="20"/>
                <w:color w:val="auto"/>
              </w:rPr>
            </w:pPr>
            <w:r>
              <w:rPr>
                <w:rFonts w:ascii="Arial" w:cs="Arial" w:eastAsia="Arial" w:hAnsi="Arial"/>
                <w:sz w:val="13"/>
                <w:szCs w:val="13"/>
                <w:color w:val="auto"/>
              </w:rPr>
              <w:t>$</w:t>
            </w:r>
          </w:p>
        </w:tc>
        <w:tc>
          <w:tcPr>
            <w:tcW w:w="1120" w:type="dxa"/>
            <w:vAlign w:val="bottom"/>
            <w:gridSpan w:val="2"/>
          </w:tcPr>
          <w:p>
            <w:pPr>
              <w:jc w:val="right"/>
              <w:ind w:right="220"/>
              <w:spacing w:after="0"/>
              <w:rPr>
                <w:sz w:val="20"/>
                <w:szCs w:val="20"/>
                <w:color w:val="auto"/>
              </w:rPr>
            </w:pPr>
            <w:r>
              <w:rPr>
                <w:rFonts w:ascii="Arial" w:cs="Arial" w:eastAsia="Arial" w:hAnsi="Arial"/>
                <w:sz w:val="13"/>
                <w:szCs w:val="13"/>
                <w:color w:val="auto"/>
              </w:rPr>
              <w:t>310,118</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1080" w:type="dxa"/>
            <w:vAlign w:val="bottom"/>
            <w:gridSpan w:val="2"/>
          </w:tcPr>
          <w:p>
            <w:pPr>
              <w:jc w:val="right"/>
              <w:ind w:right="100"/>
              <w:spacing w:after="0"/>
              <w:rPr>
                <w:sz w:val="20"/>
                <w:szCs w:val="20"/>
                <w:color w:val="auto"/>
              </w:rPr>
            </w:pPr>
            <w:r>
              <w:rPr>
                <w:rFonts w:ascii="Arial" w:cs="Arial" w:eastAsia="Arial" w:hAnsi="Arial"/>
                <w:sz w:val="13"/>
                <w:szCs w:val="13"/>
                <w:color w:val="auto"/>
              </w:rPr>
              <w:t>310,118</w:t>
            </w:r>
          </w:p>
        </w:tc>
      </w:tr>
      <w:tr>
        <w:trPr>
          <w:trHeight w:val="156"/>
        </w:trPr>
        <w:tc>
          <w:tcPr>
            <w:tcW w:w="20" w:type="dxa"/>
            <w:vAlign w:val="bottom"/>
          </w:tcPr>
          <w:p>
            <w:pPr>
              <w:spacing w:after="0"/>
              <w:rPr>
                <w:sz w:val="13"/>
                <w:szCs w:val="13"/>
                <w:color w:val="auto"/>
              </w:rPr>
            </w:pPr>
          </w:p>
        </w:tc>
        <w:tc>
          <w:tcPr>
            <w:tcW w:w="400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Warrant liability – Series m-1 Preferred Stock</w:t>
            </w:r>
          </w:p>
        </w:tc>
        <w:tc>
          <w:tcPr>
            <w:tcW w:w="1880" w:type="dxa"/>
            <w:vAlign w:val="bottom"/>
            <w:gridSpan w:val="2"/>
            <w:shd w:val="clear" w:color="auto" w:fill="CCEEFF"/>
          </w:tcPr>
          <w:p>
            <w:pPr>
              <w:jc w:val="right"/>
              <w:ind w:right="300"/>
              <w:spacing w:after="0"/>
              <w:rPr>
                <w:sz w:val="20"/>
                <w:szCs w:val="20"/>
                <w:color w:val="auto"/>
              </w:rPr>
            </w:pPr>
            <w:r>
              <w:rPr>
                <w:rFonts w:ascii="Arial" w:cs="Arial" w:eastAsia="Arial" w:hAnsi="Arial"/>
                <w:sz w:val="13"/>
                <w:szCs w:val="13"/>
                <w:color w:val="auto"/>
              </w:rPr>
              <w:t>$</w:t>
            </w:r>
          </w:p>
        </w:tc>
        <w:tc>
          <w:tcPr>
            <w:tcW w:w="11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1,319,218</w:t>
            </w:r>
          </w:p>
        </w:tc>
        <w:tc>
          <w:tcPr>
            <w:tcW w:w="260" w:type="dxa"/>
            <w:vAlign w:val="bottom"/>
            <w:shd w:val="clear" w:color="auto" w:fill="CCEEFF"/>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shd w:val="clear" w:color="auto" w:fill="CCEEFF"/>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1,319,218</w:t>
            </w: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4000" w:type="dxa"/>
            <w:vAlign w:val="bottom"/>
            <w:gridSpan w:val="2"/>
          </w:tcPr>
          <w:p>
            <w:pPr>
              <w:ind w:left="100"/>
              <w:spacing w:after="0"/>
              <w:rPr>
                <w:sz w:val="20"/>
                <w:szCs w:val="20"/>
                <w:color w:val="auto"/>
              </w:rPr>
            </w:pPr>
            <w:r>
              <w:rPr>
                <w:rFonts w:ascii="Arial" w:cs="Arial" w:eastAsia="Arial" w:hAnsi="Arial"/>
                <w:sz w:val="13"/>
                <w:szCs w:val="13"/>
                <w:color w:val="auto"/>
              </w:rPr>
              <w:t>Warrant liability – Series m-3 Preferred Stock</w:t>
            </w:r>
          </w:p>
        </w:tc>
        <w:tc>
          <w:tcPr>
            <w:tcW w:w="1880" w:type="dxa"/>
            <w:vAlign w:val="bottom"/>
            <w:gridSpan w:val="2"/>
          </w:tcPr>
          <w:p>
            <w:pPr>
              <w:jc w:val="right"/>
              <w:ind w:right="300"/>
              <w:spacing w:after="0"/>
              <w:rPr>
                <w:sz w:val="20"/>
                <w:szCs w:val="20"/>
                <w:color w:val="auto"/>
              </w:rPr>
            </w:pPr>
            <w:r>
              <w:rPr>
                <w:rFonts w:ascii="Arial" w:cs="Arial" w:eastAsia="Arial" w:hAnsi="Arial"/>
                <w:sz w:val="13"/>
                <w:szCs w:val="13"/>
                <w:color w:val="auto"/>
              </w:rPr>
              <w:t>$</w:t>
            </w:r>
          </w:p>
        </w:tc>
        <w:tc>
          <w:tcPr>
            <w:tcW w:w="1120" w:type="dxa"/>
            <w:vAlign w:val="bottom"/>
            <w:gridSpan w:val="2"/>
          </w:tcPr>
          <w:p>
            <w:pPr>
              <w:jc w:val="right"/>
              <w:ind w:right="220"/>
              <w:spacing w:after="0"/>
              <w:rPr>
                <w:sz w:val="20"/>
                <w:szCs w:val="20"/>
                <w:color w:val="auto"/>
              </w:rPr>
            </w:pPr>
            <w:r>
              <w:rPr>
                <w:rFonts w:ascii="Arial" w:cs="Arial" w:eastAsia="Arial" w:hAnsi="Arial"/>
                <w:sz w:val="13"/>
                <w:szCs w:val="13"/>
                <w:color w:val="auto"/>
              </w:rPr>
              <w:t>5,990,355</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tcPr>
          <w:p>
            <w:pPr>
              <w:jc w:val="right"/>
              <w:spacing w:after="0"/>
              <w:rPr>
                <w:sz w:val="20"/>
                <w:szCs w:val="20"/>
                <w:color w:val="auto"/>
              </w:rPr>
            </w:pPr>
            <w:r>
              <w:rPr>
                <w:rFonts w:ascii="Arial" w:cs="Arial" w:eastAsia="Arial" w:hAnsi="Arial"/>
                <w:sz w:val="13"/>
                <w:szCs w:val="13"/>
                <w:color w:val="auto"/>
              </w:rPr>
              <w:t>5,990,355</w:t>
            </w:r>
          </w:p>
        </w:tc>
        <w:tc>
          <w:tcPr>
            <w:tcW w:w="100" w:type="dxa"/>
            <w:vAlign w:val="bottom"/>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400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Warrant liability – Series S Preferred Stock</w:t>
            </w:r>
          </w:p>
        </w:tc>
        <w:tc>
          <w:tcPr>
            <w:tcW w:w="1880" w:type="dxa"/>
            <w:vAlign w:val="bottom"/>
            <w:gridSpan w:val="2"/>
            <w:shd w:val="clear" w:color="auto" w:fill="CCEEFF"/>
          </w:tcPr>
          <w:p>
            <w:pPr>
              <w:jc w:val="right"/>
              <w:ind w:right="300"/>
              <w:spacing w:after="0"/>
              <w:rPr>
                <w:sz w:val="20"/>
                <w:szCs w:val="20"/>
                <w:color w:val="auto"/>
              </w:rPr>
            </w:pPr>
            <w:r>
              <w:rPr>
                <w:rFonts w:ascii="Arial" w:cs="Arial" w:eastAsia="Arial" w:hAnsi="Arial"/>
                <w:sz w:val="13"/>
                <w:szCs w:val="13"/>
                <w:color w:val="auto"/>
              </w:rPr>
              <w:t>$</w:t>
            </w:r>
          </w:p>
        </w:tc>
        <w:tc>
          <w:tcPr>
            <w:tcW w:w="11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8,720,495</w:t>
            </w:r>
          </w:p>
        </w:tc>
        <w:tc>
          <w:tcPr>
            <w:tcW w:w="260" w:type="dxa"/>
            <w:vAlign w:val="bottom"/>
            <w:shd w:val="clear" w:color="auto" w:fill="CCEEFF"/>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shd w:val="clear" w:color="auto" w:fill="CCEEFF"/>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8,720,495</w:t>
            </w:r>
          </w:p>
        </w:tc>
        <w:tc>
          <w:tcPr>
            <w:tcW w:w="100" w:type="dxa"/>
            <w:vAlign w:val="bottom"/>
            <w:shd w:val="clear" w:color="auto" w:fill="CCEEFF"/>
          </w:tcPr>
          <w:p>
            <w:pPr>
              <w:spacing w:after="0"/>
              <w:rPr>
                <w:sz w:val="13"/>
                <w:szCs w:val="13"/>
                <w:color w:val="auto"/>
              </w:rPr>
            </w:pPr>
          </w:p>
        </w:tc>
      </w:tr>
      <w:tr>
        <w:trPr>
          <w:trHeight w:val="469"/>
        </w:trPr>
        <w:tc>
          <w:tcPr>
            <w:tcW w:w="20" w:type="dxa"/>
            <w:vAlign w:val="bottom"/>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3300" w:type="dxa"/>
            <w:vAlign w:val="bottom"/>
            <w:tcBorders>
              <w:bottom w:val="single" w:sz="8" w:color="auto"/>
            </w:tcBorders>
          </w:tcPr>
          <w:p>
            <w:pPr>
              <w:spacing w:after="0"/>
              <w:rPr>
                <w:sz w:val="24"/>
                <w:szCs w:val="24"/>
                <w:color w:val="auto"/>
              </w:rPr>
            </w:pPr>
          </w:p>
        </w:tc>
        <w:tc>
          <w:tcPr>
            <w:tcW w:w="1880" w:type="dxa"/>
            <w:vAlign w:val="bottom"/>
            <w:tcBorders>
              <w:bottom w:val="single" w:sz="8" w:color="auto"/>
            </w:tcBorders>
            <w:gridSpan w:val="2"/>
          </w:tcPr>
          <w:p>
            <w:pPr>
              <w:jc w:val="right"/>
              <w:ind w:right="140"/>
              <w:spacing w:after="0"/>
              <w:rPr>
                <w:sz w:val="20"/>
                <w:szCs w:val="20"/>
                <w:color w:val="auto"/>
              </w:rPr>
            </w:pPr>
            <w:r>
              <w:rPr>
                <w:rFonts w:ascii="Arial" w:cs="Arial" w:eastAsia="Arial" w:hAnsi="Arial"/>
                <w:sz w:val="13"/>
                <w:szCs w:val="13"/>
                <w:color w:val="auto"/>
              </w:rPr>
              <w:t>F-38</w:t>
            </w:r>
          </w:p>
        </w:tc>
        <w:tc>
          <w:tcPr>
            <w:tcW w:w="90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r>
    </w:tbl>
    <w:p>
      <w:pPr>
        <w:sectPr>
          <w:pgSz w:w="11900" w:h="16838" w:orient="portrait"/>
          <w:cols w:equalWidth="0" w:num="1">
            <w:col w:w="11280"/>
          </w:cols>
          <w:pgMar w:left="300" w:top="694" w:right="319" w:bottom="1440" w:gutter="0" w:footer="0" w:header="0"/>
        </w:sectPr>
      </w:pPr>
    </w:p>
    <w:bookmarkStart w:id="100" w:name="page101"/>
    <w:bookmarkEnd w:id="100"/>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168"/>
        </w:trPr>
        <w:tc>
          <w:tcPr>
            <w:tcW w:w="5540" w:type="dxa"/>
            <w:vAlign w:val="bottom"/>
            <w:gridSpan w:val="3"/>
          </w:tcPr>
          <w:p>
            <w:pPr>
              <w:spacing w:after="0"/>
              <w:rPr>
                <w:sz w:val="20"/>
                <w:szCs w:val="20"/>
                <w:color w:val="auto"/>
              </w:rPr>
            </w:pPr>
            <w:r>
              <w:rPr>
                <w:rFonts w:ascii="Arial" w:cs="Arial" w:eastAsia="Arial" w:hAnsi="Arial"/>
                <w:sz w:val="13"/>
                <w:szCs w:val="13"/>
                <w:b w:val="1"/>
                <w:bCs w:val="1"/>
                <w:color w:val="auto"/>
              </w:rPr>
              <w:t>NOTE 3: Fair Value Measurement (Continued)</w:t>
            </w:r>
          </w:p>
        </w:tc>
        <w:tc>
          <w:tcPr>
            <w:tcW w:w="28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0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00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23"/>
        </w:trPr>
        <w:tc>
          <w:tcPr>
            <w:tcW w:w="2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45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200" w:type="dxa"/>
            <w:vAlign w:val="bottom"/>
            <w:gridSpan w:val="2"/>
          </w:tcPr>
          <w:p>
            <w:pPr>
              <w:ind w:left="200"/>
              <w:spacing w:after="0"/>
              <w:rPr>
                <w:sz w:val="20"/>
                <w:szCs w:val="20"/>
                <w:color w:val="auto"/>
              </w:rPr>
            </w:pPr>
            <w:r>
              <w:rPr>
                <w:rFonts w:ascii="Arial" w:cs="Arial" w:eastAsia="Arial" w:hAnsi="Arial"/>
                <w:sz w:val="13"/>
                <w:szCs w:val="13"/>
                <w:b w:val="1"/>
                <w:bCs w:val="1"/>
                <w:color w:val="auto"/>
              </w:rPr>
              <w:t>Total</w:t>
            </w:r>
          </w:p>
        </w:tc>
        <w:tc>
          <w:tcPr>
            <w:tcW w:w="260" w:type="dxa"/>
            <w:vAlign w:val="bottom"/>
          </w:tcPr>
          <w:p>
            <w:pPr>
              <w:spacing w:after="0"/>
              <w:rPr>
                <w:sz w:val="24"/>
                <w:szCs w:val="24"/>
                <w:color w:val="auto"/>
              </w:rPr>
            </w:pPr>
          </w:p>
        </w:tc>
        <w:tc>
          <w:tcPr>
            <w:tcW w:w="1220" w:type="dxa"/>
            <w:vAlign w:val="bottom"/>
            <w:gridSpan w:val="2"/>
          </w:tcPr>
          <w:p>
            <w:pPr>
              <w:ind w:left="180"/>
              <w:spacing w:after="0"/>
              <w:rPr>
                <w:sz w:val="20"/>
                <w:szCs w:val="20"/>
                <w:color w:val="auto"/>
              </w:rPr>
            </w:pPr>
            <w:r>
              <w:rPr>
                <w:rFonts w:ascii="Arial" w:cs="Arial" w:eastAsia="Arial" w:hAnsi="Arial"/>
                <w:sz w:val="13"/>
                <w:szCs w:val="13"/>
                <w:b w:val="1"/>
                <w:bCs w:val="1"/>
                <w:color w:val="auto"/>
              </w:rPr>
              <w:t>Level 1</w:t>
            </w:r>
          </w:p>
        </w:tc>
        <w:tc>
          <w:tcPr>
            <w:tcW w:w="1000" w:type="dxa"/>
            <w:vAlign w:val="bottom"/>
          </w:tcPr>
          <w:p>
            <w:pPr>
              <w:jc w:val="right"/>
              <w:ind w:right="128"/>
              <w:spacing w:after="0"/>
              <w:rPr>
                <w:sz w:val="20"/>
                <w:szCs w:val="20"/>
                <w:color w:val="auto"/>
              </w:rPr>
            </w:pPr>
            <w:r>
              <w:rPr>
                <w:rFonts w:ascii="Arial" w:cs="Arial" w:eastAsia="Arial" w:hAnsi="Arial"/>
                <w:sz w:val="13"/>
                <w:szCs w:val="13"/>
                <w:b w:val="1"/>
                <w:bCs w:val="1"/>
                <w:color w:val="auto"/>
              </w:rPr>
              <w:t>Level 2</w:t>
            </w: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080" w:type="dxa"/>
            <w:vAlign w:val="bottom"/>
            <w:gridSpan w:val="2"/>
          </w:tcPr>
          <w:p>
            <w:pPr>
              <w:jc w:val="right"/>
              <w:ind w:right="520"/>
              <w:spacing w:after="0"/>
              <w:rPr>
                <w:sz w:val="20"/>
                <w:szCs w:val="20"/>
                <w:color w:val="auto"/>
              </w:rPr>
            </w:pPr>
            <w:r>
              <w:rPr>
                <w:rFonts w:ascii="Arial" w:cs="Arial" w:eastAsia="Arial" w:hAnsi="Arial"/>
                <w:sz w:val="13"/>
                <w:szCs w:val="13"/>
                <w:b w:val="1"/>
                <w:bCs w:val="1"/>
                <w:color w:val="auto"/>
              </w:rPr>
              <w:t>Level 3</w:t>
            </w:r>
          </w:p>
        </w:tc>
      </w:tr>
      <w:tr>
        <w:trPr>
          <w:trHeight w:val="127"/>
        </w:trPr>
        <w:tc>
          <w:tcPr>
            <w:tcW w:w="20" w:type="dxa"/>
            <w:vAlign w:val="bottom"/>
          </w:tcPr>
          <w:p>
            <w:pPr>
              <w:spacing w:after="0"/>
              <w:rPr>
                <w:sz w:val="11"/>
                <w:szCs w:val="11"/>
                <w:color w:val="auto"/>
              </w:rPr>
            </w:pPr>
          </w:p>
        </w:tc>
        <w:tc>
          <w:tcPr>
            <w:tcW w:w="5520" w:type="dxa"/>
            <w:vAlign w:val="bottom"/>
            <w:tcBorders>
              <w:top w:val="single" w:sz="8" w:color="CCEEFF"/>
            </w:tcBorders>
            <w:gridSpan w:val="2"/>
            <w:shd w:val="clear" w:color="auto" w:fill="CCEEFF"/>
          </w:tcPr>
          <w:p>
            <w:pPr>
              <w:spacing w:after="0" w:line="118" w:lineRule="exact"/>
              <w:rPr>
                <w:sz w:val="20"/>
                <w:szCs w:val="20"/>
                <w:color w:val="auto"/>
              </w:rPr>
            </w:pPr>
            <w:r>
              <w:rPr>
                <w:rFonts w:ascii="Arial" w:cs="Arial" w:eastAsia="Arial" w:hAnsi="Arial"/>
                <w:sz w:val="13"/>
                <w:szCs w:val="13"/>
                <w:color w:val="auto"/>
              </w:rPr>
              <w:t>December 31, 2020</w:t>
            </w:r>
          </w:p>
        </w:tc>
        <w:tc>
          <w:tcPr>
            <w:tcW w:w="280" w:type="dxa"/>
            <w:vAlign w:val="bottom"/>
            <w:tcBorders>
              <w:top w:val="single" w:sz="8" w:color="auto"/>
            </w:tcBorders>
            <w:shd w:val="clear" w:color="auto" w:fill="CCEEFF"/>
          </w:tcPr>
          <w:p>
            <w:pPr>
              <w:spacing w:after="0"/>
              <w:rPr>
                <w:sz w:val="11"/>
                <w:szCs w:val="11"/>
                <w:color w:val="auto"/>
              </w:rPr>
            </w:pPr>
          </w:p>
        </w:tc>
        <w:tc>
          <w:tcPr>
            <w:tcW w:w="980" w:type="dxa"/>
            <w:vAlign w:val="bottom"/>
            <w:tcBorders>
              <w:top w:val="single" w:sz="8" w:color="auto"/>
            </w:tcBorders>
            <w:shd w:val="clear" w:color="auto" w:fill="CCEEFF"/>
          </w:tcPr>
          <w:p>
            <w:pPr>
              <w:spacing w:after="0"/>
              <w:rPr>
                <w:sz w:val="11"/>
                <w:szCs w:val="11"/>
                <w:color w:val="auto"/>
              </w:rPr>
            </w:pPr>
          </w:p>
        </w:tc>
        <w:tc>
          <w:tcPr>
            <w:tcW w:w="220" w:type="dxa"/>
            <w:vAlign w:val="bottom"/>
            <w:tcBorders>
              <w:top w:val="single" w:sz="8" w:color="CCEEFF"/>
            </w:tcBorders>
            <w:shd w:val="clear" w:color="auto" w:fill="CCEEFF"/>
          </w:tcPr>
          <w:p>
            <w:pPr>
              <w:spacing w:after="0"/>
              <w:rPr>
                <w:sz w:val="11"/>
                <w:szCs w:val="11"/>
                <w:color w:val="auto"/>
              </w:rPr>
            </w:pPr>
          </w:p>
        </w:tc>
        <w:tc>
          <w:tcPr>
            <w:tcW w:w="260" w:type="dxa"/>
            <w:vAlign w:val="bottom"/>
            <w:tcBorders>
              <w:top w:val="single" w:sz="8" w:color="auto"/>
            </w:tcBorders>
            <w:shd w:val="clear" w:color="auto" w:fill="CCEEFF"/>
          </w:tcPr>
          <w:p>
            <w:pPr>
              <w:spacing w:after="0"/>
              <w:rPr>
                <w:sz w:val="11"/>
                <w:szCs w:val="11"/>
                <w:color w:val="auto"/>
              </w:rPr>
            </w:pPr>
          </w:p>
        </w:tc>
        <w:tc>
          <w:tcPr>
            <w:tcW w:w="1000" w:type="dxa"/>
            <w:vAlign w:val="bottom"/>
            <w:tcBorders>
              <w:top w:val="single" w:sz="8" w:color="auto"/>
            </w:tcBorders>
            <w:shd w:val="clear" w:color="auto" w:fill="CCEEFF"/>
          </w:tcPr>
          <w:p>
            <w:pPr>
              <w:spacing w:after="0"/>
              <w:rPr>
                <w:sz w:val="11"/>
                <w:szCs w:val="11"/>
                <w:color w:val="auto"/>
              </w:rPr>
            </w:pPr>
          </w:p>
        </w:tc>
        <w:tc>
          <w:tcPr>
            <w:tcW w:w="220" w:type="dxa"/>
            <w:vAlign w:val="bottom"/>
            <w:tcBorders>
              <w:top w:val="single" w:sz="8" w:color="CCEEFF"/>
            </w:tcBorders>
            <w:shd w:val="clear" w:color="auto" w:fill="CCEEFF"/>
          </w:tcPr>
          <w:p>
            <w:pPr>
              <w:spacing w:after="0"/>
              <w:rPr>
                <w:sz w:val="11"/>
                <w:szCs w:val="11"/>
                <w:color w:val="auto"/>
              </w:rPr>
            </w:pPr>
          </w:p>
        </w:tc>
        <w:tc>
          <w:tcPr>
            <w:tcW w:w="1000" w:type="dxa"/>
            <w:vAlign w:val="bottom"/>
            <w:tcBorders>
              <w:top w:val="single" w:sz="8" w:color="auto"/>
            </w:tcBorders>
            <w:shd w:val="clear" w:color="auto" w:fill="CCEEFF"/>
          </w:tcPr>
          <w:p>
            <w:pPr>
              <w:spacing w:after="0"/>
              <w:rPr>
                <w:sz w:val="11"/>
                <w:szCs w:val="11"/>
                <w:color w:val="auto"/>
              </w:rPr>
            </w:pPr>
          </w:p>
        </w:tc>
        <w:tc>
          <w:tcPr>
            <w:tcW w:w="240" w:type="dxa"/>
            <w:vAlign w:val="bottom"/>
            <w:tcBorders>
              <w:top w:val="single" w:sz="8" w:color="auto"/>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c>
          <w:tcPr>
            <w:tcW w:w="120" w:type="dxa"/>
            <w:vAlign w:val="bottom"/>
            <w:tcBorders>
              <w:top w:val="single" w:sz="8" w:color="CCEEFF"/>
            </w:tcBorders>
            <w:shd w:val="clear" w:color="auto" w:fill="CCEEFF"/>
          </w:tcPr>
          <w:p>
            <w:pPr>
              <w:spacing w:after="0"/>
              <w:rPr>
                <w:sz w:val="11"/>
                <w:szCs w:val="11"/>
                <w:color w:val="auto"/>
              </w:rPr>
            </w:pPr>
          </w:p>
        </w:tc>
        <w:tc>
          <w:tcPr>
            <w:tcW w:w="240" w:type="dxa"/>
            <w:vAlign w:val="bottom"/>
            <w:tcBorders>
              <w:top w:val="single" w:sz="8" w:color="auto"/>
            </w:tcBorders>
            <w:shd w:val="clear" w:color="auto" w:fill="CCEEFF"/>
          </w:tcPr>
          <w:p>
            <w:pPr>
              <w:spacing w:after="0"/>
              <w:rPr>
                <w:sz w:val="11"/>
                <w:szCs w:val="11"/>
                <w:color w:val="auto"/>
              </w:rPr>
            </w:pPr>
          </w:p>
        </w:tc>
        <w:tc>
          <w:tcPr>
            <w:tcW w:w="980" w:type="dxa"/>
            <w:vAlign w:val="bottom"/>
            <w:tcBorders>
              <w:top w:val="single" w:sz="8" w:color="auto"/>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r>
      <w:tr>
        <w:trPr>
          <w:trHeight w:val="156"/>
        </w:trPr>
        <w:tc>
          <w:tcPr>
            <w:tcW w:w="20" w:type="dxa"/>
            <w:vAlign w:val="bottom"/>
          </w:tcPr>
          <w:p>
            <w:pPr>
              <w:spacing w:after="0"/>
              <w:rPr>
                <w:sz w:val="13"/>
                <w:szCs w:val="13"/>
                <w:color w:val="auto"/>
              </w:rPr>
            </w:pPr>
          </w:p>
        </w:tc>
        <w:tc>
          <w:tcPr>
            <w:tcW w:w="1000" w:type="dxa"/>
            <w:vAlign w:val="bottom"/>
            <w:tcBorders>
              <w:top w:val="single" w:sz="8" w:color="auto"/>
            </w:tcBorders>
          </w:tcPr>
          <w:p>
            <w:pPr>
              <w:spacing w:after="0"/>
              <w:rPr>
                <w:sz w:val="20"/>
                <w:szCs w:val="20"/>
                <w:color w:val="auto"/>
              </w:rPr>
            </w:pPr>
            <w:r>
              <w:rPr>
                <w:rFonts w:ascii="Arial" w:cs="Arial" w:eastAsia="Arial" w:hAnsi="Arial"/>
                <w:sz w:val="13"/>
                <w:szCs w:val="13"/>
                <w:b w:val="1"/>
                <w:bCs w:val="1"/>
                <w:color w:val="auto"/>
              </w:rPr>
              <w:t>Assets</w:t>
            </w:r>
          </w:p>
        </w:tc>
        <w:tc>
          <w:tcPr>
            <w:tcW w:w="4520" w:type="dxa"/>
            <w:vAlign w:val="bottom"/>
            <w:tcBorders>
              <w:top w:val="single" w:sz="8" w:color="CCEEFF"/>
            </w:tcBorders>
          </w:tcPr>
          <w:p>
            <w:pPr>
              <w:spacing w:after="0"/>
              <w:rPr>
                <w:sz w:val="13"/>
                <w:szCs w:val="13"/>
                <w:color w:val="auto"/>
              </w:rPr>
            </w:pPr>
          </w:p>
        </w:tc>
        <w:tc>
          <w:tcPr>
            <w:tcW w:w="280" w:type="dxa"/>
            <w:vAlign w:val="bottom"/>
            <w:tcBorders>
              <w:top w:val="single" w:sz="8" w:color="CCEEFF"/>
            </w:tcBorders>
          </w:tcPr>
          <w:p>
            <w:pPr>
              <w:spacing w:after="0"/>
              <w:rPr>
                <w:sz w:val="13"/>
                <w:szCs w:val="13"/>
                <w:color w:val="auto"/>
              </w:rPr>
            </w:pPr>
          </w:p>
        </w:tc>
        <w:tc>
          <w:tcPr>
            <w:tcW w:w="98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260" w:type="dxa"/>
            <w:vAlign w:val="bottom"/>
            <w:tcBorders>
              <w:top w:val="single" w:sz="8" w:color="CCEEFF"/>
            </w:tcBorders>
          </w:tcPr>
          <w:p>
            <w:pPr>
              <w:spacing w:after="0"/>
              <w:rPr>
                <w:sz w:val="13"/>
                <w:szCs w:val="13"/>
                <w:color w:val="auto"/>
              </w:rPr>
            </w:pPr>
          </w:p>
        </w:tc>
        <w:tc>
          <w:tcPr>
            <w:tcW w:w="1000" w:type="dxa"/>
            <w:vAlign w:val="bottom"/>
            <w:tcBorders>
              <w:top w:val="single" w:sz="8" w:color="CCEEFF"/>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1000" w:type="dxa"/>
            <w:vAlign w:val="bottom"/>
            <w:tcBorders>
              <w:top w:val="single" w:sz="8" w:color="CCEEFF"/>
            </w:tcBorders>
          </w:tcPr>
          <w:p>
            <w:pPr>
              <w:spacing w:after="0"/>
              <w:rPr>
                <w:sz w:val="13"/>
                <w:szCs w:val="13"/>
                <w:color w:val="auto"/>
              </w:rPr>
            </w:pPr>
          </w:p>
        </w:tc>
        <w:tc>
          <w:tcPr>
            <w:tcW w:w="240" w:type="dxa"/>
            <w:vAlign w:val="bottom"/>
            <w:tcBorders>
              <w:top w:val="single" w:sz="8" w:color="CCEEFF"/>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c>
          <w:tcPr>
            <w:tcW w:w="120" w:type="dxa"/>
            <w:vAlign w:val="bottom"/>
            <w:tcBorders>
              <w:top w:val="single" w:sz="8" w:color="CCEEFF"/>
            </w:tcBorders>
          </w:tcPr>
          <w:p>
            <w:pPr>
              <w:spacing w:after="0"/>
              <w:rPr>
                <w:sz w:val="13"/>
                <w:szCs w:val="13"/>
                <w:color w:val="auto"/>
              </w:rPr>
            </w:pPr>
          </w:p>
        </w:tc>
        <w:tc>
          <w:tcPr>
            <w:tcW w:w="240" w:type="dxa"/>
            <w:vAlign w:val="bottom"/>
            <w:tcBorders>
              <w:top w:val="single" w:sz="8" w:color="CCEEFF"/>
            </w:tcBorders>
          </w:tcPr>
          <w:p>
            <w:pPr>
              <w:spacing w:after="0"/>
              <w:rPr>
                <w:sz w:val="13"/>
                <w:szCs w:val="13"/>
                <w:color w:val="auto"/>
              </w:rPr>
            </w:pPr>
          </w:p>
        </w:tc>
        <w:tc>
          <w:tcPr>
            <w:tcW w:w="980" w:type="dxa"/>
            <w:vAlign w:val="bottom"/>
            <w:tcBorders>
              <w:top w:val="single" w:sz="8" w:color="CCEEFF"/>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40"/>
              <w:spacing w:after="0"/>
              <w:rPr>
                <w:sz w:val="20"/>
                <w:szCs w:val="20"/>
                <w:color w:val="auto"/>
              </w:rPr>
            </w:pPr>
            <w:r>
              <w:rPr>
                <w:rFonts w:ascii="Arial" w:cs="Arial" w:eastAsia="Arial" w:hAnsi="Arial"/>
                <w:sz w:val="13"/>
                <w:szCs w:val="13"/>
                <w:color w:val="auto"/>
              </w:rPr>
              <w:t>Cash equivalents and restricted cash:</w:t>
            </w:r>
          </w:p>
        </w:tc>
        <w:tc>
          <w:tcPr>
            <w:tcW w:w="28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Money market funds</w:t>
            </w:r>
          </w:p>
        </w:tc>
        <w:tc>
          <w:tcPr>
            <w:tcW w:w="280" w:type="dxa"/>
            <w:vAlign w:val="bottom"/>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tcPr>
          <w:p>
            <w:pPr>
              <w:jc w:val="right"/>
              <w:ind w:right="220"/>
              <w:spacing w:after="0"/>
              <w:rPr>
                <w:sz w:val="20"/>
                <w:szCs w:val="20"/>
                <w:color w:val="auto"/>
              </w:rPr>
            </w:pPr>
            <w:r>
              <w:rPr>
                <w:rFonts w:ascii="Arial" w:cs="Arial" w:eastAsia="Arial" w:hAnsi="Arial"/>
                <w:sz w:val="13"/>
                <w:szCs w:val="13"/>
                <w:color w:val="auto"/>
              </w:rPr>
              <w:t>4,422,664</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4,422,664</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spacing w:after="0"/>
              <w:rPr>
                <w:sz w:val="20"/>
                <w:szCs w:val="20"/>
                <w:color w:val="auto"/>
              </w:rPr>
            </w:pPr>
            <w:r>
              <w:rPr>
                <w:rFonts w:ascii="Arial" w:cs="Arial" w:eastAsia="Arial" w:hAnsi="Arial"/>
                <w:sz w:val="13"/>
                <w:szCs w:val="13"/>
                <w:b w:val="1"/>
                <w:bCs w:val="1"/>
                <w:color w:val="auto"/>
              </w:rPr>
              <w:t>Liabilities</w:t>
            </w:r>
          </w:p>
        </w:tc>
        <w:tc>
          <w:tcPr>
            <w:tcW w:w="28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00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240" w:type="dxa"/>
            <w:vAlign w:val="bottom"/>
            <w:shd w:val="clear" w:color="auto" w:fill="CCEEFF"/>
          </w:tcPr>
          <w:p>
            <w:pPr>
              <w:spacing w:after="0"/>
              <w:rPr>
                <w:sz w:val="13"/>
                <w:szCs w:val="13"/>
                <w:color w:val="auto"/>
              </w:rPr>
            </w:pPr>
          </w:p>
        </w:tc>
        <w:tc>
          <w:tcPr>
            <w:tcW w:w="98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Warrant liability – Series B Preferred Stock</w:t>
            </w:r>
          </w:p>
        </w:tc>
        <w:tc>
          <w:tcPr>
            <w:tcW w:w="280" w:type="dxa"/>
            <w:vAlign w:val="bottom"/>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tcPr>
          <w:p>
            <w:pPr>
              <w:jc w:val="right"/>
              <w:ind w:right="220"/>
              <w:spacing w:after="0"/>
              <w:rPr>
                <w:sz w:val="20"/>
                <w:szCs w:val="20"/>
                <w:color w:val="auto"/>
              </w:rPr>
            </w:pPr>
            <w:r>
              <w:rPr>
                <w:rFonts w:ascii="Arial" w:cs="Arial" w:eastAsia="Arial" w:hAnsi="Arial"/>
                <w:sz w:val="13"/>
                <w:szCs w:val="13"/>
                <w:color w:val="auto"/>
              </w:rPr>
              <w:t>87,586</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1080" w:type="dxa"/>
            <w:vAlign w:val="bottom"/>
            <w:gridSpan w:val="2"/>
          </w:tcPr>
          <w:p>
            <w:pPr>
              <w:jc w:val="right"/>
              <w:ind w:right="100"/>
              <w:spacing w:after="0"/>
              <w:rPr>
                <w:sz w:val="20"/>
                <w:szCs w:val="20"/>
                <w:color w:val="auto"/>
              </w:rPr>
            </w:pPr>
            <w:r>
              <w:rPr>
                <w:rFonts w:ascii="Arial" w:cs="Arial" w:eastAsia="Arial" w:hAnsi="Arial"/>
                <w:sz w:val="13"/>
                <w:szCs w:val="13"/>
                <w:color w:val="auto"/>
              </w:rPr>
              <w:t>87,586</w:t>
            </w: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Warrant liability – Series m-1 Preferred Stock</w:t>
            </w: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315,159</w:t>
            </w:r>
          </w:p>
        </w:tc>
        <w:tc>
          <w:tcPr>
            <w:tcW w:w="260" w:type="dxa"/>
            <w:vAlign w:val="bottom"/>
            <w:shd w:val="clear" w:color="auto" w:fill="CCEEFF"/>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shd w:val="clear" w:color="auto" w:fill="CCEEFF"/>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315,159</w:t>
            </w:r>
          </w:p>
        </w:tc>
        <w:tc>
          <w:tcPr>
            <w:tcW w:w="100" w:type="dxa"/>
            <w:vAlign w:val="bottom"/>
            <w:shd w:val="clear" w:color="auto" w:fill="CCEEFF"/>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tcPr>
          <w:p>
            <w:pPr>
              <w:ind w:left="100"/>
              <w:spacing w:after="0"/>
              <w:rPr>
                <w:sz w:val="20"/>
                <w:szCs w:val="20"/>
                <w:color w:val="auto"/>
              </w:rPr>
            </w:pPr>
            <w:r>
              <w:rPr>
                <w:rFonts w:ascii="Arial" w:cs="Arial" w:eastAsia="Arial" w:hAnsi="Arial"/>
                <w:sz w:val="13"/>
                <w:szCs w:val="13"/>
                <w:color w:val="auto"/>
              </w:rPr>
              <w:t>Warrant liability – Series m-3 Preferred Stock</w:t>
            </w:r>
          </w:p>
        </w:tc>
        <w:tc>
          <w:tcPr>
            <w:tcW w:w="280" w:type="dxa"/>
            <w:vAlign w:val="bottom"/>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tcPr>
          <w:p>
            <w:pPr>
              <w:jc w:val="right"/>
              <w:ind w:right="220"/>
              <w:spacing w:after="0"/>
              <w:rPr>
                <w:sz w:val="20"/>
                <w:szCs w:val="20"/>
                <w:color w:val="auto"/>
              </w:rPr>
            </w:pPr>
            <w:r>
              <w:rPr>
                <w:rFonts w:ascii="Arial" w:cs="Arial" w:eastAsia="Arial" w:hAnsi="Arial"/>
                <w:sz w:val="13"/>
                <w:szCs w:val="13"/>
                <w:color w:val="auto"/>
              </w:rPr>
              <w:t>1,219,280</w:t>
            </w:r>
          </w:p>
        </w:tc>
        <w:tc>
          <w:tcPr>
            <w:tcW w:w="260" w:type="dxa"/>
            <w:vAlign w:val="bottom"/>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tcPr>
          <w:p>
            <w:pPr>
              <w:jc w:val="right"/>
              <w:spacing w:after="0"/>
              <w:rPr>
                <w:sz w:val="20"/>
                <w:szCs w:val="20"/>
                <w:color w:val="auto"/>
              </w:rPr>
            </w:pPr>
            <w:r>
              <w:rPr>
                <w:rFonts w:ascii="Arial" w:cs="Arial" w:eastAsia="Arial" w:hAnsi="Arial"/>
                <w:sz w:val="13"/>
                <w:szCs w:val="13"/>
                <w:color w:val="auto"/>
              </w:rPr>
              <w:t>1,219,280</w:t>
            </w:r>
          </w:p>
        </w:tc>
        <w:tc>
          <w:tcPr>
            <w:tcW w:w="100" w:type="dxa"/>
            <w:vAlign w:val="bottom"/>
          </w:tcPr>
          <w:p>
            <w:pPr>
              <w:spacing w:after="0"/>
              <w:rPr>
                <w:sz w:val="13"/>
                <w:szCs w:val="13"/>
                <w:color w:val="auto"/>
              </w:rPr>
            </w:pPr>
          </w:p>
        </w:tc>
      </w:tr>
      <w:tr>
        <w:trPr>
          <w:trHeight w:val="156"/>
        </w:trPr>
        <w:tc>
          <w:tcPr>
            <w:tcW w:w="20" w:type="dxa"/>
            <w:vAlign w:val="bottom"/>
          </w:tcPr>
          <w:p>
            <w:pPr>
              <w:spacing w:after="0"/>
              <w:rPr>
                <w:sz w:val="13"/>
                <w:szCs w:val="13"/>
                <w:color w:val="auto"/>
              </w:rPr>
            </w:pPr>
          </w:p>
        </w:tc>
        <w:tc>
          <w:tcPr>
            <w:tcW w:w="5520" w:type="dxa"/>
            <w:vAlign w:val="bottom"/>
            <w:gridSpan w:val="2"/>
            <w:shd w:val="clear" w:color="auto" w:fill="CCEEFF"/>
          </w:tcPr>
          <w:p>
            <w:pPr>
              <w:ind w:left="100"/>
              <w:spacing w:after="0"/>
              <w:rPr>
                <w:sz w:val="20"/>
                <w:szCs w:val="20"/>
                <w:color w:val="auto"/>
              </w:rPr>
            </w:pPr>
            <w:r>
              <w:rPr>
                <w:rFonts w:ascii="Arial" w:cs="Arial" w:eastAsia="Arial" w:hAnsi="Arial"/>
                <w:sz w:val="13"/>
                <w:szCs w:val="13"/>
                <w:color w:val="auto"/>
              </w:rPr>
              <w:t>Warrant liability – Series S Preferred Stock</w:t>
            </w:r>
          </w:p>
        </w:tc>
        <w:tc>
          <w:tcPr>
            <w:tcW w:w="280" w:type="dxa"/>
            <w:vAlign w:val="bottom"/>
            <w:shd w:val="clear" w:color="auto" w:fill="CCEEFF"/>
          </w:tcPr>
          <w:p>
            <w:pPr>
              <w:jc w:val="right"/>
              <w:ind w:right="171"/>
              <w:spacing w:after="0"/>
              <w:rPr>
                <w:sz w:val="20"/>
                <w:szCs w:val="20"/>
                <w:color w:val="auto"/>
              </w:rPr>
            </w:pPr>
            <w:r>
              <w:rPr>
                <w:rFonts w:ascii="Arial" w:cs="Arial" w:eastAsia="Arial" w:hAnsi="Arial"/>
                <w:sz w:val="10"/>
                <w:szCs w:val="10"/>
                <w:color w:val="auto"/>
                <w:w w:val="71"/>
              </w:rPr>
              <w:t>$</w:t>
            </w:r>
          </w:p>
        </w:tc>
        <w:tc>
          <w:tcPr>
            <w:tcW w:w="120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3,995,255</w:t>
            </w:r>
          </w:p>
        </w:tc>
        <w:tc>
          <w:tcPr>
            <w:tcW w:w="260" w:type="dxa"/>
            <w:vAlign w:val="bottom"/>
            <w:shd w:val="clear" w:color="auto" w:fill="CCEEFF"/>
          </w:tcPr>
          <w:p>
            <w:pPr>
              <w:jc w:val="right"/>
              <w:ind w:right="115"/>
              <w:spacing w:after="0"/>
              <w:rPr>
                <w:sz w:val="20"/>
                <w:szCs w:val="20"/>
                <w:color w:val="auto"/>
              </w:rPr>
            </w:pPr>
            <w:r>
              <w:rPr>
                <w:rFonts w:ascii="Arial" w:cs="Arial" w:eastAsia="Arial" w:hAnsi="Arial"/>
                <w:sz w:val="13"/>
                <w:szCs w:val="13"/>
                <w:color w:val="auto"/>
                <w:w w:val="82"/>
              </w:rPr>
              <w:t>$</w:t>
            </w:r>
          </w:p>
        </w:tc>
        <w:tc>
          <w:tcPr>
            <w:tcW w:w="122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w:t>
            </w:r>
          </w:p>
        </w:tc>
        <w:tc>
          <w:tcPr>
            <w:tcW w:w="1000" w:type="dxa"/>
            <w:vAlign w:val="bottom"/>
            <w:shd w:val="clear" w:color="auto" w:fill="CCEEFF"/>
          </w:tcPr>
          <w:p>
            <w:pPr>
              <w:jc w:val="right"/>
              <w:ind w:right="888"/>
              <w:spacing w:after="0"/>
              <w:rPr>
                <w:sz w:val="20"/>
                <w:szCs w:val="20"/>
                <w:color w:val="auto"/>
              </w:rPr>
            </w:pPr>
            <w:r>
              <w:rPr>
                <w:rFonts w:ascii="Arial" w:cs="Arial" w:eastAsia="Arial" w:hAnsi="Arial"/>
                <w:sz w:val="10"/>
                <w:szCs w:val="10"/>
                <w:color w:val="auto"/>
                <w:w w:val="71"/>
              </w:rPr>
              <w:t>$</w:t>
            </w:r>
          </w:p>
        </w:tc>
        <w:tc>
          <w:tcPr>
            <w:tcW w:w="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w:t>
            </w:r>
          </w:p>
        </w:tc>
        <w:tc>
          <w:tcPr>
            <w:tcW w:w="360" w:type="dxa"/>
            <w:vAlign w:val="bottom"/>
            <w:gridSpan w:val="2"/>
            <w:shd w:val="clear" w:color="auto" w:fill="CCEEFF"/>
          </w:tcPr>
          <w:p>
            <w:pPr>
              <w:jc w:val="right"/>
              <w:ind w:right="180"/>
              <w:spacing w:after="0"/>
              <w:rPr>
                <w:sz w:val="20"/>
                <w:szCs w:val="20"/>
                <w:color w:val="auto"/>
              </w:rPr>
            </w:pPr>
            <w:r>
              <w:rPr>
                <w:rFonts w:ascii="Arial" w:cs="Arial" w:eastAsia="Arial" w:hAnsi="Arial"/>
                <w:sz w:val="13"/>
                <w:szCs w:val="13"/>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3,995,255</w:t>
            </w:r>
          </w:p>
        </w:tc>
        <w:tc>
          <w:tcPr>
            <w:tcW w:w="100" w:type="dxa"/>
            <w:vAlign w:val="bottom"/>
            <w:shd w:val="clear" w:color="auto" w:fill="CCEEFF"/>
          </w:tcPr>
          <w:p>
            <w:pPr>
              <w:spacing w:after="0"/>
              <w:rPr>
                <w:sz w:val="13"/>
                <w:szCs w:val="13"/>
                <w:color w:val="auto"/>
              </w:rPr>
            </w:pPr>
          </w:p>
        </w:tc>
      </w:tr>
    </w:tbl>
    <w:p>
      <w:pPr>
        <w:spacing w:after="0" w:line="14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During the six-month period ended June 30, 2021 and December 31, 2020, there were no transfers between Level 1, Level 2, or Level 3 assets or liabilities reported at fair value on a recurring basis and the valuation techniques used did not change compared to the Company’s established practice.</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following table sets forth a summary of the changes in the fair value of Company’s Level 3 financial liabilities during the six-month periods ended June 30, 2021 and 2020, respectively, which were measured at fair value on a recurring basis:</w:t>
      </w:r>
    </w:p>
    <w:p>
      <w:pPr>
        <w:spacing w:after="0" w:line="134" w:lineRule="exact"/>
        <w:rPr>
          <w:sz w:val="20"/>
          <w:szCs w:val="20"/>
          <w:color w:val="auto"/>
        </w:rPr>
      </w:pPr>
    </w:p>
    <w:tbl>
      <w:tblPr>
        <w:tblLayout w:type="fixed"/>
        <w:tblInd w:w="0" w:type="dxa"/>
        <w:tblCellMar>
          <w:top w:w="0" w:type="dxa"/>
          <w:left w:w="0" w:type="dxa"/>
          <w:bottom w:w="0" w:type="dxa"/>
          <w:right w:w="0" w:type="dxa"/>
        </w:tblCellMar>
      </w:tblPr>
      <w:tr>
        <w:trPr>
          <w:trHeight w:val="168"/>
        </w:trPr>
        <w:tc>
          <w:tcPr>
            <w:tcW w:w="99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240" w:type="dxa"/>
            <w:vAlign w:val="bottom"/>
            <w:gridSpan w:val="2"/>
          </w:tcPr>
          <w:p>
            <w:pPr>
              <w:jc w:val="right"/>
              <w:ind w:right="220"/>
              <w:spacing w:after="0"/>
              <w:rPr>
                <w:sz w:val="20"/>
                <w:szCs w:val="20"/>
                <w:color w:val="auto"/>
              </w:rPr>
            </w:pPr>
            <w:r>
              <w:rPr>
                <w:rFonts w:ascii="Arial" w:cs="Arial" w:eastAsia="Arial" w:hAnsi="Arial"/>
                <w:sz w:val="13"/>
                <w:szCs w:val="13"/>
                <w:b w:val="1"/>
                <w:bCs w:val="1"/>
                <w:color w:val="auto"/>
                <w:w w:val="98"/>
              </w:rPr>
              <w:t>Warrant Liability</w:t>
            </w:r>
          </w:p>
        </w:tc>
        <w:tc>
          <w:tcPr>
            <w:tcW w:w="0" w:type="dxa"/>
            <w:vAlign w:val="bottom"/>
          </w:tcPr>
          <w:p>
            <w:pPr>
              <w:spacing w:after="0"/>
              <w:rPr>
                <w:sz w:val="1"/>
                <w:szCs w:val="1"/>
                <w:color w:val="auto"/>
              </w:rPr>
            </w:pPr>
          </w:p>
        </w:tc>
      </w:tr>
      <w:tr>
        <w:trPr>
          <w:trHeight w:val="147"/>
        </w:trPr>
        <w:tc>
          <w:tcPr>
            <w:tcW w:w="9940" w:type="dxa"/>
            <w:vAlign w:val="bottom"/>
            <w:tcBorders>
              <w:top w:val="single" w:sz="8" w:color="CCEEFF"/>
            </w:tcBorders>
            <w:shd w:val="clear" w:color="auto" w:fill="CCEEFF"/>
          </w:tcPr>
          <w:p>
            <w:pPr>
              <w:spacing w:after="0" w:line="148" w:lineRule="exact"/>
              <w:rPr>
                <w:sz w:val="20"/>
                <w:szCs w:val="20"/>
                <w:color w:val="auto"/>
              </w:rPr>
            </w:pPr>
            <w:r>
              <w:rPr>
                <w:rFonts w:ascii="Arial" w:cs="Arial" w:eastAsia="Arial" w:hAnsi="Arial"/>
                <w:sz w:val="13"/>
                <w:szCs w:val="13"/>
                <w:b w:val="1"/>
                <w:bCs w:val="1"/>
                <w:color w:val="auto"/>
              </w:rPr>
              <w:t>Balance as of December 31, 2020</w:t>
            </w:r>
          </w:p>
        </w:tc>
        <w:tc>
          <w:tcPr>
            <w:tcW w:w="20" w:type="dxa"/>
            <w:vAlign w:val="bottom"/>
            <w:tcBorders>
              <w:top w:val="single" w:sz="8" w:color="CCEEFF"/>
            </w:tcBorders>
            <w:shd w:val="clear" w:color="auto" w:fill="CCEEFF"/>
          </w:tcPr>
          <w:p>
            <w:pPr>
              <w:spacing w:after="0"/>
              <w:rPr>
                <w:sz w:val="12"/>
                <w:szCs w:val="12"/>
                <w:color w:val="auto"/>
              </w:rPr>
            </w:pPr>
          </w:p>
        </w:tc>
        <w:tc>
          <w:tcPr>
            <w:tcW w:w="80" w:type="dxa"/>
            <w:vAlign w:val="bottom"/>
            <w:tcBorders>
              <w:top w:val="single" w:sz="8" w:color="auto"/>
            </w:tcBorders>
            <w:shd w:val="clear" w:color="auto" w:fill="CCEEFF"/>
          </w:tcPr>
          <w:p>
            <w:pPr>
              <w:jc w:val="right"/>
              <w:ind w:right="13"/>
              <w:spacing w:after="0"/>
              <w:rPr>
                <w:sz w:val="20"/>
                <w:szCs w:val="20"/>
                <w:color w:val="auto"/>
              </w:rPr>
            </w:pPr>
            <w:r>
              <w:rPr>
                <w:rFonts w:ascii="Arial" w:cs="Arial" w:eastAsia="Arial" w:hAnsi="Arial"/>
                <w:sz w:val="5"/>
                <w:szCs w:val="5"/>
                <w:color w:val="auto"/>
                <w:w w:val="70"/>
              </w:rPr>
              <w:t>$</w:t>
            </w:r>
          </w:p>
        </w:tc>
        <w:tc>
          <w:tcPr>
            <w:tcW w:w="1140" w:type="dxa"/>
            <w:vAlign w:val="bottom"/>
            <w:tcBorders>
              <w:top w:val="single" w:sz="8" w:color="auto"/>
            </w:tcBorders>
            <w:shd w:val="clear" w:color="auto" w:fill="CCEEFF"/>
          </w:tcPr>
          <w:p>
            <w:pPr>
              <w:jc w:val="right"/>
              <w:spacing w:after="0" w:line="148" w:lineRule="exact"/>
              <w:rPr>
                <w:sz w:val="20"/>
                <w:szCs w:val="20"/>
                <w:color w:val="auto"/>
              </w:rPr>
            </w:pPr>
            <w:r>
              <w:rPr>
                <w:rFonts w:ascii="Arial" w:cs="Arial" w:eastAsia="Arial" w:hAnsi="Arial"/>
                <w:sz w:val="13"/>
                <w:szCs w:val="13"/>
                <w:color w:val="auto"/>
              </w:rPr>
              <w:t>5,617,280</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9940" w:type="dxa"/>
            <w:vAlign w:val="bottom"/>
          </w:tcPr>
          <w:p>
            <w:pPr>
              <w:ind w:left="120"/>
              <w:spacing w:after="0"/>
              <w:rPr>
                <w:sz w:val="20"/>
                <w:szCs w:val="20"/>
                <w:color w:val="auto"/>
              </w:rPr>
            </w:pPr>
            <w:r>
              <w:rPr>
                <w:rFonts w:ascii="Arial" w:cs="Arial" w:eastAsia="Arial" w:hAnsi="Arial"/>
                <w:sz w:val="13"/>
                <w:szCs w:val="13"/>
                <w:color w:val="auto"/>
              </w:rPr>
              <w:t>Revaluation of Series B, m-1, m-3 and s Preferred Stock warrants</w:t>
            </w: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140" w:type="dxa"/>
            <w:vAlign w:val="bottom"/>
          </w:tcPr>
          <w:p>
            <w:pPr>
              <w:jc w:val="right"/>
              <w:spacing w:after="0"/>
              <w:rPr>
                <w:sz w:val="20"/>
                <w:szCs w:val="20"/>
                <w:color w:val="auto"/>
              </w:rPr>
            </w:pPr>
            <w:r>
              <w:rPr>
                <w:rFonts w:ascii="Arial" w:cs="Arial" w:eastAsia="Arial" w:hAnsi="Arial"/>
                <w:sz w:val="13"/>
                <w:szCs w:val="13"/>
                <w:color w:val="auto"/>
              </w:rPr>
              <w:t>10,737,001</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9940" w:type="dxa"/>
            <w:vAlign w:val="bottom"/>
            <w:shd w:val="clear" w:color="auto" w:fill="CCEEFF"/>
          </w:tcPr>
          <w:p>
            <w:pPr>
              <w:ind w:left="120"/>
              <w:spacing w:after="0"/>
              <w:rPr>
                <w:sz w:val="20"/>
                <w:szCs w:val="20"/>
                <w:color w:val="auto"/>
              </w:rPr>
            </w:pPr>
            <w:r>
              <w:rPr>
                <w:rFonts w:ascii="Arial" w:cs="Arial" w:eastAsia="Arial" w:hAnsi="Arial"/>
                <w:sz w:val="13"/>
                <w:szCs w:val="13"/>
                <w:color w:val="auto"/>
              </w:rPr>
              <w:t>Expired warrants</w:t>
            </w:r>
          </w:p>
        </w:tc>
        <w:tc>
          <w:tcPr>
            <w:tcW w:w="20" w:type="dxa"/>
            <w:vAlign w:val="bottom"/>
            <w:shd w:val="clear" w:color="auto" w:fill="CCEEFF"/>
          </w:tcPr>
          <w:p>
            <w:pPr>
              <w:spacing w:after="0"/>
              <w:rPr>
                <w:sz w:val="14"/>
                <w:szCs w:val="14"/>
                <w:color w:val="auto"/>
              </w:rPr>
            </w:pPr>
          </w:p>
        </w:tc>
        <w:tc>
          <w:tcPr>
            <w:tcW w:w="80" w:type="dxa"/>
            <w:vAlign w:val="bottom"/>
            <w:shd w:val="clear" w:color="auto" w:fill="CCEEFF"/>
          </w:tcPr>
          <w:p>
            <w:pPr>
              <w:spacing w:after="0"/>
              <w:rPr>
                <w:sz w:val="14"/>
                <w:szCs w:val="14"/>
                <w:color w:val="auto"/>
              </w:rPr>
            </w:pPr>
          </w:p>
        </w:tc>
        <w:tc>
          <w:tcPr>
            <w:tcW w:w="124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(14,095)</w:t>
            </w:r>
          </w:p>
        </w:tc>
        <w:tc>
          <w:tcPr>
            <w:tcW w:w="0" w:type="dxa"/>
            <w:vAlign w:val="bottom"/>
          </w:tcPr>
          <w:p>
            <w:pPr>
              <w:spacing w:after="0"/>
              <w:rPr>
                <w:sz w:val="1"/>
                <w:szCs w:val="1"/>
                <w:color w:val="auto"/>
              </w:rPr>
            </w:pPr>
          </w:p>
        </w:tc>
      </w:tr>
      <w:tr>
        <w:trPr>
          <w:trHeight w:val="20"/>
        </w:trPr>
        <w:tc>
          <w:tcPr>
            <w:tcW w:w="9940" w:type="dxa"/>
            <w:vAlign w:val="bottom"/>
            <w:vMerge w:val="restart"/>
          </w:tcPr>
          <w:p>
            <w:pPr>
              <w:spacing w:after="0"/>
              <w:rPr>
                <w:sz w:val="20"/>
                <w:szCs w:val="20"/>
                <w:color w:val="auto"/>
              </w:rPr>
            </w:pPr>
            <w:r>
              <w:rPr>
                <w:rFonts w:ascii="Arial" w:cs="Arial" w:eastAsia="Arial" w:hAnsi="Arial"/>
                <w:sz w:val="13"/>
                <w:szCs w:val="13"/>
                <w:b w:val="1"/>
                <w:bCs w:val="1"/>
                <w:color w:val="auto"/>
              </w:rPr>
              <w:t>Balance as of June 30, 2021</w:t>
            </w:r>
          </w:p>
        </w:tc>
        <w:tc>
          <w:tcPr>
            <w:tcW w:w="20" w:type="dxa"/>
            <w:vAlign w:val="bottom"/>
          </w:tcPr>
          <w:p>
            <w:pPr>
              <w:spacing w:after="0" w:line="20" w:lineRule="exact"/>
              <w:rPr>
                <w:sz w:val="1"/>
                <w:szCs w:val="1"/>
                <w:color w:val="auto"/>
              </w:rPr>
            </w:pPr>
          </w:p>
        </w:tc>
        <w:tc>
          <w:tcPr>
            <w:tcW w:w="80" w:type="dxa"/>
            <w:vAlign w:val="bottom"/>
            <w:shd w:val="clear" w:color="auto" w:fill="000000"/>
          </w:tcPr>
          <w:p>
            <w:pPr>
              <w:spacing w:after="0" w:line="20" w:lineRule="exact"/>
              <w:rPr>
                <w:sz w:val="1"/>
                <w:szCs w:val="1"/>
                <w:color w:val="auto"/>
              </w:rPr>
            </w:pPr>
          </w:p>
        </w:tc>
        <w:tc>
          <w:tcPr>
            <w:tcW w:w="114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65"/>
        </w:trPr>
        <w:tc>
          <w:tcPr>
            <w:tcW w:w="9940" w:type="dxa"/>
            <w:vAlign w:val="bottom"/>
            <w:vMerge w:val="continue"/>
          </w:tcPr>
          <w:p>
            <w:pPr>
              <w:spacing w:after="0"/>
              <w:rPr>
                <w:sz w:val="14"/>
                <w:szCs w:val="14"/>
                <w:color w:val="auto"/>
              </w:rPr>
            </w:pPr>
          </w:p>
        </w:tc>
        <w:tc>
          <w:tcPr>
            <w:tcW w:w="100" w:type="dxa"/>
            <w:vAlign w:val="bottom"/>
            <w:tcBorders>
              <w:bottom w:val="single" w:sz="8" w:color="auto"/>
            </w:tcBorders>
            <w:gridSpan w:val="2"/>
          </w:tcPr>
          <w:p>
            <w:pPr>
              <w:jc w:val="right"/>
              <w:ind w:right="13"/>
              <w:spacing w:after="0"/>
              <w:rPr>
                <w:sz w:val="20"/>
                <w:szCs w:val="20"/>
                <w:color w:val="auto"/>
              </w:rPr>
            </w:pPr>
            <w:r>
              <w:rPr>
                <w:rFonts w:ascii="Arial" w:cs="Arial" w:eastAsia="Arial" w:hAnsi="Arial"/>
                <w:sz w:val="10"/>
                <w:szCs w:val="10"/>
                <w:color w:val="auto"/>
                <w:w w:val="71"/>
              </w:rPr>
              <w:t>$</w:t>
            </w:r>
          </w:p>
        </w:tc>
        <w:tc>
          <w:tcPr>
            <w:tcW w:w="114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16,340,186</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bl>
    <w:p>
      <w:pPr>
        <w:spacing w:after="0" w:line="153" w:lineRule="exact"/>
        <w:rPr>
          <w:sz w:val="20"/>
          <w:szCs w:val="20"/>
          <w:color w:val="auto"/>
        </w:rPr>
      </w:pPr>
    </w:p>
    <w:tbl>
      <w:tblPr>
        <w:tblLayout w:type="fixed"/>
        <w:tblInd w:w="0" w:type="dxa"/>
        <w:tblCellMar>
          <w:top w:w="0" w:type="dxa"/>
          <w:left w:w="0" w:type="dxa"/>
          <w:bottom w:w="0" w:type="dxa"/>
          <w:right w:w="0" w:type="dxa"/>
        </w:tblCellMar>
      </w:tblPr>
      <w:tr>
        <w:trPr>
          <w:trHeight w:val="168"/>
        </w:trPr>
        <w:tc>
          <w:tcPr>
            <w:tcW w:w="994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240" w:type="dxa"/>
            <w:vAlign w:val="bottom"/>
            <w:gridSpan w:val="2"/>
          </w:tcPr>
          <w:p>
            <w:pPr>
              <w:ind w:left="20"/>
              <w:spacing w:after="0"/>
              <w:rPr>
                <w:sz w:val="20"/>
                <w:szCs w:val="20"/>
                <w:color w:val="auto"/>
              </w:rPr>
            </w:pPr>
            <w:r>
              <w:rPr>
                <w:rFonts w:ascii="Arial" w:cs="Arial" w:eastAsia="Arial" w:hAnsi="Arial"/>
                <w:sz w:val="13"/>
                <w:szCs w:val="13"/>
                <w:b w:val="1"/>
                <w:bCs w:val="1"/>
                <w:color w:val="auto"/>
              </w:rPr>
              <w:t>Warrant Liability</w:t>
            </w:r>
          </w:p>
        </w:tc>
      </w:tr>
      <w:tr>
        <w:trPr>
          <w:trHeight w:val="147"/>
        </w:trPr>
        <w:tc>
          <w:tcPr>
            <w:tcW w:w="9940" w:type="dxa"/>
            <w:vAlign w:val="bottom"/>
            <w:tcBorders>
              <w:top w:val="single" w:sz="8" w:color="CCEEFF"/>
            </w:tcBorders>
            <w:shd w:val="clear" w:color="auto" w:fill="CCEEFF"/>
          </w:tcPr>
          <w:p>
            <w:pPr>
              <w:spacing w:after="0" w:line="148" w:lineRule="exact"/>
              <w:rPr>
                <w:sz w:val="20"/>
                <w:szCs w:val="20"/>
                <w:color w:val="auto"/>
              </w:rPr>
            </w:pPr>
            <w:r>
              <w:rPr>
                <w:rFonts w:ascii="Arial" w:cs="Arial" w:eastAsia="Arial" w:hAnsi="Arial"/>
                <w:sz w:val="13"/>
                <w:szCs w:val="13"/>
                <w:b w:val="1"/>
                <w:bCs w:val="1"/>
                <w:color w:val="auto"/>
              </w:rPr>
              <w:t>Balance as of December 31, 2019</w:t>
            </w:r>
          </w:p>
        </w:tc>
        <w:tc>
          <w:tcPr>
            <w:tcW w:w="20" w:type="dxa"/>
            <w:vAlign w:val="bottom"/>
            <w:tcBorders>
              <w:top w:val="single" w:sz="8" w:color="CCEEFF"/>
            </w:tcBorders>
            <w:shd w:val="clear" w:color="auto" w:fill="CCEEFF"/>
          </w:tcPr>
          <w:p>
            <w:pPr>
              <w:spacing w:after="0"/>
              <w:rPr>
                <w:sz w:val="12"/>
                <w:szCs w:val="12"/>
                <w:color w:val="auto"/>
              </w:rPr>
            </w:pPr>
          </w:p>
        </w:tc>
        <w:tc>
          <w:tcPr>
            <w:tcW w:w="80" w:type="dxa"/>
            <w:vAlign w:val="bottom"/>
            <w:tcBorders>
              <w:top w:val="single" w:sz="8" w:color="auto"/>
            </w:tcBorders>
            <w:shd w:val="clear" w:color="auto" w:fill="CCEEFF"/>
          </w:tcPr>
          <w:p>
            <w:pPr>
              <w:jc w:val="right"/>
              <w:ind w:right="13"/>
              <w:spacing w:after="0"/>
              <w:rPr>
                <w:sz w:val="20"/>
                <w:szCs w:val="20"/>
                <w:color w:val="auto"/>
              </w:rPr>
            </w:pPr>
            <w:r>
              <w:rPr>
                <w:rFonts w:ascii="Arial" w:cs="Arial" w:eastAsia="Arial" w:hAnsi="Arial"/>
                <w:sz w:val="5"/>
                <w:szCs w:val="5"/>
                <w:color w:val="auto"/>
                <w:w w:val="70"/>
              </w:rPr>
              <w:t>$</w:t>
            </w:r>
          </w:p>
        </w:tc>
        <w:tc>
          <w:tcPr>
            <w:tcW w:w="1140" w:type="dxa"/>
            <w:vAlign w:val="bottom"/>
            <w:tcBorders>
              <w:top w:val="single" w:sz="8" w:color="auto"/>
            </w:tcBorders>
            <w:shd w:val="clear" w:color="auto" w:fill="CCEEFF"/>
          </w:tcPr>
          <w:p>
            <w:pPr>
              <w:jc w:val="right"/>
              <w:spacing w:after="0" w:line="148" w:lineRule="exact"/>
              <w:rPr>
                <w:sz w:val="20"/>
                <w:szCs w:val="20"/>
                <w:color w:val="auto"/>
              </w:rPr>
            </w:pPr>
            <w:r>
              <w:rPr>
                <w:rFonts w:ascii="Arial" w:cs="Arial" w:eastAsia="Arial" w:hAnsi="Arial"/>
                <w:sz w:val="13"/>
                <w:szCs w:val="13"/>
                <w:color w:val="auto"/>
              </w:rPr>
              <w:t>2,246,479</w:t>
            </w:r>
          </w:p>
        </w:tc>
        <w:tc>
          <w:tcPr>
            <w:tcW w:w="100" w:type="dxa"/>
            <w:vAlign w:val="bottom"/>
            <w:tcBorders>
              <w:top w:val="single" w:sz="8" w:color="CCEEFF"/>
            </w:tcBorders>
            <w:shd w:val="clear" w:color="auto" w:fill="CCEEFF"/>
          </w:tcPr>
          <w:p>
            <w:pPr>
              <w:spacing w:after="0"/>
              <w:rPr>
                <w:sz w:val="12"/>
                <w:szCs w:val="12"/>
                <w:color w:val="auto"/>
              </w:rPr>
            </w:pPr>
          </w:p>
        </w:tc>
      </w:tr>
      <w:tr>
        <w:trPr>
          <w:trHeight w:val="156"/>
        </w:trPr>
        <w:tc>
          <w:tcPr>
            <w:tcW w:w="9940" w:type="dxa"/>
            <w:vAlign w:val="bottom"/>
          </w:tcPr>
          <w:p>
            <w:pPr>
              <w:ind w:left="120"/>
              <w:spacing w:after="0"/>
              <w:rPr>
                <w:sz w:val="20"/>
                <w:szCs w:val="20"/>
                <w:color w:val="auto"/>
              </w:rPr>
            </w:pPr>
            <w:r>
              <w:rPr>
                <w:rFonts w:ascii="Arial" w:cs="Arial" w:eastAsia="Arial" w:hAnsi="Arial"/>
                <w:sz w:val="13"/>
                <w:szCs w:val="13"/>
                <w:color w:val="auto"/>
              </w:rPr>
              <w:t>Initial fair value of Series s Preferred Stock warrants</w:t>
            </w: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140" w:type="dxa"/>
            <w:vAlign w:val="bottom"/>
          </w:tcPr>
          <w:p>
            <w:pPr>
              <w:jc w:val="right"/>
              <w:spacing w:after="0"/>
              <w:rPr>
                <w:sz w:val="20"/>
                <w:szCs w:val="20"/>
                <w:color w:val="auto"/>
              </w:rPr>
            </w:pPr>
            <w:r>
              <w:rPr>
                <w:rFonts w:ascii="Arial" w:cs="Arial" w:eastAsia="Arial" w:hAnsi="Arial"/>
                <w:sz w:val="13"/>
                <w:szCs w:val="13"/>
                <w:color w:val="auto"/>
              </w:rPr>
              <w:t>454,374</w:t>
            </w:r>
          </w:p>
        </w:tc>
        <w:tc>
          <w:tcPr>
            <w:tcW w:w="100" w:type="dxa"/>
            <w:vAlign w:val="bottom"/>
          </w:tcPr>
          <w:p>
            <w:pPr>
              <w:spacing w:after="0"/>
              <w:rPr>
                <w:sz w:val="13"/>
                <w:szCs w:val="13"/>
                <w:color w:val="auto"/>
              </w:rPr>
            </w:pPr>
          </w:p>
        </w:tc>
      </w:tr>
      <w:tr>
        <w:trPr>
          <w:trHeight w:val="166"/>
        </w:trPr>
        <w:tc>
          <w:tcPr>
            <w:tcW w:w="9940" w:type="dxa"/>
            <w:vAlign w:val="bottom"/>
            <w:shd w:val="clear" w:color="auto" w:fill="CCEEFF"/>
          </w:tcPr>
          <w:p>
            <w:pPr>
              <w:ind w:left="120"/>
              <w:spacing w:after="0"/>
              <w:rPr>
                <w:sz w:val="20"/>
                <w:szCs w:val="20"/>
                <w:color w:val="auto"/>
              </w:rPr>
            </w:pPr>
            <w:r>
              <w:rPr>
                <w:rFonts w:ascii="Arial" w:cs="Arial" w:eastAsia="Arial" w:hAnsi="Arial"/>
                <w:sz w:val="13"/>
                <w:szCs w:val="13"/>
                <w:color w:val="auto"/>
              </w:rPr>
              <w:t>Revaluation of Series B, m-1, m-3 and s Preferred Stock warrants</w:t>
            </w:r>
          </w:p>
        </w:tc>
        <w:tc>
          <w:tcPr>
            <w:tcW w:w="20" w:type="dxa"/>
            <w:vAlign w:val="bottom"/>
            <w:shd w:val="clear" w:color="auto" w:fill="CCEEFF"/>
          </w:tcPr>
          <w:p>
            <w:pPr>
              <w:spacing w:after="0"/>
              <w:rPr>
                <w:sz w:val="14"/>
                <w:szCs w:val="14"/>
                <w:color w:val="auto"/>
              </w:rPr>
            </w:pPr>
          </w:p>
        </w:tc>
        <w:tc>
          <w:tcPr>
            <w:tcW w:w="80" w:type="dxa"/>
            <w:vAlign w:val="bottom"/>
            <w:tcBorders>
              <w:bottom w:val="single" w:sz="8" w:color="auto"/>
            </w:tcBorders>
            <w:shd w:val="clear" w:color="auto" w:fill="CCEEFF"/>
          </w:tcPr>
          <w:p>
            <w:pPr>
              <w:spacing w:after="0"/>
              <w:rPr>
                <w:sz w:val="14"/>
                <w:szCs w:val="14"/>
                <w:color w:val="auto"/>
              </w:rPr>
            </w:pPr>
          </w:p>
        </w:tc>
        <w:tc>
          <w:tcPr>
            <w:tcW w:w="11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2,424,706</w:t>
            </w:r>
          </w:p>
        </w:tc>
        <w:tc>
          <w:tcPr>
            <w:tcW w:w="100" w:type="dxa"/>
            <w:vAlign w:val="bottom"/>
            <w:shd w:val="clear" w:color="auto" w:fill="CCEEFF"/>
          </w:tcPr>
          <w:p>
            <w:pPr>
              <w:spacing w:after="0"/>
              <w:rPr>
                <w:sz w:val="14"/>
                <w:szCs w:val="14"/>
                <w:color w:val="auto"/>
              </w:rPr>
            </w:pPr>
          </w:p>
        </w:tc>
      </w:tr>
      <w:tr>
        <w:trPr>
          <w:trHeight w:val="165"/>
        </w:trPr>
        <w:tc>
          <w:tcPr>
            <w:tcW w:w="9940" w:type="dxa"/>
            <w:vAlign w:val="bottom"/>
          </w:tcPr>
          <w:p>
            <w:pPr>
              <w:ind w:left="120"/>
              <w:spacing w:after="0" w:line="148" w:lineRule="exact"/>
              <w:rPr>
                <w:sz w:val="20"/>
                <w:szCs w:val="20"/>
                <w:color w:val="auto"/>
              </w:rPr>
            </w:pPr>
            <w:r>
              <w:rPr>
                <w:rFonts w:ascii="Arial" w:cs="Arial" w:eastAsia="Arial" w:hAnsi="Arial"/>
                <w:sz w:val="13"/>
                <w:szCs w:val="13"/>
                <w:b w:val="1"/>
                <w:bCs w:val="1"/>
                <w:color w:val="auto"/>
              </w:rPr>
              <w:t>Balance as of June 30, 2020</w:t>
            </w:r>
          </w:p>
        </w:tc>
        <w:tc>
          <w:tcPr>
            <w:tcW w:w="100" w:type="dxa"/>
            <w:vAlign w:val="bottom"/>
            <w:tcBorders>
              <w:bottom w:val="single" w:sz="8" w:color="auto"/>
            </w:tcBorders>
            <w:gridSpan w:val="2"/>
          </w:tcPr>
          <w:p>
            <w:pPr>
              <w:jc w:val="right"/>
              <w:ind w:right="13"/>
              <w:spacing w:after="0"/>
              <w:rPr>
                <w:sz w:val="20"/>
                <w:szCs w:val="20"/>
                <w:color w:val="auto"/>
              </w:rPr>
            </w:pPr>
            <w:r>
              <w:rPr>
                <w:rFonts w:ascii="Arial" w:cs="Arial" w:eastAsia="Arial" w:hAnsi="Arial"/>
                <w:sz w:val="10"/>
                <w:szCs w:val="10"/>
                <w:color w:val="auto"/>
                <w:w w:val="71"/>
              </w:rPr>
              <w:t>$</w:t>
            </w:r>
          </w:p>
        </w:tc>
        <w:tc>
          <w:tcPr>
            <w:tcW w:w="114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5,125,559</w:t>
            </w:r>
          </w:p>
        </w:tc>
        <w:tc>
          <w:tcPr>
            <w:tcW w:w="100" w:type="dxa"/>
            <w:vAlign w:val="bottom"/>
          </w:tcPr>
          <w:p>
            <w:pPr>
              <w:spacing w:after="0"/>
              <w:rPr>
                <w:sz w:val="14"/>
                <w:szCs w:val="14"/>
                <w:color w:val="auto"/>
              </w:rPr>
            </w:pPr>
          </w:p>
        </w:tc>
      </w:tr>
    </w:tbl>
    <w:p>
      <w:pPr>
        <w:spacing w:after="0" w:line="14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4: Debt Obligations</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u w:val="single" w:color="auto"/>
          <w:color w:val="auto"/>
        </w:rPr>
        <w:t>Term Loan Agreement</w:t>
      </w:r>
    </w:p>
    <w:p>
      <w:pPr>
        <w:spacing w:after="0" w:line="163"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In May 2018, the Company entered into a term loan agreement which allowed for individual term loans to be drawn in amounts totaling up to $3,500,000 until January 10, 2019 (the “Loan Agreement”). Each individual term loan called for 18 equal monthly payments of principal plus accrued interest which would fully amortize the term loan. Outstanding borrowings under the term loan agreement bear interest at 1.75% above the prime rate per annum. Only one individual term loan in the amount of $425,000 was drawn by the Company in May 2018. The loan was fully repaid in February 2019.</w:t>
      </w:r>
    </w:p>
    <w:p>
      <w:pPr>
        <w:spacing w:after="0" w:line="119" w:lineRule="exact"/>
        <w:rPr>
          <w:sz w:val="20"/>
          <w:szCs w:val="20"/>
          <w:color w:val="auto"/>
        </w:rPr>
      </w:pPr>
    </w:p>
    <w:p>
      <w:pPr>
        <w:spacing w:after="0"/>
        <w:rPr>
          <w:sz w:val="20"/>
          <w:szCs w:val="20"/>
          <w:color w:val="auto"/>
        </w:rPr>
      </w:pPr>
      <w:r>
        <w:rPr>
          <w:rFonts w:ascii="Arial" w:cs="Arial" w:eastAsia="Arial" w:hAnsi="Arial"/>
          <w:sz w:val="13"/>
          <w:szCs w:val="13"/>
          <w:color w:val="auto"/>
        </w:rPr>
        <w:t>A warrant for 77,413 shares of Class B Common Stock was also issued to the lender in conjunction with the Loan Agreement and remains outstanding as of June 30, 2021.</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u w:val="single" w:color="auto"/>
          <w:color w:val="auto"/>
        </w:rPr>
        <w:t>Financing Arrangement</w:t>
      </w:r>
    </w:p>
    <w:p>
      <w:pPr>
        <w:spacing w:after="0" w:line="163" w:lineRule="exact"/>
        <w:rPr>
          <w:sz w:val="20"/>
          <w:szCs w:val="20"/>
          <w:color w:val="auto"/>
        </w:rPr>
      </w:pPr>
    </w:p>
    <w:p>
      <w:pPr>
        <w:jc w:val="both"/>
        <w:spacing w:after="0" w:line="278" w:lineRule="auto"/>
        <w:rPr>
          <w:sz w:val="20"/>
          <w:szCs w:val="20"/>
          <w:color w:val="auto"/>
        </w:rPr>
      </w:pPr>
      <w:r>
        <w:rPr>
          <w:rFonts w:ascii="Arial" w:cs="Arial" w:eastAsia="Arial" w:hAnsi="Arial"/>
          <w:sz w:val="12"/>
          <w:szCs w:val="12"/>
          <w:color w:val="auto"/>
        </w:rPr>
        <w:t>On February 28, 2019, the Company entered into a financing arrangement with Farnam Street Financial (“Farnam”) for $3,000,000 (“Financing Arrangement”). Under the Financing Arrangement, the Company collateralized fifty (50) ASRs and had an initial repayment period of two years for a monthly payment of $121,129 per month plus tax and an option to repurchase these ASRs for $1,350,000 plus tax or, at the end of the two year period (March 2021) the Company could elect to extend the repayment period for one additional year at a monthly payment of $66,621 per month plus tax with a final payment of $600,000 plus tax at the end of the additional year. The Financing Arrangement was subsequently amended to defer certain monthly payments due in 2020. The effective interest rate under the two and three-year repayment periods was 35% and 31%, respectively. The Company accounted for this Financing Arrangement with Farnam by accreting the financing amount using the effective interest rate and assuming the repurchase option that would take place in March 2021. Interest expense on the Farnam Financing Arrangement during the six months ended June 30, 2021 and 2020 was zero and $325,618, respectively. The Financing Arrangement with Farnam was terminated and settled in November 2020, with no subsequent payments due to Farnam. The final payment to Farnam consisted of the aggregate amount of remaining payments due through March 2021 and a reduced equipment purchase amount of $1,000,000 plus tax.</w:t>
      </w:r>
    </w:p>
    <w:p>
      <w:pPr>
        <w:spacing w:after="0" w:line="285"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3">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101" w:name="page102"/>
    <w:bookmarkEnd w:id="101"/>
    <w:p>
      <w:pPr>
        <w:spacing w:after="0"/>
        <w:rPr>
          <w:sz w:val="20"/>
          <w:szCs w:val="20"/>
          <w:color w:val="auto"/>
        </w:rPr>
      </w:pPr>
      <w:r>
        <w:rPr>
          <w:rFonts w:ascii="Arial" w:cs="Arial" w:eastAsia="Arial" w:hAnsi="Arial"/>
          <w:sz w:val="13"/>
          <w:szCs w:val="13"/>
          <w:b w:val="1"/>
          <w:bCs w:val="1"/>
          <w:color w:val="auto"/>
        </w:rPr>
        <w:t>NOTE 4: Debt Obligations (Continued)</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u w:val="single" w:color="auto"/>
          <w:color w:val="auto"/>
        </w:rPr>
        <w:t>Convertible Note Financing</w:t>
      </w:r>
    </w:p>
    <w:p>
      <w:pPr>
        <w:spacing w:after="0" w:line="163" w:lineRule="exact"/>
        <w:rPr>
          <w:sz w:val="20"/>
          <w:szCs w:val="20"/>
          <w:color w:val="auto"/>
        </w:rPr>
      </w:pPr>
    </w:p>
    <w:p>
      <w:pPr>
        <w:jc w:val="both"/>
        <w:spacing w:after="0" w:line="275" w:lineRule="auto"/>
        <w:rPr>
          <w:sz w:val="20"/>
          <w:szCs w:val="20"/>
          <w:color w:val="auto"/>
        </w:rPr>
      </w:pPr>
      <w:r>
        <w:rPr>
          <w:rFonts w:ascii="Arial" w:cs="Arial" w:eastAsia="Arial" w:hAnsi="Arial"/>
          <w:sz w:val="12"/>
          <w:szCs w:val="12"/>
          <w:color w:val="auto"/>
        </w:rPr>
        <w:t>On April 30, 2019, the Company signed a Note and Warrant Purchase Agreement under the form of which the Company can issue up to $15,000,000 of convertible promissory notes and warrants to purchase up to 3,000,000 shares of Series S Preferred Stock (20% warrant coverage) (the “Convertible Note Financing”). Pursuant to the terms of the Convertible Note Financing, the Company became obligated, to the same group of Convertible Note Financing investors, to exchange their outstanding shares of Series m-3 Preferred Stock for newly authorized shares of Series m-4 Preferred stock upon the closing of at least $1,000,000 in aggregate principal amount of convertible promissory notes under the Convertible Note Financing. These warrants to purchase shares of Series S Preferred Stock of the Company were also issued to investors who invested in the Convertible Note Financing. The warrants to purchase shares of Series S Preferred Stock have an exercise price of $4.50 per share and expire on the earlier of December 31, 2021 or 18 months after the closing of the Company’s first firm commitment underwritten initial public offering of the Company’s common stock pursuant to a registration statement filed under the Securities Act. The convertible promissory notes have a maturity date of January 1, 2022, provide for payment of accrued interest at a rate of 12% per annum upon the maturity date, are generally the most senior company security (subject to limited subordination carve-outs) and provide for significant discounts upon a qualified financing or an initial public offering, and for a premium upon a change of control. As of June 30, 2021, the Company had issued convertible notes in the aggregate principal amount of $5,128,570. Interest expense on the Convertible Note Financing during the six months ended June 30, 2021 was $305,185. As of June 30, 2021, total Convertible Notes receipts of $5,128,570 were offset by $3,087,856 of convertible note financing issuance costs related to Series S Preferred Stock warrants of which $1,990,696 has been amortized ($824,481 in the six months ended June 30, 2021), additionally offset by $97,362 of convertible note legal fees of which $9,111 ($8,251 in the six months ended June 30, 2021) has been amortized and accrued interest expense of $950,776. The convertible note automatically converts under various scenarios including a qualified financing or IPO. As of January 1, 2020, the convertible notes became convertible at the investors’ option at prices as follows: (i) on or before June 30, 2020, $4.50 per share; (ii) after June 30, 2020, but on or before December 31, 2020, $4.00 per share; (iii) after December 31, 2020, but on or before June 30, 2021, $3.50 per share; and (iv) after June 30, 2021, $2.50 per share.</w:t>
      </w:r>
    </w:p>
    <w:p>
      <w:pPr>
        <w:spacing w:after="0" w:line="133" w:lineRule="exact"/>
        <w:rPr>
          <w:sz w:val="20"/>
          <w:szCs w:val="20"/>
          <w:color w:val="auto"/>
        </w:rPr>
      </w:pPr>
    </w:p>
    <w:p>
      <w:pPr>
        <w:jc w:val="both"/>
        <w:spacing w:after="0" w:line="317" w:lineRule="auto"/>
        <w:rPr>
          <w:sz w:val="20"/>
          <w:szCs w:val="20"/>
          <w:color w:val="auto"/>
        </w:rPr>
      </w:pPr>
      <w:r>
        <w:rPr>
          <w:rFonts w:ascii="Arial" w:cs="Arial" w:eastAsia="Arial" w:hAnsi="Arial"/>
          <w:sz w:val="12"/>
          <w:szCs w:val="12"/>
          <w:color w:val="auto"/>
        </w:rPr>
        <w:t>On December 9, 2019, the Company entered into a Financing Arrangement with Reliant Funding (“December 2019 Financing Arrangement”) to receive $250,000 to be repaid in sixty-three (63) equal payments of a $4,599 per business day over approximately three months. The annual effective interest rate of this December 2019 Financing Arrangement was 37%. The loan was paid off on March 11, 2020.</w:t>
      </w:r>
    </w:p>
    <w:p>
      <w:pPr>
        <w:spacing w:after="0" w:line="105" w:lineRule="exact"/>
        <w:rPr>
          <w:sz w:val="20"/>
          <w:szCs w:val="20"/>
          <w:color w:val="auto"/>
        </w:rPr>
      </w:pPr>
    </w:p>
    <w:p>
      <w:pPr>
        <w:jc w:val="both"/>
        <w:spacing w:after="0" w:line="368" w:lineRule="auto"/>
        <w:rPr>
          <w:sz w:val="20"/>
          <w:szCs w:val="20"/>
          <w:color w:val="auto"/>
        </w:rPr>
      </w:pPr>
      <w:r>
        <w:rPr>
          <w:rFonts w:ascii="Arial" w:cs="Arial" w:eastAsia="Arial" w:hAnsi="Arial"/>
          <w:sz w:val="11"/>
          <w:szCs w:val="11"/>
          <w:color w:val="auto"/>
        </w:rPr>
        <w:t>On March 19, 2020, the Company entered into a Financing Agreement with Wall Street Funding (“March 2020 Financing Arrangement”). Under the March 2020 Financing Arrangement, the Company received $300,000 which was repaid over one hundred (100) equal payments of $4,080 payable each business day. The effective interest rate under this repayment period was 419%. The loan was paid off on August 7, 2020.</w:t>
      </w:r>
    </w:p>
    <w:p>
      <w:pPr>
        <w:spacing w:after="0" w:line="81" w:lineRule="exact"/>
        <w:rPr>
          <w:sz w:val="20"/>
          <w:szCs w:val="20"/>
          <w:color w:val="auto"/>
        </w:rPr>
      </w:pPr>
    </w:p>
    <w:p>
      <w:pPr>
        <w:jc w:val="both"/>
        <w:spacing w:after="0" w:line="278" w:lineRule="auto"/>
        <w:rPr>
          <w:sz w:val="20"/>
          <w:szCs w:val="20"/>
          <w:color w:val="auto"/>
        </w:rPr>
      </w:pPr>
      <w:r>
        <w:rPr>
          <w:rFonts w:ascii="Arial" w:cs="Arial" w:eastAsia="Arial" w:hAnsi="Arial"/>
          <w:sz w:val="12"/>
          <w:szCs w:val="12"/>
          <w:color w:val="auto"/>
        </w:rPr>
        <w:t>The Paycheck Protection Program (“PPP”) was established under the Coronavirus Aid, Relief, and Economic Security Act (the “CARES Act”) and is administered by the U.S. Small Business Administration (“SBA”). On April 24, 2020, the Company, entered into a promissory note evidencing an unsecured loan in the aggregate amount of approximately $822,851 made to Knightscope under the PPP (the “PPP Loan”). The PPP Loan to Knightscope was being made through Fresno First Bank. The interest rate on the PPP Loan was 1.00% and the term was two years. In accordance with the updated SBA guidance, the PPP Loan was modified so that, beginning ten months from the date of the PPP Loan, the Company was required to make monthly payments of principal and interest. The promissory note evidencing the PPP Loan contained customary events of default relating to, among other things, payment defaults or breaching the terms of the PPP Loan documents. The occurrence of an event of default could result in the repayment of the PPP Loan, collection of all other amounts that might be owing from Knightscope or filing suit and obtaining judgment against Knightscope. Under the terms of the CARES Act, PPP Loan recipients can apply for and be granted forgiveness for all, or a portion of, the loan granted under the PPP. Such forgiveness is be determined, subject to limitations, based primarily on the use of loan proceeds for payment of payroll costs and any payments of mortgage interest, rent, and utilities. No assurance was provided that the Company would obtain forgiveness of the PPP Loan in whole or in part.</w:t>
      </w:r>
    </w:p>
    <w:p>
      <w:pPr>
        <w:spacing w:after="0" w:line="129" w:lineRule="exact"/>
        <w:rPr>
          <w:sz w:val="20"/>
          <w:szCs w:val="20"/>
          <w:color w:val="auto"/>
        </w:rPr>
      </w:pPr>
    </w:p>
    <w:p>
      <w:pPr>
        <w:jc w:val="both"/>
        <w:spacing w:after="0" w:line="283" w:lineRule="auto"/>
        <w:rPr>
          <w:sz w:val="20"/>
          <w:szCs w:val="20"/>
          <w:color w:val="auto"/>
        </w:rPr>
      </w:pPr>
      <w:r>
        <w:rPr>
          <w:rFonts w:ascii="Arial" w:cs="Arial" w:eastAsia="Arial" w:hAnsi="Arial"/>
          <w:sz w:val="12"/>
          <w:szCs w:val="12"/>
          <w:color w:val="auto"/>
        </w:rPr>
        <w:t>In October 2020, the Company was notified that the terms of its PPP Loan with Fresno First Bank were modified. The time period during which the Company could spend the proceeds of the PPP Loan (the “covered period”) was extended from 8 weeks to 24 weeks. The date to begin repaying unforgiven portions of the PPP Loan was also extended from 6 months after the funding date to up to 10 months after the end of the covered period (approximately 16 months from the funding date) depending on when the Company applied for forgiveness. The SBA would also cover interest on the forgiven portion of the loan during this period. There was no change to the maturity date of the PPP Loan, and the PPP Loan was required to be repaid or forgiven within two years after the funding date. The Company submitted its PPP Loan forgiveness application to the SBA in January 2021. The PPP Loan of $822,851 and the accrued interest of $8,960 were forgiven by the SBA on May 20, 2021.</w:t>
      </w:r>
    </w:p>
    <w:p>
      <w:pPr>
        <w:spacing w:after="0" w:line="281"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F-40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4">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102" w:name="page103"/>
    <w:bookmarkEnd w:id="102"/>
    <w:tbl>
      <w:tblPr>
        <w:tblLayout w:type="fixed"/>
        <w:tblInd w:w="0" w:type="dxa"/>
        <w:tblCellMar>
          <w:top w:w="0" w:type="dxa"/>
          <w:left w:w="0" w:type="dxa"/>
          <w:bottom w:w="0" w:type="dxa"/>
          <w:right w:w="0" w:type="dxa"/>
        </w:tblCellMar>
      </w:tblPr>
      <w:tr>
        <w:trPr>
          <w:trHeight w:val="168"/>
        </w:trPr>
        <w:tc>
          <w:tcPr>
            <w:tcW w:w="6340" w:type="dxa"/>
            <w:vAlign w:val="bottom"/>
          </w:tcPr>
          <w:p>
            <w:pPr>
              <w:spacing w:after="0"/>
              <w:rPr>
                <w:sz w:val="20"/>
                <w:szCs w:val="20"/>
                <w:color w:val="auto"/>
              </w:rPr>
            </w:pPr>
            <w:r>
              <w:rPr>
                <w:rFonts w:ascii="Arial" w:cs="Arial" w:eastAsia="Arial" w:hAnsi="Arial"/>
                <w:sz w:val="13"/>
                <w:szCs w:val="13"/>
                <w:b w:val="1"/>
                <w:bCs w:val="1"/>
                <w:color w:val="auto"/>
              </w:rPr>
              <w:t>NOTE 4: Debt Obligations (Continued)</w:t>
            </w:r>
          </w:p>
        </w:tc>
        <w:tc>
          <w:tcPr>
            <w:tcW w:w="21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13"/>
        </w:trPr>
        <w:tc>
          <w:tcPr>
            <w:tcW w:w="6340" w:type="dxa"/>
            <w:vAlign w:val="bottom"/>
          </w:tcPr>
          <w:p>
            <w:pPr>
              <w:spacing w:after="0"/>
              <w:rPr>
                <w:sz w:val="20"/>
                <w:szCs w:val="20"/>
                <w:color w:val="auto"/>
              </w:rPr>
            </w:pPr>
            <w:r>
              <w:rPr>
                <w:rFonts w:ascii="Arial" w:cs="Arial" w:eastAsia="Arial" w:hAnsi="Arial"/>
                <w:sz w:val="13"/>
                <w:szCs w:val="13"/>
                <w:color w:val="auto"/>
              </w:rPr>
              <w:t>The amortized carrying amount of our debt obligations consists of the following:</w:t>
            </w:r>
          </w:p>
        </w:tc>
        <w:tc>
          <w:tcPr>
            <w:tcW w:w="21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40"/>
        </w:trPr>
        <w:tc>
          <w:tcPr>
            <w:tcW w:w="6340" w:type="dxa"/>
            <w:vAlign w:val="bottom"/>
          </w:tcPr>
          <w:p>
            <w:pPr>
              <w:spacing w:after="0"/>
              <w:rPr>
                <w:sz w:val="24"/>
                <w:szCs w:val="24"/>
                <w:color w:val="auto"/>
              </w:rPr>
            </w:pPr>
          </w:p>
        </w:tc>
        <w:tc>
          <w:tcPr>
            <w:tcW w:w="21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160" w:type="dxa"/>
            <w:vAlign w:val="bottom"/>
            <w:gridSpan w:val="2"/>
          </w:tcPr>
          <w:p>
            <w:pPr>
              <w:jc w:val="right"/>
              <w:ind w:right="520"/>
              <w:spacing w:after="0"/>
              <w:rPr>
                <w:sz w:val="20"/>
                <w:szCs w:val="20"/>
                <w:color w:val="auto"/>
              </w:rPr>
            </w:pPr>
            <w:r>
              <w:rPr>
                <w:rFonts w:ascii="Arial" w:cs="Arial" w:eastAsia="Arial" w:hAnsi="Arial"/>
                <w:sz w:val="13"/>
                <w:szCs w:val="13"/>
                <w:b w:val="1"/>
                <w:bCs w:val="1"/>
                <w:color w:val="auto"/>
              </w:rPr>
              <w:t>June 30,</w:t>
            </w:r>
          </w:p>
        </w:tc>
        <w:tc>
          <w:tcPr>
            <w:tcW w:w="1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180" w:type="dxa"/>
            <w:vAlign w:val="bottom"/>
            <w:gridSpan w:val="2"/>
          </w:tcPr>
          <w:p>
            <w:pPr>
              <w:ind w:left="80"/>
              <w:spacing w:after="0"/>
              <w:rPr>
                <w:sz w:val="20"/>
                <w:szCs w:val="20"/>
                <w:color w:val="auto"/>
              </w:rPr>
            </w:pPr>
            <w:r>
              <w:rPr>
                <w:rFonts w:ascii="Arial" w:cs="Arial" w:eastAsia="Arial" w:hAnsi="Arial"/>
                <w:sz w:val="13"/>
                <w:szCs w:val="13"/>
                <w:b w:val="1"/>
                <w:bCs w:val="1"/>
                <w:color w:val="auto"/>
              </w:rPr>
              <w:t>December 31,</w:t>
            </w:r>
          </w:p>
        </w:tc>
        <w:tc>
          <w:tcPr>
            <w:tcW w:w="0" w:type="dxa"/>
            <w:vAlign w:val="bottom"/>
          </w:tcPr>
          <w:p>
            <w:pPr>
              <w:spacing w:after="0"/>
              <w:rPr>
                <w:sz w:val="1"/>
                <w:szCs w:val="1"/>
                <w:color w:val="auto"/>
              </w:rPr>
            </w:pPr>
          </w:p>
        </w:tc>
      </w:tr>
      <w:tr>
        <w:trPr>
          <w:trHeight w:val="169"/>
        </w:trPr>
        <w:tc>
          <w:tcPr>
            <w:tcW w:w="6340" w:type="dxa"/>
            <w:vAlign w:val="bottom"/>
            <w:tcBorders>
              <w:bottom w:val="single" w:sz="8" w:color="CCEEFF"/>
            </w:tcBorders>
          </w:tcPr>
          <w:p>
            <w:pPr>
              <w:spacing w:after="0"/>
              <w:rPr>
                <w:sz w:val="14"/>
                <w:szCs w:val="14"/>
                <w:color w:val="auto"/>
              </w:rPr>
            </w:pPr>
          </w:p>
        </w:tc>
        <w:tc>
          <w:tcPr>
            <w:tcW w:w="2140" w:type="dxa"/>
            <w:vAlign w:val="bottom"/>
            <w:tcBorders>
              <w:bottom w:val="single" w:sz="8" w:color="CCEEFF"/>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02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140" w:type="dxa"/>
            <w:vAlign w:val="bottom"/>
            <w:tcBorders>
              <w:bottom w:val="single" w:sz="8" w:color="CCEEFF"/>
            </w:tcBorders>
          </w:tcPr>
          <w:p>
            <w:pPr>
              <w:spacing w:after="0"/>
              <w:rPr>
                <w:sz w:val="14"/>
                <w:szCs w:val="14"/>
                <w:color w:val="auto"/>
              </w:rPr>
            </w:pPr>
          </w:p>
        </w:tc>
        <w:tc>
          <w:tcPr>
            <w:tcW w:w="100" w:type="dxa"/>
            <w:vAlign w:val="bottom"/>
            <w:tcBorders>
              <w:bottom w:val="single" w:sz="8" w:color="CCEEFF"/>
            </w:tcBorders>
          </w:tcPr>
          <w:p>
            <w:pPr>
              <w:spacing w:after="0"/>
              <w:rPr>
                <w:sz w:val="14"/>
                <w:szCs w:val="14"/>
                <w:color w:val="auto"/>
              </w:rPr>
            </w:pPr>
          </w:p>
        </w:tc>
        <w:tc>
          <w:tcPr>
            <w:tcW w:w="140" w:type="dxa"/>
            <w:vAlign w:val="bottom"/>
            <w:tcBorders>
              <w:bottom w:val="single" w:sz="8" w:color="auto"/>
            </w:tcBorders>
          </w:tcPr>
          <w:p>
            <w:pPr>
              <w:spacing w:after="0"/>
              <w:rPr>
                <w:sz w:val="14"/>
                <w:szCs w:val="14"/>
                <w:color w:val="auto"/>
              </w:rPr>
            </w:pPr>
          </w:p>
        </w:tc>
        <w:tc>
          <w:tcPr>
            <w:tcW w:w="108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6340" w:type="dxa"/>
            <w:vAlign w:val="bottom"/>
            <w:shd w:val="clear" w:color="auto" w:fill="CCEEFF"/>
          </w:tcPr>
          <w:p>
            <w:pPr>
              <w:spacing w:after="0" w:line="146" w:lineRule="exact"/>
              <w:rPr>
                <w:sz w:val="20"/>
                <w:szCs w:val="20"/>
                <w:color w:val="auto"/>
              </w:rPr>
            </w:pPr>
            <w:r>
              <w:rPr>
                <w:rFonts w:ascii="Arial" w:cs="Arial" w:eastAsia="Arial" w:hAnsi="Arial"/>
                <w:sz w:val="13"/>
                <w:szCs w:val="13"/>
                <w:color w:val="auto"/>
              </w:rPr>
              <w:t>Convertible notes, net of fees and discount</w:t>
            </w:r>
          </w:p>
        </w:tc>
        <w:tc>
          <w:tcPr>
            <w:tcW w:w="2140" w:type="dxa"/>
            <w:vAlign w:val="bottom"/>
            <w:shd w:val="clear" w:color="auto" w:fill="CCEEFF"/>
          </w:tcPr>
          <w:p>
            <w:pPr>
              <w:spacing w:after="0"/>
              <w:rPr>
                <w:sz w:val="12"/>
                <w:szCs w:val="12"/>
                <w:color w:val="auto"/>
              </w:rPr>
            </w:pPr>
          </w:p>
        </w:tc>
        <w:tc>
          <w:tcPr>
            <w:tcW w:w="220" w:type="dxa"/>
            <w:vAlign w:val="bottom"/>
            <w:shd w:val="clear" w:color="auto" w:fill="CCEEFF"/>
          </w:tcPr>
          <w:p>
            <w:pPr>
              <w:jc w:val="right"/>
              <w:ind w:right="11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4,893,935</w:t>
            </w:r>
          </w:p>
        </w:tc>
        <w:tc>
          <w:tcPr>
            <w:tcW w:w="1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40" w:type="dxa"/>
            <w:vAlign w:val="bottom"/>
            <w:shd w:val="clear" w:color="auto" w:fill="CCEEFF"/>
          </w:tcPr>
          <w:p>
            <w:pPr>
              <w:jc w:val="right"/>
              <w:ind w:right="31"/>
              <w:spacing w:after="0"/>
              <w:rPr>
                <w:sz w:val="20"/>
                <w:szCs w:val="20"/>
                <w:color w:val="auto"/>
              </w:rPr>
            </w:pPr>
            <w:r>
              <w:rPr>
                <w:rFonts w:ascii="Arial" w:cs="Arial" w:eastAsia="Arial" w:hAnsi="Arial"/>
                <w:sz w:val="10"/>
                <w:szCs w:val="10"/>
                <w:color w:val="auto"/>
                <w:w w:val="71"/>
              </w:rPr>
              <w:t>$</w:t>
            </w:r>
          </w:p>
        </w:tc>
        <w:tc>
          <w:tcPr>
            <w:tcW w:w="108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3,756,018</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6340" w:type="dxa"/>
            <w:vAlign w:val="bottom"/>
          </w:tcPr>
          <w:p>
            <w:pPr>
              <w:spacing w:after="0"/>
              <w:rPr>
                <w:sz w:val="20"/>
                <w:szCs w:val="20"/>
                <w:color w:val="auto"/>
              </w:rPr>
            </w:pPr>
            <w:r>
              <w:rPr>
                <w:rFonts w:ascii="Arial" w:cs="Arial" w:eastAsia="Arial" w:hAnsi="Arial"/>
                <w:sz w:val="13"/>
                <w:szCs w:val="13"/>
                <w:color w:val="auto"/>
              </w:rPr>
              <w:t>PPP Loan</w:t>
            </w:r>
          </w:p>
        </w:tc>
        <w:tc>
          <w:tcPr>
            <w:tcW w:w="21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160" w:type="dxa"/>
            <w:vAlign w:val="bottom"/>
            <w:gridSpan w:val="2"/>
          </w:tcPr>
          <w:p>
            <w:pPr>
              <w:jc w:val="right"/>
              <w:ind w:right="140"/>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80" w:type="dxa"/>
            <w:vAlign w:val="bottom"/>
          </w:tcPr>
          <w:p>
            <w:pPr>
              <w:jc w:val="right"/>
              <w:spacing w:after="0"/>
              <w:rPr>
                <w:sz w:val="20"/>
                <w:szCs w:val="20"/>
                <w:color w:val="auto"/>
              </w:rPr>
            </w:pPr>
            <w:r>
              <w:rPr>
                <w:rFonts w:ascii="Arial" w:cs="Arial" w:eastAsia="Arial" w:hAnsi="Arial"/>
                <w:sz w:val="13"/>
                <w:szCs w:val="13"/>
                <w:color w:val="auto"/>
              </w:rPr>
              <w:t>822,851</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6340" w:type="dxa"/>
            <w:vAlign w:val="bottom"/>
            <w:tcBorders>
              <w:top w:val="single" w:sz="8" w:color="CCEEFF"/>
            </w:tcBorders>
            <w:shd w:val="clear" w:color="auto" w:fill="CCEEFF"/>
          </w:tcPr>
          <w:p>
            <w:pPr>
              <w:spacing w:after="0" w:line="146" w:lineRule="exact"/>
              <w:rPr>
                <w:sz w:val="20"/>
                <w:szCs w:val="20"/>
                <w:color w:val="auto"/>
              </w:rPr>
            </w:pPr>
            <w:r>
              <w:rPr>
                <w:rFonts w:ascii="Arial" w:cs="Arial" w:eastAsia="Arial" w:hAnsi="Arial"/>
                <w:sz w:val="13"/>
                <w:szCs w:val="13"/>
                <w:color w:val="auto"/>
              </w:rPr>
              <w:t>Total debt</w:t>
            </w:r>
          </w:p>
        </w:tc>
        <w:tc>
          <w:tcPr>
            <w:tcW w:w="2140" w:type="dxa"/>
            <w:vAlign w:val="bottom"/>
            <w:tcBorders>
              <w:top w:val="single" w:sz="8" w:color="CCEEFF"/>
            </w:tcBorders>
            <w:shd w:val="clear" w:color="auto" w:fill="CCEEFF"/>
          </w:tcPr>
          <w:p>
            <w:pPr>
              <w:spacing w:after="0"/>
              <w:rPr>
                <w:sz w:val="12"/>
                <w:szCs w:val="12"/>
                <w:color w:val="auto"/>
              </w:rPr>
            </w:pPr>
          </w:p>
        </w:tc>
        <w:tc>
          <w:tcPr>
            <w:tcW w:w="220" w:type="dxa"/>
            <w:vAlign w:val="bottom"/>
            <w:tcBorders>
              <w:top w:val="single" w:sz="8" w:color="auto"/>
            </w:tcBorders>
            <w:shd w:val="clear" w:color="auto" w:fill="CCEEFF"/>
          </w:tcPr>
          <w:p>
            <w:pPr>
              <w:spacing w:after="0"/>
              <w:rPr>
                <w:sz w:val="12"/>
                <w:szCs w:val="12"/>
                <w:color w:val="auto"/>
              </w:rPr>
            </w:pPr>
          </w:p>
        </w:tc>
        <w:tc>
          <w:tcPr>
            <w:tcW w:w="102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4,893,935</w:t>
            </w:r>
          </w:p>
        </w:tc>
        <w:tc>
          <w:tcPr>
            <w:tcW w:w="140" w:type="dxa"/>
            <w:vAlign w:val="bottom"/>
            <w:tcBorders>
              <w:top w:val="single" w:sz="8" w:color="CCEEFF"/>
            </w:tcBorders>
            <w:shd w:val="clear" w:color="auto" w:fill="CCEEFF"/>
          </w:tcPr>
          <w:p>
            <w:pPr>
              <w:spacing w:after="0"/>
              <w:rPr>
                <w:sz w:val="12"/>
                <w:szCs w:val="12"/>
                <w:color w:val="auto"/>
              </w:rPr>
            </w:pPr>
          </w:p>
        </w:tc>
        <w:tc>
          <w:tcPr>
            <w:tcW w:w="100" w:type="dxa"/>
            <w:vAlign w:val="bottom"/>
            <w:tcBorders>
              <w:top w:val="single" w:sz="8" w:color="CCEEFF"/>
            </w:tcBorders>
            <w:shd w:val="clear" w:color="auto" w:fill="CCEEFF"/>
          </w:tcPr>
          <w:p>
            <w:pPr>
              <w:spacing w:after="0"/>
              <w:rPr>
                <w:sz w:val="12"/>
                <w:szCs w:val="12"/>
                <w:color w:val="auto"/>
              </w:rPr>
            </w:pPr>
          </w:p>
        </w:tc>
        <w:tc>
          <w:tcPr>
            <w:tcW w:w="140" w:type="dxa"/>
            <w:vAlign w:val="bottom"/>
            <w:tcBorders>
              <w:top w:val="single" w:sz="8" w:color="auto"/>
            </w:tcBorders>
            <w:shd w:val="clear" w:color="auto" w:fill="CCEEFF"/>
          </w:tcPr>
          <w:p>
            <w:pPr>
              <w:spacing w:after="0"/>
              <w:rPr>
                <w:sz w:val="12"/>
                <w:szCs w:val="12"/>
                <w:color w:val="auto"/>
              </w:rPr>
            </w:pPr>
          </w:p>
        </w:tc>
        <w:tc>
          <w:tcPr>
            <w:tcW w:w="108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4,578,869</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6340" w:type="dxa"/>
            <w:vAlign w:val="bottom"/>
          </w:tcPr>
          <w:p>
            <w:pPr>
              <w:ind w:left="120"/>
              <w:spacing w:after="0"/>
              <w:rPr>
                <w:sz w:val="20"/>
                <w:szCs w:val="20"/>
                <w:color w:val="auto"/>
              </w:rPr>
            </w:pPr>
            <w:r>
              <w:rPr>
                <w:rFonts w:ascii="Arial" w:cs="Arial" w:eastAsia="Arial" w:hAnsi="Arial"/>
                <w:sz w:val="13"/>
                <w:szCs w:val="13"/>
                <w:color w:val="auto"/>
              </w:rPr>
              <w:t>Less: current portion of debt obligations</w:t>
            </w:r>
          </w:p>
        </w:tc>
        <w:tc>
          <w:tcPr>
            <w:tcW w:w="214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160" w:type="dxa"/>
            <w:vAlign w:val="bottom"/>
            <w:gridSpan w:val="2"/>
          </w:tcPr>
          <w:p>
            <w:pPr>
              <w:jc w:val="right"/>
              <w:ind w:right="100"/>
              <w:spacing w:after="0"/>
              <w:rPr>
                <w:sz w:val="20"/>
                <w:szCs w:val="20"/>
                <w:color w:val="auto"/>
              </w:rPr>
            </w:pPr>
            <w:r>
              <w:rPr>
                <w:rFonts w:ascii="Arial" w:cs="Arial" w:eastAsia="Arial" w:hAnsi="Arial"/>
                <w:sz w:val="13"/>
                <w:szCs w:val="13"/>
                <w:color w:val="auto"/>
              </w:rPr>
              <w:t>(4,893,935)</w:t>
            </w: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8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0"/>
        </w:trPr>
        <w:tc>
          <w:tcPr>
            <w:tcW w:w="6340" w:type="dxa"/>
            <w:vAlign w:val="bottom"/>
            <w:vMerge w:val="restart"/>
            <w:shd w:val="clear" w:color="auto" w:fill="CCEEFF"/>
          </w:tcPr>
          <w:p>
            <w:pPr>
              <w:spacing w:after="0"/>
              <w:rPr>
                <w:sz w:val="20"/>
                <w:szCs w:val="20"/>
                <w:color w:val="auto"/>
              </w:rPr>
            </w:pPr>
            <w:r>
              <w:rPr>
                <w:rFonts w:ascii="Arial" w:cs="Arial" w:eastAsia="Arial" w:hAnsi="Arial"/>
                <w:sz w:val="13"/>
                <w:szCs w:val="13"/>
                <w:color w:val="auto"/>
              </w:rPr>
              <w:t>Non-current portion of debt obligations</w:t>
            </w:r>
          </w:p>
        </w:tc>
        <w:tc>
          <w:tcPr>
            <w:tcW w:w="2140" w:type="dxa"/>
            <w:vAlign w:val="bottom"/>
            <w:shd w:val="clear" w:color="auto" w:fill="CCEEFF"/>
          </w:tcPr>
          <w:p>
            <w:pPr>
              <w:spacing w:after="0" w:line="20" w:lineRule="exact"/>
              <w:rPr>
                <w:sz w:val="1"/>
                <w:szCs w:val="1"/>
                <w:color w:val="auto"/>
              </w:rPr>
            </w:pPr>
          </w:p>
        </w:tc>
        <w:tc>
          <w:tcPr>
            <w:tcW w:w="220" w:type="dxa"/>
            <w:vAlign w:val="bottom"/>
            <w:shd w:val="clear" w:color="auto" w:fill="000000"/>
          </w:tcPr>
          <w:p>
            <w:pPr>
              <w:spacing w:after="0" w:line="20" w:lineRule="exact"/>
              <w:rPr>
                <w:sz w:val="1"/>
                <w:szCs w:val="1"/>
                <w:color w:val="auto"/>
              </w:rPr>
            </w:pPr>
          </w:p>
        </w:tc>
        <w:tc>
          <w:tcPr>
            <w:tcW w:w="1020" w:type="dxa"/>
            <w:vAlign w:val="bottom"/>
            <w:shd w:val="clear" w:color="auto" w:fill="000000"/>
          </w:tcPr>
          <w:p>
            <w:pPr>
              <w:spacing w:after="0" w:line="20" w:lineRule="exact"/>
              <w:rPr>
                <w:sz w:val="1"/>
                <w:szCs w:val="1"/>
                <w:color w:val="auto"/>
              </w:rPr>
            </w:pPr>
          </w:p>
        </w:tc>
        <w:tc>
          <w:tcPr>
            <w:tcW w:w="140" w:type="dxa"/>
            <w:vAlign w:val="bottom"/>
            <w:shd w:val="clear" w:color="auto" w:fill="CCEEFF"/>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140" w:type="dxa"/>
            <w:vAlign w:val="bottom"/>
            <w:shd w:val="clear" w:color="auto" w:fill="000000"/>
          </w:tcPr>
          <w:p>
            <w:pPr>
              <w:spacing w:after="0" w:line="20" w:lineRule="exact"/>
              <w:rPr>
                <w:sz w:val="1"/>
                <w:szCs w:val="1"/>
                <w:color w:val="auto"/>
              </w:rPr>
            </w:pPr>
          </w:p>
        </w:tc>
        <w:tc>
          <w:tcPr>
            <w:tcW w:w="108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5"/>
        </w:trPr>
        <w:tc>
          <w:tcPr>
            <w:tcW w:w="6340" w:type="dxa"/>
            <w:vAlign w:val="bottom"/>
            <w:vMerge w:val="continue"/>
            <w:shd w:val="clear" w:color="auto" w:fill="CCEEFF"/>
          </w:tcPr>
          <w:p>
            <w:pPr>
              <w:spacing w:after="0"/>
              <w:rPr>
                <w:sz w:val="13"/>
                <w:szCs w:val="13"/>
                <w:color w:val="auto"/>
              </w:rPr>
            </w:pPr>
          </w:p>
        </w:tc>
        <w:tc>
          <w:tcPr>
            <w:tcW w:w="2360" w:type="dxa"/>
            <w:vAlign w:val="bottom"/>
            <w:gridSpan w:val="2"/>
            <w:shd w:val="clear" w:color="auto" w:fill="CCEEFF"/>
          </w:tcPr>
          <w:p>
            <w:pPr>
              <w:jc w:val="right"/>
              <w:ind w:right="111"/>
              <w:spacing w:after="0"/>
              <w:rPr>
                <w:sz w:val="20"/>
                <w:szCs w:val="20"/>
                <w:color w:val="auto"/>
              </w:rPr>
            </w:pPr>
            <w:r>
              <w:rPr>
                <w:rFonts w:ascii="Arial" w:cs="Arial" w:eastAsia="Arial" w:hAnsi="Arial"/>
                <w:sz w:val="13"/>
                <w:szCs w:val="13"/>
                <w:color w:val="auto"/>
              </w:rPr>
              <w:t>$</w:t>
            </w:r>
          </w:p>
        </w:tc>
        <w:tc>
          <w:tcPr>
            <w:tcW w:w="1160" w:type="dxa"/>
            <w:vAlign w:val="bottom"/>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w:t>
            </w:r>
          </w:p>
        </w:tc>
        <w:tc>
          <w:tcPr>
            <w:tcW w:w="240" w:type="dxa"/>
            <w:vAlign w:val="bottom"/>
            <w:gridSpan w:val="2"/>
            <w:shd w:val="clear" w:color="auto" w:fill="CCEEFF"/>
          </w:tcPr>
          <w:p>
            <w:pPr>
              <w:jc w:val="right"/>
              <w:ind w:right="31"/>
              <w:spacing w:after="0"/>
              <w:rPr>
                <w:sz w:val="20"/>
                <w:szCs w:val="20"/>
                <w:color w:val="auto"/>
              </w:rPr>
            </w:pPr>
            <w:r>
              <w:rPr>
                <w:rFonts w:ascii="Arial" w:cs="Arial" w:eastAsia="Arial" w:hAnsi="Arial"/>
                <w:sz w:val="13"/>
                <w:szCs w:val="13"/>
                <w:color w:val="auto"/>
              </w:rPr>
              <w:t>$</w:t>
            </w: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4,578,869</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30"/>
        </w:trPr>
        <w:tc>
          <w:tcPr>
            <w:tcW w:w="6340" w:type="dxa"/>
            <w:vAlign w:val="bottom"/>
            <w:shd w:val="clear" w:color="auto" w:fill="CCEEFF"/>
          </w:tcPr>
          <w:p>
            <w:pPr>
              <w:spacing w:after="0"/>
              <w:rPr>
                <w:sz w:val="2"/>
                <w:szCs w:val="2"/>
                <w:color w:val="auto"/>
              </w:rPr>
            </w:pPr>
          </w:p>
        </w:tc>
        <w:tc>
          <w:tcPr>
            <w:tcW w:w="2140" w:type="dxa"/>
            <w:vAlign w:val="bottom"/>
            <w:shd w:val="clear" w:color="auto" w:fill="CCEEFF"/>
          </w:tcPr>
          <w:p>
            <w:pPr>
              <w:spacing w:after="0"/>
              <w:rPr>
                <w:sz w:val="2"/>
                <w:szCs w:val="2"/>
                <w:color w:val="auto"/>
              </w:rPr>
            </w:pPr>
          </w:p>
        </w:tc>
        <w:tc>
          <w:tcPr>
            <w:tcW w:w="220" w:type="dxa"/>
            <w:vAlign w:val="bottom"/>
            <w:shd w:val="clear" w:color="auto" w:fill="000000"/>
          </w:tcPr>
          <w:p>
            <w:pPr>
              <w:spacing w:after="0"/>
              <w:rPr>
                <w:sz w:val="2"/>
                <w:szCs w:val="2"/>
                <w:color w:val="auto"/>
              </w:rPr>
            </w:pPr>
          </w:p>
        </w:tc>
        <w:tc>
          <w:tcPr>
            <w:tcW w:w="1020" w:type="dxa"/>
            <w:vAlign w:val="bottom"/>
            <w:shd w:val="clear" w:color="auto" w:fill="000000"/>
          </w:tcPr>
          <w:p>
            <w:pPr>
              <w:spacing w:after="0"/>
              <w:rPr>
                <w:sz w:val="2"/>
                <w:szCs w:val="2"/>
                <w:color w:val="auto"/>
              </w:rPr>
            </w:pPr>
          </w:p>
        </w:tc>
        <w:tc>
          <w:tcPr>
            <w:tcW w:w="14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40" w:type="dxa"/>
            <w:vAlign w:val="bottom"/>
            <w:shd w:val="clear" w:color="auto" w:fill="000000"/>
          </w:tcPr>
          <w:p>
            <w:pPr>
              <w:spacing w:after="0"/>
              <w:rPr>
                <w:sz w:val="2"/>
                <w:szCs w:val="2"/>
                <w:color w:val="auto"/>
              </w:rPr>
            </w:pPr>
          </w:p>
        </w:tc>
        <w:tc>
          <w:tcPr>
            <w:tcW w:w="108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5: Stock-Based Compensation</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Equity Incentive Plans</w:t>
      </w:r>
    </w:p>
    <w:p>
      <w:pPr>
        <w:spacing w:after="0" w:line="163" w:lineRule="exact"/>
        <w:rPr>
          <w:sz w:val="20"/>
          <w:szCs w:val="20"/>
          <w:color w:val="auto"/>
        </w:rPr>
      </w:pPr>
    </w:p>
    <w:p>
      <w:pPr>
        <w:jc w:val="both"/>
        <w:spacing w:after="0" w:line="255" w:lineRule="auto"/>
        <w:rPr>
          <w:sz w:val="20"/>
          <w:szCs w:val="20"/>
          <w:color w:val="auto"/>
        </w:rPr>
      </w:pPr>
      <w:r>
        <w:rPr>
          <w:rFonts w:ascii="Arial" w:cs="Arial" w:eastAsia="Arial" w:hAnsi="Arial"/>
          <w:sz w:val="13"/>
          <w:szCs w:val="13"/>
          <w:color w:val="auto"/>
        </w:rPr>
        <w:t>In April 2014, the Board of Directors adopted the 2014 Equity Incentive Plan (the “2014 Plan”) allowing for the issuance of up to 2,000,000 shares of common stock through grants of options, stock appreciation rights, restricted stock or restricted stock units. In December 2016, the 2014 Plan was terminated, and the Company’s Board of Directors adopted a new equity incentive plan defined as the 2016 Equity Incentive Plan (the “2016 Plan”) in which the remaining 1,936,014 shares available for issuance under the 2014 Plan at that time were transferred to the Company’s 2016 Plan. Awards outstanding under the 2014 Plan at the time of the 2014 Plan’s termination will continue to be governed by their existing terms. The shares underlying any awards that are forfeited, canceled, repurchased or are otherwise terminated by the Company under the 2014 Plan will be added back to the shares of common stock available for issuance under the Company’s 2016 Plan. The 2016 Plan provides for the granting of stock awards such as incentive stock options, nonstatutory stock options, stock appreciation rights, restricted stock or restricted stock units to employees, directors and outside consultants as determined by the Board of Directors. As of June 30, 2021, 1,623,814 shares were available for future grants under the 2016 Plan.</w:t>
      </w:r>
    </w:p>
    <w:p>
      <w:pPr>
        <w:spacing w:after="0" w:line="139" w:lineRule="exact"/>
        <w:rPr>
          <w:sz w:val="20"/>
          <w:szCs w:val="20"/>
          <w:color w:val="auto"/>
        </w:rPr>
      </w:pPr>
    </w:p>
    <w:p>
      <w:pPr>
        <w:jc w:val="both"/>
        <w:spacing w:after="0" w:line="307" w:lineRule="auto"/>
        <w:rPr>
          <w:sz w:val="20"/>
          <w:szCs w:val="20"/>
          <w:color w:val="auto"/>
        </w:rPr>
      </w:pPr>
      <w:r>
        <w:rPr>
          <w:rFonts w:ascii="Arial" w:cs="Arial" w:eastAsia="Arial" w:hAnsi="Arial"/>
          <w:sz w:val="11"/>
          <w:szCs w:val="11"/>
          <w:color w:val="auto"/>
        </w:rPr>
        <w:t>The Board may grant stock options under the 2016 Plan at a price of not less than 100% of the fair market value of the Company’s common stock on the date the option is granted. The option exercise price generally may not be less than the underlying stock’s fair market value at the date of grant and generally have a term of ten years. Incentive stock options granted to employees who, on the date of grant, own stock representing more than 10% of the voting power of all of the Company’s classes of stock, are granted at an exercise price of not less than 110% of the fair market value of the Company’s common stock. The maximum term of incentive stock options granted to employees who, on the date of grant, own stock having more than 10% of the voting power of all the Company’s classes of stock, may not exceed five years. The Board of Directors also determines the terms and conditions of awards, including the vesting schedule and any forfeiture provisions. Options granted under the 2016 Plan may vest upon the passage of time, generally four years, or upon the attainment of certain performance criteria established by the Board of Directors. The Company may from time-to-time grant options to purchase common stock to nonemployees for advisory and consulting services. At each measurement date, the Company will remeasure the fair value of these stock options using the Black-Scholes option pricing model and recognize the expense ratably over the vesting period of each stock option award. The amounts granted each calendar year to an employee or non-employee is limited depending on the type of award. Stock options comprise all of the awards granted since the Plan’s inception.</w:t>
      </w:r>
    </w:p>
    <w:p>
      <w:pPr>
        <w:spacing w:after="0" w:line="113" w:lineRule="exact"/>
        <w:rPr>
          <w:sz w:val="20"/>
          <w:szCs w:val="20"/>
          <w:color w:val="auto"/>
        </w:rPr>
      </w:pPr>
    </w:p>
    <w:p>
      <w:pPr>
        <w:spacing w:after="0"/>
        <w:rPr>
          <w:sz w:val="20"/>
          <w:szCs w:val="20"/>
          <w:color w:val="auto"/>
        </w:rPr>
      </w:pPr>
      <w:r>
        <w:rPr>
          <w:rFonts w:ascii="Arial" w:cs="Arial" w:eastAsia="Arial" w:hAnsi="Arial"/>
          <w:sz w:val="13"/>
          <w:szCs w:val="13"/>
          <w:color w:val="auto"/>
        </w:rPr>
        <w:t>Stock option activity under all of the Company’s equity incentive plans for the six month period ended of June 30, 2021 is as follows:</w:t>
      </w:r>
    </w:p>
    <w:p>
      <w:pPr>
        <w:spacing w:after="0" w:line="159" w:lineRule="exact"/>
        <w:rPr>
          <w:sz w:val="20"/>
          <w:szCs w:val="20"/>
          <w:color w:val="auto"/>
        </w:rPr>
      </w:pPr>
    </w:p>
    <w:tbl>
      <w:tblPr>
        <w:tblLayout w:type="fixed"/>
        <w:tblInd w:w="0" w:type="dxa"/>
        <w:tblCellMar>
          <w:top w:w="0" w:type="dxa"/>
          <w:left w:w="0" w:type="dxa"/>
          <w:bottom w:w="0" w:type="dxa"/>
          <w:right w:w="0" w:type="dxa"/>
        </w:tblCellMar>
      </w:tblPr>
      <w:tr>
        <w:trPr>
          <w:trHeight w:val="156"/>
        </w:trPr>
        <w:tc>
          <w:tcPr>
            <w:tcW w:w="20" w:type="dxa"/>
            <w:vAlign w:val="bottom"/>
          </w:tcPr>
          <w:p>
            <w:pPr>
              <w:spacing w:after="0"/>
              <w:rPr>
                <w:sz w:val="13"/>
                <w:szCs w:val="13"/>
                <w:color w:val="auto"/>
              </w:rPr>
            </w:pPr>
          </w:p>
        </w:tc>
        <w:tc>
          <w:tcPr>
            <w:tcW w:w="4060" w:type="dxa"/>
            <w:vAlign w:val="bottom"/>
          </w:tcPr>
          <w:p>
            <w:pPr>
              <w:spacing w:after="0"/>
              <w:rPr>
                <w:sz w:val="13"/>
                <w:szCs w:val="13"/>
                <w:color w:val="auto"/>
              </w:rPr>
            </w:pPr>
          </w:p>
        </w:tc>
        <w:tc>
          <w:tcPr>
            <w:tcW w:w="12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2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980" w:type="dxa"/>
            <w:vAlign w:val="bottom"/>
          </w:tcPr>
          <w:p>
            <w:pPr>
              <w:jc w:val="center"/>
              <w:ind w:left="195"/>
              <w:spacing w:after="0"/>
              <w:rPr>
                <w:sz w:val="20"/>
                <w:szCs w:val="20"/>
                <w:color w:val="auto"/>
              </w:rPr>
            </w:pPr>
            <w:r>
              <w:rPr>
                <w:rFonts w:ascii="Arial" w:cs="Arial" w:eastAsia="Arial" w:hAnsi="Arial"/>
                <w:sz w:val="13"/>
                <w:szCs w:val="13"/>
                <w:b w:val="1"/>
                <w:bCs w:val="1"/>
                <w:color w:val="auto"/>
                <w:w w:val="88"/>
              </w:rPr>
              <w:t>Weighted</w:t>
            </w:r>
          </w:p>
        </w:tc>
        <w:tc>
          <w:tcPr>
            <w:tcW w:w="2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0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tcPr>
          <w:p>
            <w:pPr>
              <w:spacing w:after="0"/>
              <w:rPr>
                <w:sz w:val="13"/>
                <w:szCs w:val="13"/>
                <w:color w:val="auto"/>
              </w:rPr>
            </w:pPr>
          </w:p>
        </w:tc>
        <w:tc>
          <w:tcPr>
            <w:tcW w:w="12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26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960" w:type="dxa"/>
            <w:vAlign w:val="bottom"/>
          </w:tcPr>
          <w:p>
            <w:pPr>
              <w:jc w:val="center"/>
              <w:ind w:left="235"/>
              <w:spacing w:after="0"/>
              <w:rPr>
                <w:sz w:val="20"/>
                <w:szCs w:val="20"/>
                <w:color w:val="auto"/>
              </w:rPr>
            </w:pPr>
            <w:r>
              <w:rPr>
                <w:rFonts w:ascii="Arial" w:cs="Arial" w:eastAsia="Arial" w:hAnsi="Arial"/>
                <w:sz w:val="13"/>
                <w:szCs w:val="13"/>
                <w:b w:val="1"/>
                <w:bCs w:val="1"/>
                <w:color w:val="auto"/>
                <w:w w:val="92"/>
              </w:rPr>
              <w:t>Weighted</w:t>
            </w:r>
          </w:p>
        </w:tc>
        <w:tc>
          <w:tcPr>
            <w:tcW w:w="2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980" w:type="dxa"/>
            <w:vAlign w:val="bottom"/>
          </w:tcPr>
          <w:p>
            <w:pPr>
              <w:jc w:val="center"/>
              <w:ind w:left="195"/>
              <w:spacing w:after="0"/>
              <w:rPr>
                <w:sz w:val="20"/>
                <w:szCs w:val="20"/>
                <w:color w:val="auto"/>
              </w:rPr>
            </w:pPr>
            <w:r>
              <w:rPr>
                <w:rFonts w:ascii="Arial" w:cs="Arial" w:eastAsia="Arial" w:hAnsi="Arial"/>
                <w:sz w:val="13"/>
                <w:szCs w:val="13"/>
                <w:b w:val="1"/>
                <w:bCs w:val="1"/>
                <w:color w:val="auto"/>
                <w:w w:val="85"/>
              </w:rPr>
              <w:t>Average</w:t>
            </w:r>
          </w:p>
        </w:tc>
        <w:tc>
          <w:tcPr>
            <w:tcW w:w="2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0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tcPr>
          <w:p>
            <w:pPr>
              <w:spacing w:after="0"/>
              <w:rPr>
                <w:sz w:val="13"/>
                <w:szCs w:val="13"/>
                <w:color w:val="auto"/>
              </w:rPr>
            </w:pPr>
          </w:p>
        </w:tc>
        <w:tc>
          <w:tcPr>
            <w:tcW w:w="1360" w:type="dxa"/>
            <w:vAlign w:val="bottom"/>
            <w:gridSpan w:val="2"/>
          </w:tcPr>
          <w:p>
            <w:pPr>
              <w:jc w:val="center"/>
              <w:ind w:right="140"/>
              <w:spacing w:after="0"/>
              <w:rPr>
                <w:sz w:val="20"/>
                <w:szCs w:val="20"/>
                <w:color w:val="auto"/>
              </w:rPr>
            </w:pPr>
            <w:r>
              <w:rPr>
                <w:rFonts w:ascii="Arial" w:cs="Arial" w:eastAsia="Arial" w:hAnsi="Arial"/>
                <w:sz w:val="13"/>
                <w:szCs w:val="13"/>
                <w:b w:val="1"/>
                <w:bCs w:val="1"/>
                <w:color w:val="auto"/>
                <w:w w:val="87"/>
              </w:rPr>
              <w:t>Shares</w:t>
            </w:r>
          </w:p>
        </w:tc>
        <w:tc>
          <w:tcPr>
            <w:tcW w:w="120" w:type="dxa"/>
            <w:vAlign w:val="bottom"/>
          </w:tcPr>
          <w:p>
            <w:pPr>
              <w:spacing w:after="0"/>
              <w:rPr>
                <w:sz w:val="13"/>
                <w:szCs w:val="13"/>
                <w:color w:val="auto"/>
              </w:rPr>
            </w:pPr>
          </w:p>
        </w:tc>
        <w:tc>
          <w:tcPr>
            <w:tcW w:w="1400" w:type="dxa"/>
            <w:vAlign w:val="bottom"/>
            <w:gridSpan w:val="2"/>
          </w:tcPr>
          <w:p>
            <w:pPr>
              <w:jc w:val="center"/>
              <w:ind w:right="160"/>
              <w:spacing w:after="0"/>
              <w:rPr>
                <w:sz w:val="20"/>
                <w:szCs w:val="20"/>
                <w:color w:val="auto"/>
              </w:rPr>
            </w:pPr>
            <w:r>
              <w:rPr>
                <w:rFonts w:ascii="Arial" w:cs="Arial" w:eastAsia="Arial" w:hAnsi="Arial"/>
                <w:sz w:val="13"/>
                <w:szCs w:val="13"/>
                <w:b w:val="1"/>
                <w:bCs w:val="1"/>
                <w:color w:val="auto"/>
                <w:w w:val="92"/>
              </w:rPr>
              <w:t>Number of</w:t>
            </w:r>
          </w:p>
        </w:tc>
        <w:tc>
          <w:tcPr>
            <w:tcW w:w="80" w:type="dxa"/>
            <w:vAlign w:val="bottom"/>
          </w:tcPr>
          <w:p>
            <w:pPr>
              <w:spacing w:after="0"/>
              <w:rPr>
                <w:sz w:val="13"/>
                <w:szCs w:val="13"/>
                <w:color w:val="auto"/>
              </w:rPr>
            </w:pPr>
          </w:p>
        </w:tc>
        <w:tc>
          <w:tcPr>
            <w:tcW w:w="960" w:type="dxa"/>
            <w:vAlign w:val="bottom"/>
          </w:tcPr>
          <w:p>
            <w:pPr>
              <w:jc w:val="center"/>
              <w:ind w:left="235"/>
              <w:spacing w:after="0"/>
              <w:rPr>
                <w:sz w:val="20"/>
                <w:szCs w:val="20"/>
                <w:color w:val="auto"/>
              </w:rPr>
            </w:pPr>
            <w:r>
              <w:rPr>
                <w:rFonts w:ascii="Arial" w:cs="Arial" w:eastAsia="Arial" w:hAnsi="Arial"/>
                <w:sz w:val="13"/>
                <w:szCs w:val="13"/>
                <w:b w:val="1"/>
                <w:bCs w:val="1"/>
                <w:color w:val="auto"/>
                <w:w w:val="89"/>
              </w:rPr>
              <w:t>Average</w:t>
            </w:r>
          </w:p>
        </w:tc>
        <w:tc>
          <w:tcPr>
            <w:tcW w:w="2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980" w:type="dxa"/>
            <w:vAlign w:val="bottom"/>
          </w:tcPr>
          <w:p>
            <w:pPr>
              <w:jc w:val="center"/>
              <w:ind w:left="195"/>
              <w:spacing w:after="0"/>
              <w:rPr>
                <w:sz w:val="20"/>
                <w:szCs w:val="20"/>
                <w:color w:val="auto"/>
              </w:rPr>
            </w:pPr>
            <w:r>
              <w:rPr>
                <w:rFonts w:ascii="Arial" w:cs="Arial" w:eastAsia="Arial" w:hAnsi="Arial"/>
                <w:sz w:val="13"/>
                <w:szCs w:val="13"/>
                <w:b w:val="1"/>
                <w:bCs w:val="1"/>
                <w:color w:val="auto"/>
                <w:w w:val="90"/>
              </w:rPr>
              <w:t>Remaining</w:t>
            </w:r>
          </w:p>
        </w:tc>
        <w:tc>
          <w:tcPr>
            <w:tcW w:w="2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140" w:type="dxa"/>
            <w:vAlign w:val="bottom"/>
            <w:gridSpan w:val="2"/>
          </w:tcPr>
          <w:p>
            <w:pPr>
              <w:jc w:val="center"/>
              <w:ind w:right="280"/>
              <w:spacing w:after="0"/>
              <w:rPr>
                <w:sz w:val="20"/>
                <w:szCs w:val="20"/>
                <w:color w:val="auto"/>
              </w:rPr>
            </w:pPr>
            <w:r>
              <w:rPr>
                <w:rFonts w:ascii="Arial" w:cs="Arial" w:eastAsia="Arial" w:hAnsi="Arial"/>
                <w:sz w:val="13"/>
                <w:szCs w:val="13"/>
                <w:b w:val="1"/>
                <w:bCs w:val="1"/>
                <w:color w:val="auto"/>
                <w:w w:val="90"/>
              </w:rPr>
              <w:t>Aggregate</w:t>
            </w: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tcPr>
          <w:p>
            <w:pPr>
              <w:spacing w:after="0"/>
              <w:rPr>
                <w:sz w:val="13"/>
                <w:szCs w:val="13"/>
                <w:color w:val="auto"/>
              </w:rPr>
            </w:pPr>
          </w:p>
        </w:tc>
        <w:tc>
          <w:tcPr>
            <w:tcW w:w="1360" w:type="dxa"/>
            <w:vAlign w:val="bottom"/>
            <w:gridSpan w:val="2"/>
          </w:tcPr>
          <w:p>
            <w:pPr>
              <w:jc w:val="center"/>
              <w:ind w:right="120"/>
              <w:spacing w:after="0"/>
              <w:rPr>
                <w:sz w:val="20"/>
                <w:szCs w:val="20"/>
                <w:color w:val="auto"/>
              </w:rPr>
            </w:pPr>
            <w:r>
              <w:rPr>
                <w:rFonts w:ascii="Arial" w:cs="Arial" w:eastAsia="Arial" w:hAnsi="Arial"/>
                <w:sz w:val="13"/>
                <w:szCs w:val="13"/>
                <w:b w:val="1"/>
                <w:bCs w:val="1"/>
                <w:color w:val="auto"/>
                <w:w w:val="92"/>
              </w:rPr>
              <w:t>Available for</w:t>
            </w:r>
          </w:p>
        </w:tc>
        <w:tc>
          <w:tcPr>
            <w:tcW w:w="120" w:type="dxa"/>
            <w:vAlign w:val="bottom"/>
          </w:tcPr>
          <w:p>
            <w:pPr>
              <w:spacing w:after="0"/>
              <w:rPr>
                <w:sz w:val="13"/>
                <w:szCs w:val="13"/>
                <w:color w:val="auto"/>
              </w:rPr>
            </w:pPr>
          </w:p>
        </w:tc>
        <w:tc>
          <w:tcPr>
            <w:tcW w:w="1400" w:type="dxa"/>
            <w:vAlign w:val="bottom"/>
            <w:gridSpan w:val="2"/>
          </w:tcPr>
          <w:p>
            <w:pPr>
              <w:jc w:val="center"/>
              <w:ind w:right="140"/>
              <w:spacing w:after="0"/>
              <w:rPr>
                <w:sz w:val="20"/>
                <w:szCs w:val="20"/>
                <w:color w:val="auto"/>
              </w:rPr>
            </w:pPr>
            <w:r>
              <w:rPr>
                <w:rFonts w:ascii="Arial" w:cs="Arial" w:eastAsia="Arial" w:hAnsi="Arial"/>
                <w:sz w:val="13"/>
                <w:szCs w:val="13"/>
                <w:b w:val="1"/>
                <w:bCs w:val="1"/>
                <w:color w:val="auto"/>
                <w:w w:val="87"/>
              </w:rPr>
              <w:t>Shares</w:t>
            </w:r>
          </w:p>
        </w:tc>
        <w:tc>
          <w:tcPr>
            <w:tcW w:w="80" w:type="dxa"/>
            <w:vAlign w:val="bottom"/>
          </w:tcPr>
          <w:p>
            <w:pPr>
              <w:spacing w:after="0"/>
              <w:rPr>
                <w:sz w:val="13"/>
                <w:szCs w:val="13"/>
                <w:color w:val="auto"/>
              </w:rPr>
            </w:pPr>
          </w:p>
        </w:tc>
        <w:tc>
          <w:tcPr>
            <w:tcW w:w="960" w:type="dxa"/>
            <w:vAlign w:val="bottom"/>
          </w:tcPr>
          <w:p>
            <w:pPr>
              <w:jc w:val="center"/>
              <w:ind w:left="235"/>
              <w:spacing w:after="0"/>
              <w:rPr>
                <w:sz w:val="20"/>
                <w:szCs w:val="20"/>
                <w:color w:val="auto"/>
              </w:rPr>
            </w:pPr>
            <w:r>
              <w:rPr>
                <w:rFonts w:ascii="Arial" w:cs="Arial" w:eastAsia="Arial" w:hAnsi="Arial"/>
                <w:sz w:val="13"/>
                <w:szCs w:val="13"/>
                <w:b w:val="1"/>
                <w:bCs w:val="1"/>
                <w:color w:val="auto"/>
                <w:w w:val="85"/>
              </w:rPr>
              <w:t>Exercise</w:t>
            </w:r>
          </w:p>
        </w:tc>
        <w:tc>
          <w:tcPr>
            <w:tcW w:w="28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980" w:type="dxa"/>
            <w:vAlign w:val="bottom"/>
          </w:tcPr>
          <w:p>
            <w:pPr>
              <w:jc w:val="center"/>
              <w:ind w:left="195"/>
              <w:spacing w:after="0"/>
              <w:rPr>
                <w:sz w:val="20"/>
                <w:szCs w:val="20"/>
                <w:color w:val="auto"/>
              </w:rPr>
            </w:pPr>
            <w:r>
              <w:rPr>
                <w:rFonts w:ascii="Arial" w:cs="Arial" w:eastAsia="Arial" w:hAnsi="Arial"/>
                <w:sz w:val="13"/>
                <w:szCs w:val="13"/>
                <w:b w:val="1"/>
                <w:bCs w:val="1"/>
                <w:color w:val="auto"/>
                <w:w w:val="94"/>
              </w:rPr>
              <w:t>Contractual</w:t>
            </w:r>
          </w:p>
        </w:tc>
        <w:tc>
          <w:tcPr>
            <w:tcW w:w="2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140" w:type="dxa"/>
            <w:vAlign w:val="bottom"/>
            <w:gridSpan w:val="2"/>
          </w:tcPr>
          <w:p>
            <w:pPr>
              <w:jc w:val="center"/>
              <w:ind w:right="320"/>
              <w:spacing w:after="0"/>
              <w:rPr>
                <w:sz w:val="20"/>
                <w:szCs w:val="20"/>
                <w:color w:val="auto"/>
              </w:rPr>
            </w:pPr>
            <w:r>
              <w:rPr>
                <w:rFonts w:ascii="Arial" w:cs="Arial" w:eastAsia="Arial" w:hAnsi="Arial"/>
                <w:sz w:val="13"/>
                <w:szCs w:val="13"/>
                <w:b w:val="1"/>
                <w:bCs w:val="1"/>
                <w:color w:val="auto"/>
                <w:w w:val="90"/>
              </w:rPr>
              <w:t>Intrinsic</w:t>
            </w:r>
          </w:p>
        </w:tc>
        <w:tc>
          <w:tcPr>
            <w:tcW w:w="0" w:type="dxa"/>
            <w:vAlign w:val="bottom"/>
          </w:tcPr>
          <w:p>
            <w:pPr>
              <w:spacing w:after="0"/>
              <w:rPr>
                <w:sz w:val="1"/>
                <w:szCs w:val="1"/>
                <w:color w:val="auto"/>
              </w:rPr>
            </w:pPr>
          </w:p>
        </w:tc>
      </w:tr>
      <w:tr>
        <w:trPr>
          <w:trHeight w:val="169"/>
        </w:trPr>
        <w:tc>
          <w:tcPr>
            <w:tcW w:w="20" w:type="dxa"/>
            <w:vAlign w:val="bottom"/>
          </w:tcPr>
          <w:p>
            <w:pPr>
              <w:spacing w:after="0"/>
              <w:rPr>
                <w:sz w:val="14"/>
                <w:szCs w:val="14"/>
                <w:color w:val="auto"/>
              </w:rPr>
            </w:pPr>
          </w:p>
        </w:tc>
        <w:tc>
          <w:tcPr>
            <w:tcW w:w="4060" w:type="dxa"/>
            <w:vAlign w:val="bottom"/>
          </w:tcPr>
          <w:p>
            <w:pPr>
              <w:spacing w:after="0"/>
              <w:rPr>
                <w:sz w:val="14"/>
                <w:szCs w:val="14"/>
                <w:color w:val="auto"/>
              </w:rPr>
            </w:pPr>
          </w:p>
        </w:tc>
        <w:tc>
          <w:tcPr>
            <w:tcW w:w="1360" w:type="dxa"/>
            <w:vAlign w:val="bottom"/>
            <w:gridSpan w:val="2"/>
          </w:tcPr>
          <w:p>
            <w:pPr>
              <w:jc w:val="center"/>
              <w:ind w:right="100"/>
              <w:spacing w:after="0"/>
              <w:rPr>
                <w:sz w:val="20"/>
                <w:szCs w:val="20"/>
                <w:color w:val="auto"/>
              </w:rPr>
            </w:pPr>
            <w:r>
              <w:rPr>
                <w:rFonts w:ascii="Arial" w:cs="Arial" w:eastAsia="Arial" w:hAnsi="Arial"/>
                <w:sz w:val="13"/>
                <w:szCs w:val="13"/>
                <w:b w:val="1"/>
                <w:bCs w:val="1"/>
                <w:color w:val="auto"/>
                <w:w w:val="97"/>
              </w:rPr>
              <w:t>Grant</w:t>
            </w:r>
          </w:p>
        </w:tc>
        <w:tc>
          <w:tcPr>
            <w:tcW w:w="120" w:type="dxa"/>
            <w:vAlign w:val="bottom"/>
          </w:tcPr>
          <w:p>
            <w:pPr>
              <w:spacing w:after="0"/>
              <w:rPr>
                <w:sz w:val="14"/>
                <w:szCs w:val="14"/>
                <w:color w:val="auto"/>
              </w:rPr>
            </w:pPr>
          </w:p>
        </w:tc>
        <w:tc>
          <w:tcPr>
            <w:tcW w:w="1400" w:type="dxa"/>
            <w:vAlign w:val="bottom"/>
            <w:gridSpan w:val="2"/>
          </w:tcPr>
          <w:p>
            <w:pPr>
              <w:jc w:val="center"/>
              <w:ind w:right="140"/>
              <w:spacing w:after="0"/>
              <w:rPr>
                <w:sz w:val="20"/>
                <w:szCs w:val="20"/>
                <w:color w:val="auto"/>
              </w:rPr>
            </w:pPr>
            <w:r>
              <w:rPr>
                <w:rFonts w:ascii="Arial" w:cs="Arial" w:eastAsia="Arial" w:hAnsi="Arial"/>
                <w:sz w:val="13"/>
                <w:szCs w:val="13"/>
                <w:b w:val="1"/>
                <w:bCs w:val="1"/>
                <w:color w:val="auto"/>
                <w:w w:val="91"/>
              </w:rPr>
              <w:t>Outstanding</w:t>
            </w:r>
          </w:p>
        </w:tc>
        <w:tc>
          <w:tcPr>
            <w:tcW w:w="80" w:type="dxa"/>
            <w:vAlign w:val="bottom"/>
          </w:tcPr>
          <w:p>
            <w:pPr>
              <w:spacing w:after="0"/>
              <w:rPr>
                <w:sz w:val="14"/>
                <w:szCs w:val="14"/>
                <w:color w:val="auto"/>
              </w:rPr>
            </w:pPr>
          </w:p>
        </w:tc>
        <w:tc>
          <w:tcPr>
            <w:tcW w:w="960" w:type="dxa"/>
            <w:vAlign w:val="bottom"/>
          </w:tcPr>
          <w:p>
            <w:pPr>
              <w:jc w:val="center"/>
              <w:ind w:left="235"/>
              <w:spacing w:after="0"/>
              <w:rPr>
                <w:sz w:val="20"/>
                <w:szCs w:val="20"/>
                <w:color w:val="auto"/>
              </w:rPr>
            </w:pPr>
            <w:r>
              <w:rPr>
                <w:rFonts w:ascii="Arial" w:cs="Arial" w:eastAsia="Arial" w:hAnsi="Arial"/>
                <w:sz w:val="13"/>
                <w:szCs w:val="13"/>
                <w:b w:val="1"/>
                <w:bCs w:val="1"/>
                <w:color w:val="auto"/>
                <w:w w:val="94"/>
              </w:rPr>
              <w:t>Price</w:t>
            </w:r>
          </w:p>
        </w:tc>
        <w:tc>
          <w:tcPr>
            <w:tcW w:w="28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980" w:type="dxa"/>
            <w:vAlign w:val="bottom"/>
          </w:tcPr>
          <w:p>
            <w:pPr>
              <w:jc w:val="center"/>
              <w:ind w:left="195"/>
              <w:spacing w:after="0"/>
              <w:rPr>
                <w:sz w:val="20"/>
                <w:szCs w:val="20"/>
                <w:color w:val="auto"/>
              </w:rPr>
            </w:pPr>
            <w:r>
              <w:rPr>
                <w:rFonts w:ascii="Arial" w:cs="Arial" w:eastAsia="Arial" w:hAnsi="Arial"/>
                <w:sz w:val="13"/>
                <w:szCs w:val="13"/>
                <w:b w:val="1"/>
                <w:bCs w:val="1"/>
                <w:color w:val="auto"/>
                <w:w w:val="90"/>
              </w:rPr>
              <w:t>Life (Years)</w:t>
            </w:r>
          </w:p>
        </w:tc>
        <w:tc>
          <w:tcPr>
            <w:tcW w:w="2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140" w:type="dxa"/>
            <w:vAlign w:val="bottom"/>
            <w:gridSpan w:val="2"/>
          </w:tcPr>
          <w:p>
            <w:pPr>
              <w:jc w:val="center"/>
              <w:ind w:right="300"/>
              <w:spacing w:after="0"/>
              <w:rPr>
                <w:sz w:val="20"/>
                <w:szCs w:val="20"/>
                <w:color w:val="auto"/>
              </w:rPr>
            </w:pPr>
            <w:r>
              <w:rPr>
                <w:rFonts w:ascii="Arial" w:cs="Arial" w:eastAsia="Arial" w:hAnsi="Arial"/>
                <w:sz w:val="13"/>
                <w:szCs w:val="13"/>
                <w:b w:val="1"/>
                <w:bCs w:val="1"/>
                <w:color w:val="auto"/>
                <w:w w:val="92"/>
              </w:rPr>
              <w:t>Value</w:t>
            </w:r>
          </w:p>
        </w:tc>
        <w:tc>
          <w:tcPr>
            <w:tcW w:w="0" w:type="dxa"/>
            <w:vAlign w:val="bottom"/>
          </w:tcPr>
          <w:p>
            <w:pPr>
              <w:spacing w:after="0"/>
              <w:rPr>
                <w:sz w:val="1"/>
                <w:szCs w:val="1"/>
                <w:color w:val="auto"/>
              </w:rPr>
            </w:pPr>
          </w:p>
        </w:tc>
      </w:tr>
      <w:tr>
        <w:trPr>
          <w:trHeight w:val="147"/>
        </w:trPr>
        <w:tc>
          <w:tcPr>
            <w:tcW w:w="20" w:type="dxa"/>
            <w:vAlign w:val="bottom"/>
          </w:tcPr>
          <w:p>
            <w:pPr>
              <w:spacing w:after="0"/>
              <w:rPr>
                <w:sz w:val="12"/>
                <w:szCs w:val="12"/>
                <w:color w:val="auto"/>
              </w:rPr>
            </w:pPr>
          </w:p>
        </w:tc>
        <w:tc>
          <w:tcPr>
            <w:tcW w:w="4060" w:type="dxa"/>
            <w:vAlign w:val="bottom"/>
            <w:tcBorders>
              <w:top w:val="single" w:sz="8" w:color="CCEEFF"/>
            </w:tcBorders>
            <w:shd w:val="clear" w:color="auto" w:fill="CCEEFF"/>
          </w:tcPr>
          <w:p>
            <w:pPr>
              <w:spacing w:after="0" w:line="146" w:lineRule="exact"/>
              <w:rPr>
                <w:sz w:val="20"/>
                <w:szCs w:val="20"/>
                <w:color w:val="auto"/>
              </w:rPr>
            </w:pPr>
            <w:r>
              <w:rPr>
                <w:rFonts w:ascii="Arial" w:cs="Arial" w:eastAsia="Arial" w:hAnsi="Arial"/>
                <w:sz w:val="13"/>
                <w:szCs w:val="13"/>
                <w:color w:val="auto"/>
              </w:rPr>
              <w:t>Available and outstanding as of December 31, 2020</w:t>
            </w:r>
          </w:p>
        </w:tc>
        <w:tc>
          <w:tcPr>
            <w:tcW w:w="124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1,963,814</w:t>
            </w:r>
          </w:p>
        </w:tc>
        <w:tc>
          <w:tcPr>
            <w:tcW w:w="12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12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7,056,000</w:t>
            </w:r>
          </w:p>
        </w:tc>
        <w:tc>
          <w:tcPr>
            <w:tcW w:w="140" w:type="dxa"/>
            <w:vAlign w:val="bottom"/>
            <w:tcBorders>
              <w:top w:val="single" w:sz="8" w:color="CCEEFF"/>
            </w:tcBorders>
            <w:shd w:val="clear" w:color="auto" w:fill="CCEEFF"/>
          </w:tcPr>
          <w:p>
            <w:pPr>
              <w:spacing w:after="0"/>
              <w:rPr>
                <w:sz w:val="12"/>
                <w:szCs w:val="12"/>
                <w:color w:val="auto"/>
              </w:rPr>
            </w:pPr>
          </w:p>
        </w:tc>
        <w:tc>
          <w:tcPr>
            <w:tcW w:w="80" w:type="dxa"/>
            <w:vAlign w:val="bottom"/>
            <w:tcBorders>
              <w:top w:val="single" w:sz="8" w:color="CCEEFF"/>
            </w:tcBorders>
            <w:shd w:val="clear" w:color="auto" w:fill="CCEEFF"/>
          </w:tcPr>
          <w:p>
            <w:pPr>
              <w:spacing w:after="0"/>
              <w:rPr>
                <w:sz w:val="12"/>
                <w:szCs w:val="12"/>
                <w:color w:val="auto"/>
              </w:rPr>
            </w:pPr>
          </w:p>
        </w:tc>
        <w:tc>
          <w:tcPr>
            <w:tcW w:w="960" w:type="dxa"/>
            <w:vAlign w:val="bottom"/>
            <w:tcBorders>
              <w:top w:val="single" w:sz="8" w:color="auto"/>
            </w:tcBorders>
            <w:shd w:val="clear" w:color="auto" w:fill="CCEEFF"/>
          </w:tcPr>
          <w:p>
            <w:pPr>
              <w:jc w:val="right"/>
              <w:ind w:right="815"/>
              <w:spacing w:after="0" w:line="147" w:lineRule="exact"/>
              <w:rPr>
                <w:sz w:val="20"/>
                <w:szCs w:val="20"/>
                <w:color w:val="auto"/>
              </w:rPr>
            </w:pPr>
            <w:r>
              <w:rPr>
                <w:rFonts w:ascii="Arial" w:cs="Arial" w:eastAsia="Arial" w:hAnsi="Arial"/>
                <w:sz w:val="13"/>
                <w:szCs w:val="13"/>
                <w:color w:val="auto"/>
                <w:w w:val="82"/>
              </w:rPr>
              <w:t>$</w:t>
            </w:r>
          </w:p>
        </w:tc>
        <w:tc>
          <w:tcPr>
            <w:tcW w:w="280" w:type="dxa"/>
            <w:vAlign w:val="bottom"/>
            <w:tcBorders>
              <w:top w:val="single" w:sz="8" w:color="auto"/>
            </w:tcBorders>
            <w:shd w:val="clear" w:color="auto" w:fill="CCEEFF"/>
          </w:tcPr>
          <w:p>
            <w:pPr>
              <w:ind w:left="60"/>
              <w:spacing w:after="0" w:line="147" w:lineRule="exact"/>
              <w:rPr>
                <w:sz w:val="20"/>
                <w:szCs w:val="20"/>
                <w:color w:val="auto"/>
              </w:rPr>
            </w:pPr>
            <w:r>
              <w:rPr>
                <w:rFonts w:ascii="Arial" w:cs="Arial" w:eastAsia="Arial" w:hAnsi="Arial"/>
                <w:sz w:val="13"/>
                <w:szCs w:val="13"/>
                <w:color w:val="auto"/>
                <w:w w:val="78"/>
              </w:rPr>
              <w:t>1.33</w:t>
            </w:r>
          </w:p>
        </w:tc>
        <w:tc>
          <w:tcPr>
            <w:tcW w:w="220" w:type="dxa"/>
            <w:vAlign w:val="bottom"/>
            <w:tcBorders>
              <w:top w:val="single" w:sz="8" w:color="CCEEFF"/>
            </w:tcBorders>
            <w:shd w:val="clear" w:color="auto" w:fill="CCEEFF"/>
          </w:tcPr>
          <w:p>
            <w:pPr>
              <w:spacing w:after="0"/>
              <w:rPr>
                <w:sz w:val="12"/>
                <w:szCs w:val="12"/>
                <w:color w:val="auto"/>
              </w:rPr>
            </w:pPr>
          </w:p>
        </w:tc>
        <w:tc>
          <w:tcPr>
            <w:tcW w:w="980" w:type="dxa"/>
            <w:vAlign w:val="bottom"/>
            <w:tcBorders>
              <w:top w:val="single" w:sz="8" w:color="auto"/>
            </w:tcBorders>
            <w:shd w:val="clear" w:color="auto" w:fill="CCEEFF"/>
          </w:tcPr>
          <w:p>
            <w:pPr>
              <w:spacing w:after="0"/>
              <w:rPr>
                <w:sz w:val="12"/>
                <w:szCs w:val="12"/>
                <w:color w:val="auto"/>
              </w:rPr>
            </w:pPr>
          </w:p>
        </w:tc>
        <w:tc>
          <w:tcPr>
            <w:tcW w:w="2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w w:val="94"/>
              </w:rPr>
              <w:t>8.58</w:t>
            </w:r>
          </w:p>
        </w:tc>
        <w:tc>
          <w:tcPr>
            <w:tcW w:w="10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180" w:type="dxa"/>
            <w:vAlign w:val="bottom"/>
            <w:tcBorders>
              <w:top w:val="single" w:sz="8" w:color="auto"/>
            </w:tcBorders>
            <w:shd w:val="clear" w:color="auto" w:fill="CCEEFF"/>
          </w:tcPr>
          <w:p>
            <w:pPr>
              <w:jc w:val="right"/>
              <w:ind w:right="71"/>
              <w:spacing w:after="0"/>
              <w:rPr>
                <w:sz w:val="20"/>
                <w:szCs w:val="20"/>
                <w:color w:val="auto"/>
              </w:rPr>
            </w:pPr>
            <w:r>
              <w:rPr>
                <w:rFonts w:ascii="Arial" w:cs="Arial" w:eastAsia="Arial" w:hAnsi="Arial"/>
                <w:sz w:val="10"/>
                <w:szCs w:val="10"/>
                <w:color w:val="auto"/>
                <w:w w:val="71"/>
              </w:rPr>
              <w:t>$</w:t>
            </w:r>
          </w:p>
        </w:tc>
        <w:tc>
          <w:tcPr>
            <w:tcW w:w="104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7,115,875</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tcPr>
          <w:p>
            <w:pPr>
              <w:ind w:left="140"/>
              <w:spacing w:after="0"/>
              <w:rPr>
                <w:sz w:val="20"/>
                <w:szCs w:val="20"/>
                <w:color w:val="auto"/>
              </w:rPr>
            </w:pPr>
            <w:r>
              <w:rPr>
                <w:rFonts w:ascii="Arial" w:cs="Arial" w:eastAsia="Arial" w:hAnsi="Arial"/>
                <w:sz w:val="13"/>
                <w:szCs w:val="13"/>
                <w:color w:val="auto"/>
              </w:rPr>
              <w:t>Granted</w:t>
            </w:r>
          </w:p>
        </w:tc>
        <w:tc>
          <w:tcPr>
            <w:tcW w:w="1360" w:type="dxa"/>
            <w:vAlign w:val="bottom"/>
            <w:gridSpan w:val="2"/>
          </w:tcPr>
          <w:p>
            <w:pPr>
              <w:jc w:val="right"/>
              <w:ind w:right="80"/>
              <w:spacing w:after="0"/>
              <w:rPr>
                <w:sz w:val="20"/>
                <w:szCs w:val="20"/>
                <w:color w:val="auto"/>
              </w:rPr>
            </w:pPr>
            <w:r>
              <w:rPr>
                <w:rFonts w:ascii="Arial" w:cs="Arial" w:eastAsia="Arial" w:hAnsi="Arial"/>
                <w:sz w:val="13"/>
                <w:szCs w:val="13"/>
                <w:color w:val="auto"/>
              </w:rPr>
              <w:t>(585,000)</w:t>
            </w:r>
          </w:p>
        </w:tc>
        <w:tc>
          <w:tcPr>
            <w:tcW w:w="1520" w:type="dxa"/>
            <w:vAlign w:val="bottom"/>
            <w:gridSpan w:val="3"/>
          </w:tcPr>
          <w:p>
            <w:pPr>
              <w:jc w:val="right"/>
              <w:ind w:right="140"/>
              <w:spacing w:after="0"/>
              <w:rPr>
                <w:sz w:val="20"/>
                <w:szCs w:val="20"/>
                <w:color w:val="auto"/>
              </w:rPr>
            </w:pPr>
            <w:r>
              <w:rPr>
                <w:rFonts w:ascii="Arial" w:cs="Arial" w:eastAsia="Arial" w:hAnsi="Arial"/>
                <w:sz w:val="13"/>
                <w:szCs w:val="13"/>
                <w:color w:val="auto"/>
              </w:rPr>
              <w:t>585,000</w:t>
            </w:r>
          </w:p>
        </w:tc>
        <w:tc>
          <w:tcPr>
            <w:tcW w:w="8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500" w:type="dxa"/>
            <w:vAlign w:val="bottom"/>
            <w:gridSpan w:val="2"/>
          </w:tcPr>
          <w:p>
            <w:pPr>
              <w:ind w:left="60"/>
              <w:spacing w:after="0"/>
              <w:rPr>
                <w:sz w:val="20"/>
                <w:szCs w:val="20"/>
                <w:color w:val="auto"/>
              </w:rPr>
            </w:pPr>
            <w:r>
              <w:rPr>
                <w:rFonts w:ascii="Arial" w:cs="Arial" w:eastAsia="Arial" w:hAnsi="Arial"/>
                <w:sz w:val="13"/>
                <w:szCs w:val="13"/>
                <w:color w:val="auto"/>
              </w:rPr>
              <w:t>2.34</w:t>
            </w:r>
          </w:p>
        </w:tc>
        <w:tc>
          <w:tcPr>
            <w:tcW w:w="980" w:type="dxa"/>
            <w:vAlign w:val="bottom"/>
          </w:tcPr>
          <w:p>
            <w:pPr>
              <w:spacing w:after="0"/>
              <w:rPr>
                <w:sz w:val="13"/>
                <w:szCs w:val="13"/>
                <w:color w:val="auto"/>
              </w:rPr>
            </w:pPr>
          </w:p>
        </w:tc>
        <w:tc>
          <w:tcPr>
            <w:tcW w:w="2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10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4060" w:type="dxa"/>
            <w:vAlign w:val="bottom"/>
            <w:shd w:val="clear" w:color="auto" w:fill="CCEEFF"/>
          </w:tcPr>
          <w:p>
            <w:pPr>
              <w:ind w:left="140"/>
              <w:spacing w:after="0"/>
              <w:rPr>
                <w:sz w:val="20"/>
                <w:szCs w:val="20"/>
                <w:color w:val="auto"/>
              </w:rPr>
            </w:pPr>
            <w:r>
              <w:rPr>
                <w:rFonts w:ascii="Arial" w:cs="Arial" w:eastAsia="Arial" w:hAnsi="Arial"/>
                <w:sz w:val="13"/>
                <w:szCs w:val="13"/>
                <w:color w:val="auto"/>
              </w:rPr>
              <w:t>Forfeited</w:t>
            </w:r>
          </w:p>
        </w:tc>
        <w:tc>
          <w:tcPr>
            <w:tcW w:w="1360" w:type="dxa"/>
            <w:vAlign w:val="bottom"/>
            <w:gridSpan w:val="2"/>
            <w:shd w:val="clear" w:color="auto" w:fill="CCEEFF"/>
          </w:tcPr>
          <w:p>
            <w:pPr>
              <w:jc w:val="right"/>
              <w:ind w:right="120"/>
              <w:spacing w:after="0"/>
              <w:rPr>
                <w:sz w:val="20"/>
                <w:szCs w:val="20"/>
                <w:color w:val="auto"/>
              </w:rPr>
            </w:pPr>
            <w:r>
              <w:rPr>
                <w:rFonts w:ascii="Arial" w:cs="Arial" w:eastAsia="Arial" w:hAnsi="Arial"/>
                <w:sz w:val="13"/>
                <w:szCs w:val="13"/>
                <w:color w:val="auto"/>
              </w:rPr>
              <w:t>235,000</w:t>
            </w:r>
          </w:p>
        </w:tc>
        <w:tc>
          <w:tcPr>
            <w:tcW w:w="1520" w:type="dxa"/>
            <w:vAlign w:val="bottom"/>
            <w:gridSpan w:val="3"/>
            <w:shd w:val="clear" w:color="auto" w:fill="CCEEFF"/>
          </w:tcPr>
          <w:p>
            <w:pPr>
              <w:jc w:val="right"/>
              <w:ind w:right="100"/>
              <w:spacing w:after="0"/>
              <w:rPr>
                <w:sz w:val="20"/>
                <w:szCs w:val="20"/>
                <w:color w:val="auto"/>
              </w:rPr>
            </w:pPr>
            <w:r>
              <w:rPr>
                <w:rFonts w:ascii="Arial" w:cs="Arial" w:eastAsia="Arial" w:hAnsi="Arial"/>
                <w:sz w:val="13"/>
                <w:szCs w:val="13"/>
                <w:color w:val="auto"/>
              </w:rPr>
              <w:t>(235,000)</w:t>
            </w:r>
          </w:p>
        </w:tc>
        <w:tc>
          <w:tcPr>
            <w:tcW w:w="80" w:type="dxa"/>
            <w:vAlign w:val="bottom"/>
            <w:shd w:val="clear" w:color="auto" w:fill="CCEEFF"/>
          </w:tcPr>
          <w:p>
            <w:pPr>
              <w:spacing w:after="0"/>
              <w:rPr>
                <w:sz w:val="13"/>
                <w:szCs w:val="13"/>
                <w:color w:val="auto"/>
              </w:rPr>
            </w:pPr>
          </w:p>
        </w:tc>
        <w:tc>
          <w:tcPr>
            <w:tcW w:w="960" w:type="dxa"/>
            <w:vAlign w:val="bottom"/>
            <w:shd w:val="clear" w:color="auto" w:fill="CCEEFF"/>
          </w:tcPr>
          <w:p>
            <w:pPr>
              <w:spacing w:after="0"/>
              <w:rPr>
                <w:sz w:val="13"/>
                <w:szCs w:val="13"/>
                <w:color w:val="auto"/>
              </w:rPr>
            </w:pPr>
          </w:p>
        </w:tc>
        <w:tc>
          <w:tcPr>
            <w:tcW w:w="500" w:type="dxa"/>
            <w:vAlign w:val="bottom"/>
            <w:gridSpan w:val="2"/>
            <w:shd w:val="clear" w:color="auto" w:fill="CCEEFF"/>
          </w:tcPr>
          <w:p>
            <w:pPr>
              <w:ind w:left="60"/>
              <w:spacing w:after="0"/>
              <w:rPr>
                <w:sz w:val="20"/>
                <w:szCs w:val="20"/>
                <w:color w:val="auto"/>
              </w:rPr>
            </w:pPr>
            <w:r>
              <w:rPr>
                <w:rFonts w:ascii="Arial" w:cs="Arial" w:eastAsia="Arial" w:hAnsi="Arial"/>
                <w:sz w:val="13"/>
                <w:szCs w:val="13"/>
                <w:color w:val="auto"/>
              </w:rPr>
              <w:t>2.31</w:t>
            </w:r>
          </w:p>
        </w:tc>
        <w:tc>
          <w:tcPr>
            <w:tcW w:w="980" w:type="dxa"/>
            <w:vAlign w:val="bottom"/>
            <w:shd w:val="clear" w:color="auto" w:fill="CCEEFF"/>
          </w:tcPr>
          <w:p>
            <w:pPr>
              <w:spacing w:after="0"/>
              <w:rPr>
                <w:sz w:val="13"/>
                <w:szCs w:val="13"/>
                <w:color w:val="auto"/>
              </w:rPr>
            </w:pPr>
          </w:p>
        </w:tc>
        <w:tc>
          <w:tcPr>
            <w:tcW w:w="26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180" w:type="dxa"/>
            <w:vAlign w:val="bottom"/>
            <w:shd w:val="clear" w:color="auto" w:fill="CCEEFF"/>
          </w:tcPr>
          <w:p>
            <w:pPr>
              <w:spacing w:after="0"/>
              <w:rPr>
                <w:sz w:val="13"/>
                <w:szCs w:val="13"/>
                <w:color w:val="auto"/>
              </w:rPr>
            </w:pPr>
          </w:p>
        </w:tc>
        <w:tc>
          <w:tcPr>
            <w:tcW w:w="1040" w:type="dxa"/>
            <w:vAlign w:val="bottom"/>
            <w:shd w:val="clear" w:color="auto" w:fill="CCEEFF"/>
          </w:tcPr>
          <w:p>
            <w:pPr>
              <w:spacing w:after="0"/>
              <w:rPr>
                <w:sz w:val="13"/>
                <w:szCs w:val="13"/>
                <w:color w:val="auto"/>
              </w:rPr>
            </w:pP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20" w:type="dxa"/>
            <w:vAlign w:val="bottom"/>
          </w:tcPr>
          <w:p>
            <w:pPr>
              <w:spacing w:after="0"/>
              <w:rPr>
                <w:sz w:val="14"/>
                <w:szCs w:val="14"/>
                <w:color w:val="auto"/>
              </w:rPr>
            </w:pPr>
          </w:p>
        </w:tc>
        <w:tc>
          <w:tcPr>
            <w:tcW w:w="4060" w:type="dxa"/>
            <w:vAlign w:val="bottom"/>
          </w:tcPr>
          <w:p>
            <w:pPr>
              <w:ind w:left="140"/>
              <w:spacing w:after="0"/>
              <w:rPr>
                <w:sz w:val="20"/>
                <w:szCs w:val="20"/>
                <w:color w:val="auto"/>
              </w:rPr>
            </w:pPr>
            <w:r>
              <w:rPr>
                <w:rFonts w:ascii="Arial" w:cs="Arial" w:eastAsia="Arial" w:hAnsi="Arial"/>
                <w:sz w:val="13"/>
                <w:szCs w:val="13"/>
                <w:color w:val="auto"/>
              </w:rPr>
              <w:t>Expired</w:t>
            </w:r>
          </w:p>
        </w:tc>
        <w:tc>
          <w:tcPr>
            <w:tcW w:w="1360" w:type="dxa"/>
            <w:vAlign w:val="bottom"/>
            <w:gridSpan w:val="2"/>
          </w:tcPr>
          <w:p>
            <w:pPr>
              <w:jc w:val="right"/>
              <w:ind w:right="120"/>
              <w:spacing w:after="0"/>
              <w:rPr>
                <w:sz w:val="20"/>
                <w:szCs w:val="20"/>
                <w:color w:val="auto"/>
              </w:rPr>
            </w:pPr>
            <w:r>
              <w:rPr>
                <w:rFonts w:ascii="Arial" w:cs="Arial" w:eastAsia="Arial" w:hAnsi="Arial"/>
                <w:sz w:val="13"/>
                <w:szCs w:val="13"/>
                <w:color w:val="auto"/>
              </w:rPr>
              <w:t>10,000</w:t>
            </w:r>
          </w:p>
        </w:tc>
        <w:tc>
          <w:tcPr>
            <w:tcW w:w="1520" w:type="dxa"/>
            <w:vAlign w:val="bottom"/>
            <w:gridSpan w:val="3"/>
          </w:tcPr>
          <w:p>
            <w:pPr>
              <w:jc w:val="right"/>
              <w:ind w:right="100"/>
              <w:spacing w:after="0"/>
              <w:rPr>
                <w:sz w:val="20"/>
                <w:szCs w:val="20"/>
                <w:color w:val="auto"/>
              </w:rPr>
            </w:pPr>
            <w:r>
              <w:rPr>
                <w:rFonts w:ascii="Arial" w:cs="Arial" w:eastAsia="Arial" w:hAnsi="Arial"/>
                <w:sz w:val="13"/>
                <w:szCs w:val="13"/>
                <w:color w:val="auto"/>
              </w:rPr>
              <w:t>(10,000)</w:t>
            </w:r>
          </w:p>
        </w:tc>
        <w:tc>
          <w:tcPr>
            <w:tcW w:w="8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500" w:type="dxa"/>
            <w:vAlign w:val="bottom"/>
            <w:gridSpan w:val="2"/>
          </w:tcPr>
          <w:p>
            <w:pPr>
              <w:ind w:left="60"/>
              <w:spacing w:after="0"/>
              <w:rPr>
                <w:sz w:val="20"/>
                <w:szCs w:val="20"/>
                <w:color w:val="auto"/>
              </w:rPr>
            </w:pPr>
            <w:r>
              <w:rPr>
                <w:rFonts w:ascii="Arial" w:cs="Arial" w:eastAsia="Arial" w:hAnsi="Arial"/>
                <w:sz w:val="13"/>
                <w:szCs w:val="13"/>
                <w:color w:val="auto"/>
              </w:rPr>
              <w:t>0.91</w:t>
            </w:r>
          </w:p>
        </w:tc>
        <w:tc>
          <w:tcPr>
            <w:tcW w:w="980" w:type="dxa"/>
            <w:vAlign w:val="bottom"/>
          </w:tcPr>
          <w:p>
            <w:pPr>
              <w:spacing w:after="0"/>
              <w:rPr>
                <w:sz w:val="14"/>
                <w:szCs w:val="14"/>
                <w:color w:val="auto"/>
              </w:rPr>
            </w:pPr>
          </w:p>
        </w:tc>
        <w:tc>
          <w:tcPr>
            <w:tcW w:w="2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0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65"/>
        </w:trPr>
        <w:tc>
          <w:tcPr>
            <w:tcW w:w="20" w:type="dxa"/>
            <w:vAlign w:val="bottom"/>
          </w:tcPr>
          <w:p>
            <w:pPr>
              <w:spacing w:after="0"/>
              <w:rPr>
                <w:sz w:val="14"/>
                <w:szCs w:val="14"/>
                <w:color w:val="auto"/>
              </w:rPr>
            </w:pPr>
          </w:p>
        </w:tc>
        <w:tc>
          <w:tcPr>
            <w:tcW w:w="4060" w:type="dxa"/>
            <w:vAlign w:val="bottom"/>
            <w:tcBorders>
              <w:top w:val="single" w:sz="8" w:color="CCEEFF"/>
            </w:tcBorders>
            <w:shd w:val="clear" w:color="auto" w:fill="CCEEFF"/>
          </w:tcPr>
          <w:p>
            <w:pPr>
              <w:spacing w:after="0" w:line="144" w:lineRule="exact"/>
              <w:rPr>
                <w:sz w:val="20"/>
                <w:szCs w:val="20"/>
                <w:color w:val="auto"/>
              </w:rPr>
            </w:pPr>
            <w:r>
              <w:rPr>
                <w:rFonts w:ascii="Arial" w:cs="Arial" w:eastAsia="Arial" w:hAnsi="Arial"/>
                <w:sz w:val="13"/>
                <w:szCs w:val="13"/>
                <w:color w:val="auto"/>
              </w:rPr>
              <w:t>Available and outstanding as of June 30, 2021</w:t>
            </w:r>
          </w:p>
        </w:tc>
        <w:tc>
          <w:tcPr>
            <w:tcW w:w="124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1,623,814</w:t>
            </w:r>
          </w:p>
        </w:tc>
        <w:tc>
          <w:tcPr>
            <w:tcW w:w="120" w:type="dxa"/>
            <w:vAlign w:val="bottom"/>
            <w:tcBorders>
              <w:top w:val="single" w:sz="8" w:color="CCEEFF"/>
            </w:tcBorders>
            <w:shd w:val="clear" w:color="auto" w:fill="CCEEFF"/>
          </w:tcPr>
          <w:p>
            <w:pPr>
              <w:spacing w:after="0"/>
              <w:rPr>
                <w:sz w:val="14"/>
                <w:szCs w:val="14"/>
                <w:color w:val="auto"/>
              </w:rPr>
            </w:pPr>
          </w:p>
        </w:tc>
        <w:tc>
          <w:tcPr>
            <w:tcW w:w="120" w:type="dxa"/>
            <w:vAlign w:val="bottom"/>
            <w:tcBorders>
              <w:top w:val="single" w:sz="8" w:color="CCEEFF"/>
            </w:tcBorders>
            <w:shd w:val="clear" w:color="auto" w:fill="CCEEFF"/>
          </w:tcPr>
          <w:p>
            <w:pPr>
              <w:spacing w:after="0"/>
              <w:rPr>
                <w:sz w:val="14"/>
                <w:szCs w:val="14"/>
                <w:color w:val="auto"/>
              </w:rPr>
            </w:pPr>
          </w:p>
        </w:tc>
        <w:tc>
          <w:tcPr>
            <w:tcW w:w="126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7,396,000</w:t>
            </w:r>
          </w:p>
        </w:tc>
        <w:tc>
          <w:tcPr>
            <w:tcW w:w="140" w:type="dxa"/>
            <w:vAlign w:val="bottom"/>
            <w:tcBorders>
              <w:top w:val="single" w:sz="8" w:color="CCEEFF"/>
            </w:tcBorders>
            <w:shd w:val="clear" w:color="auto" w:fill="CCEEFF"/>
          </w:tcPr>
          <w:p>
            <w:pPr>
              <w:spacing w:after="0"/>
              <w:rPr>
                <w:sz w:val="14"/>
                <w:szCs w:val="14"/>
                <w:color w:val="auto"/>
              </w:rPr>
            </w:pPr>
          </w:p>
        </w:tc>
        <w:tc>
          <w:tcPr>
            <w:tcW w:w="1040" w:type="dxa"/>
            <w:vAlign w:val="bottom"/>
            <w:tcBorders>
              <w:top w:val="single" w:sz="8" w:color="CCEEFF"/>
            </w:tcBorders>
            <w:gridSpan w:val="2"/>
            <w:shd w:val="clear" w:color="auto" w:fill="CCEEFF"/>
          </w:tcPr>
          <w:p>
            <w:pPr>
              <w:jc w:val="right"/>
              <w:ind w:right="815"/>
              <w:spacing w:after="0"/>
              <w:rPr>
                <w:sz w:val="20"/>
                <w:szCs w:val="20"/>
                <w:color w:val="auto"/>
              </w:rPr>
            </w:pPr>
            <w:r>
              <w:rPr>
                <w:rFonts w:ascii="Arial" w:cs="Arial" w:eastAsia="Arial" w:hAnsi="Arial"/>
                <w:sz w:val="13"/>
                <w:szCs w:val="13"/>
                <w:color w:val="auto"/>
              </w:rPr>
              <w:t>$</w:t>
            </w:r>
          </w:p>
        </w:tc>
        <w:tc>
          <w:tcPr>
            <w:tcW w:w="500" w:type="dxa"/>
            <w:vAlign w:val="bottom"/>
            <w:tcBorders>
              <w:top w:val="single" w:sz="8" w:color="CCEEFF"/>
            </w:tcBorders>
            <w:gridSpan w:val="2"/>
            <w:shd w:val="clear" w:color="auto" w:fill="CCEEFF"/>
          </w:tcPr>
          <w:p>
            <w:pPr>
              <w:ind w:left="60"/>
              <w:spacing w:after="0"/>
              <w:rPr>
                <w:sz w:val="20"/>
                <w:szCs w:val="20"/>
                <w:color w:val="auto"/>
              </w:rPr>
            </w:pPr>
            <w:r>
              <w:rPr>
                <w:rFonts w:ascii="Arial" w:cs="Arial" w:eastAsia="Arial" w:hAnsi="Arial"/>
                <w:sz w:val="13"/>
                <w:szCs w:val="13"/>
                <w:color w:val="auto"/>
              </w:rPr>
              <w:t>1.38</w:t>
            </w:r>
          </w:p>
        </w:tc>
        <w:tc>
          <w:tcPr>
            <w:tcW w:w="980" w:type="dxa"/>
            <w:vAlign w:val="bottom"/>
            <w:tcBorders>
              <w:top w:val="single" w:sz="8" w:color="CCEEFF"/>
            </w:tcBorders>
            <w:shd w:val="clear" w:color="auto" w:fill="CCEEFF"/>
          </w:tcPr>
          <w:p>
            <w:pPr>
              <w:spacing w:after="0"/>
              <w:rPr>
                <w:sz w:val="14"/>
                <w:szCs w:val="14"/>
                <w:color w:val="auto"/>
              </w:rPr>
            </w:pPr>
          </w:p>
        </w:tc>
        <w:tc>
          <w:tcPr>
            <w:tcW w:w="360" w:type="dxa"/>
            <w:vAlign w:val="bottom"/>
            <w:tcBorders>
              <w:top w:val="single" w:sz="8" w:color="CCEEFF"/>
            </w:tcBorders>
            <w:gridSpan w:val="2"/>
            <w:shd w:val="clear" w:color="auto" w:fill="CCEEFF"/>
          </w:tcPr>
          <w:p>
            <w:pPr>
              <w:jc w:val="right"/>
              <w:ind w:right="100"/>
              <w:spacing w:after="0"/>
              <w:rPr>
                <w:sz w:val="20"/>
                <w:szCs w:val="20"/>
                <w:color w:val="auto"/>
              </w:rPr>
            </w:pPr>
            <w:r>
              <w:rPr>
                <w:rFonts w:ascii="Arial" w:cs="Arial" w:eastAsia="Arial" w:hAnsi="Arial"/>
                <w:sz w:val="13"/>
                <w:szCs w:val="13"/>
                <w:color w:val="auto"/>
                <w:w w:val="94"/>
              </w:rPr>
              <w:t>8.19</w:t>
            </w:r>
          </w:p>
        </w:tc>
        <w:tc>
          <w:tcPr>
            <w:tcW w:w="300" w:type="dxa"/>
            <w:vAlign w:val="bottom"/>
            <w:tcBorders>
              <w:top w:val="single" w:sz="8" w:color="CCEEFF"/>
            </w:tcBorders>
            <w:gridSpan w:val="2"/>
            <w:shd w:val="clear" w:color="auto" w:fill="CCEEFF"/>
          </w:tcPr>
          <w:p>
            <w:pPr>
              <w:jc w:val="right"/>
              <w:ind w:right="71"/>
              <w:spacing w:after="0"/>
              <w:rPr>
                <w:sz w:val="20"/>
                <w:szCs w:val="20"/>
                <w:color w:val="auto"/>
              </w:rPr>
            </w:pPr>
            <w:r>
              <w:rPr>
                <w:rFonts w:ascii="Arial" w:cs="Arial" w:eastAsia="Arial" w:hAnsi="Arial"/>
                <w:sz w:val="13"/>
                <w:szCs w:val="13"/>
                <w:color w:val="auto"/>
              </w:rPr>
              <w:t>$</w:t>
            </w:r>
          </w:p>
        </w:tc>
        <w:tc>
          <w:tcPr>
            <w:tcW w:w="1040" w:type="dxa"/>
            <w:vAlign w:val="bottom"/>
            <w:tcBorders>
              <w:top w:val="single" w:sz="8" w:color="CCEEFF"/>
            </w:tcBorders>
            <w:shd w:val="clear" w:color="auto" w:fill="CCEEFF"/>
          </w:tcPr>
          <w:p>
            <w:pPr>
              <w:jc w:val="right"/>
              <w:spacing w:after="0"/>
              <w:rPr>
                <w:sz w:val="20"/>
                <w:szCs w:val="20"/>
                <w:color w:val="auto"/>
              </w:rPr>
            </w:pPr>
            <w:r>
              <w:rPr>
                <w:rFonts w:ascii="Arial" w:cs="Arial" w:eastAsia="Arial" w:hAnsi="Arial"/>
                <w:sz w:val="13"/>
                <w:szCs w:val="13"/>
                <w:color w:val="auto"/>
              </w:rPr>
              <w:t>7,094,425</w:t>
            </w:r>
          </w:p>
        </w:tc>
        <w:tc>
          <w:tcPr>
            <w:tcW w:w="100" w:type="dxa"/>
            <w:vAlign w:val="bottom"/>
            <w:tcBorders>
              <w:top w:val="single" w:sz="8" w:color="CCEEFF"/>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56"/>
        </w:trPr>
        <w:tc>
          <w:tcPr>
            <w:tcW w:w="20" w:type="dxa"/>
            <w:vAlign w:val="bottom"/>
            <w:vMerge w:val="restart"/>
          </w:tcPr>
          <w:p>
            <w:pPr>
              <w:spacing w:after="0"/>
              <w:rPr>
                <w:sz w:val="13"/>
                <w:szCs w:val="13"/>
                <w:color w:val="auto"/>
              </w:rPr>
            </w:pPr>
          </w:p>
        </w:tc>
        <w:tc>
          <w:tcPr>
            <w:tcW w:w="4060" w:type="dxa"/>
            <w:vAlign w:val="bottom"/>
            <w:tcBorders>
              <w:top w:val="single" w:sz="8" w:color="CCEEFF"/>
            </w:tcBorders>
          </w:tcPr>
          <w:p>
            <w:pPr>
              <w:spacing w:after="0"/>
              <w:rPr>
                <w:sz w:val="13"/>
                <w:szCs w:val="13"/>
                <w:color w:val="auto"/>
              </w:rPr>
            </w:pPr>
          </w:p>
        </w:tc>
        <w:tc>
          <w:tcPr>
            <w:tcW w:w="1240" w:type="dxa"/>
            <w:vAlign w:val="bottom"/>
            <w:tcBorders>
              <w:top w:val="single" w:sz="8" w:color="auto"/>
            </w:tcBorders>
          </w:tcPr>
          <w:p>
            <w:pPr>
              <w:spacing w:after="0"/>
              <w:rPr>
                <w:sz w:val="13"/>
                <w:szCs w:val="13"/>
                <w:color w:val="auto"/>
              </w:rPr>
            </w:pPr>
          </w:p>
        </w:tc>
        <w:tc>
          <w:tcPr>
            <w:tcW w:w="120" w:type="dxa"/>
            <w:vAlign w:val="bottom"/>
            <w:tcBorders>
              <w:top w:val="single" w:sz="8" w:color="CCEEFF"/>
            </w:tcBorders>
          </w:tcPr>
          <w:p>
            <w:pPr>
              <w:spacing w:after="0"/>
              <w:rPr>
                <w:sz w:val="13"/>
                <w:szCs w:val="13"/>
                <w:color w:val="auto"/>
              </w:rPr>
            </w:pPr>
          </w:p>
        </w:tc>
        <w:tc>
          <w:tcPr>
            <w:tcW w:w="120" w:type="dxa"/>
            <w:vAlign w:val="bottom"/>
            <w:tcBorders>
              <w:top w:val="single" w:sz="8" w:color="CCEEFF"/>
            </w:tcBorders>
          </w:tcPr>
          <w:p>
            <w:pPr>
              <w:spacing w:after="0"/>
              <w:rPr>
                <w:sz w:val="13"/>
                <w:szCs w:val="13"/>
                <w:color w:val="auto"/>
              </w:rPr>
            </w:pPr>
          </w:p>
        </w:tc>
        <w:tc>
          <w:tcPr>
            <w:tcW w:w="1260" w:type="dxa"/>
            <w:vAlign w:val="bottom"/>
            <w:tcBorders>
              <w:top w:val="single" w:sz="8" w:color="auto"/>
            </w:tcBorders>
          </w:tcPr>
          <w:p>
            <w:pPr>
              <w:spacing w:after="0"/>
              <w:rPr>
                <w:sz w:val="13"/>
                <w:szCs w:val="13"/>
                <w:color w:val="auto"/>
              </w:rPr>
            </w:pPr>
          </w:p>
        </w:tc>
        <w:tc>
          <w:tcPr>
            <w:tcW w:w="140" w:type="dxa"/>
            <w:vAlign w:val="bottom"/>
            <w:tcBorders>
              <w:top w:val="single" w:sz="8" w:color="CCEEFF"/>
            </w:tcBorders>
          </w:tcPr>
          <w:p>
            <w:pPr>
              <w:spacing w:after="0"/>
              <w:rPr>
                <w:sz w:val="13"/>
                <w:szCs w:val="13"/>
                <w:color w:val="auto"/>
              </w:rPr>
            </w:pPr>
          </w:p>
        </w:tc>
        <w:tc>
          <w:tcPr>
            <w:tcW w:w="80" w:type="dxa"/>
            <w:vAlign w:val="bottom"/>
            <w:tcBorders>
              <w:top w:val="single" w:sz="8" w:color="CCEEFF"/>
            </w:tcBorders>
          </w:tcPr>
          <w:p>
            <w:pPr>
              <w:spacing w:after="0"/>
              <w:rPr>
                <w:sz w:val="13"/>
                <w:szCs w:val="13"/>
                <w:color w:val="auto"/>
              </w:rPr>
            </w:pPr>
          </w:p>
        </w:tc>
        <w:tc>
          <w:tcPr>
            <w:tcW w:w="960" w:type="dxa"/>
            <w:vAlign w:val="bottom"/>
            <w:tcBorders>
              <w:top w:val="single" w:sz="8" w:color="auto"/>
            </w:tcBorders>
          </w:tcPr>
          <w:p>
            <w:pPr>
              <w:spacing w:after="0"/>
              <w:rPr>
                <w:sz w:val="13"/>
                <w:szCs w:val="13"/>
                <w:color w:val="auto"/>
              </w:rPr>
            </w:pPr>
          </w:p>
        </w:tc>
        <w:tc>
          <w:tcPr>
            <w:tcW w:w="280" w:type="dxa"/>
            <w:vAlign w:val="bottom"/>
            <w:tcBorders>
              <w:top w:val="single" w:sz="8" w:color="auto"/>
            </w:tcBorders>
          </w:tcPr>
          <w:p>
            <w:pPr>
              <w:spacing w:after="0"/>
              <w:rPr>
                <w:sz w:val="13"/>
                <w:szCs w:val="13"/>
                <w:color w:val="auto"/>
              </w:rPr>
            </w:pPr>
          </w:p>
        </w:tc>
        <w:tc>
          <w:tcPr>
            <w:tcW w:w="220" w:type="dxa"/>
            <w:vAlign w:val="bottom"/>
            <w:tcBorders>
              <w:top w:val="single" w:sz="8" w:color="CCEEFF"/>
            </w:tcBorders>
          </w:tcPr>
          <w:p>
            <w:pPr>
              <w:spacing w:after="0"/>
              <w:rPr>
                <w:sz w:val="13"/>
                <w:szCs w:val="13"/>
                <w:color w:val="auto"/>
              </w:rPr>
            </w:pPr>
          </w:p>
        </w:tc>
        <w:tc>
          <w:tcPr>
            <w:tcW w:w="980" w:type="dxa"/>
            <w:vAlign w:val="bottom"/>
            <w:tcBorders>
              <w:top w:val="single" w:sz="8" w:color="auto"/>
            </w:tcBorders>
          </w:tcPr>
          <w:p>
            <w:pPr>
              <w:spacing w:after="0"/>
              <w:rPr>
                <w:sz w:val="13"/>
                <w:szCs w:val="13"/>
                <w:color w:val="auto"/>
              </w:rPr>
            </w:pPr>
          </w:p>
        </w:tc>
        <w:tc>
          <w:tcPr>
            <w:tcW w:w="260" w:type="dxa"/>
            <w:vAlign w:val="bottom"/>
            <w:tcBorders>
              <w:top w:val="single" w:sz="8" w:color="auto"/>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c>
          <w:tcPr>
            <w:tcW w:w="120" w:type="dxa"/>
            <w:vAlign w:val="bottom"/>
            <w:tcBorders>
              <w:top w:val="single" w:sz="8" w:color="CCEEFF"/>
            </w:tcBorders>
          </w:tcPr>
          <w:p>
            <w:pPr>
              <w:spacing w:after="0"/>
              <w:rPr>
                <w:sz w:val="13"/>
                <w:szCs w:val="13"/>
                <w:color w:val="auto"/>
              </w:rPr>
            </w:pPr>
          </w:p>
        </w:tc>
        <w:tc>
          <w:tcPr>
            <w:tcW w:w="180" w:type="dxa"/>
            <w:vAlign w:val="bottom"/>
            <w:tcBorders>
              <w:top w:val="single" w:sz="8" w:color="auto"/>
            </w:tcBorders>
          </w:tcPr>
          <w:p>
            <w:pPr>
              <w:spacing w:after="0"/>
              <w:rPr>
                <w:sz w:val="13"/>
                <w:szCs w:val="13"/>
                <w:color w:val="auto"/>
              </w:rPr>
            </w:pPr>
          </w:p>
        </w:tc>
        <w:tc>
          <w:tcPr>
            <w:tcW w:w="1040" w:type="dxa"/>
            <w:vAlign w:val="bottom"/>
            <w:tcBorders>
              <w:top w:val="single" w:sz="8" w:color="auto"/>
            </w:tcBorders>
          </w:tcPr>
          <w:p>
            <w:pPr>
              <w:spacing w:after="0"/>
              <w:rPr>
                <w:sz w:val="13"/>
                <w:szCs w:val="13"/>
                <w:color w:val="auto"/>
              </w:rPr>
            </w:pPr>
          </w:p>
        </w:tc>
        <w:tc>
          <w:tcPr>
            <w:tcW w:w="100" w:type="dxa"/>
            <w:vAlign w:val="bottom"/>
            <w:tcBorders>
              <w:top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75"/>
        </w:trPr>
        <w:tc>
          <w:tcPr>
            <w:tcW w:w="20" w:type="dxa"/>
            <w:vAlign w:val="bottom"/>
            <w:vMerge w:val="continue"/>
          </w:tcPr>
          <w:p>
            <w:pPr>
              <w:spacing w:after="0"/>
              <w:rPr>
                <w:sz w:val="15"/>
                <w:szCs w:val="15"/>
                <w:color w:val="auto"/>
              </w:rPr>
            </w:pPr>
          </w:p>
        </w:tc>
        <w:tc>
          <w:tcPr>
            <w:tcW w:w="4060" w:type="dxa"/>
            <w:vAlign w:val="bottom"/>
            <w:shd w:val="clear" w:color="auto" w:fill="CCEEFF"/>
          </w:tcPr>
          <w:p>
            <w:pPr>
              <w:spacing w:after="0"/>
              <w:rPr>
                <w:sz w:val="20"/>
                <w:szCs w:val="20"/>
                <w:color w:val="auto"/>
              </w:rPr>
            </w:pPr>
            <w:r>
              <w:rPr>
                <w:rFonts w:ascii="Arial" w:cs="Arial" w:eastAsia="Arial" w:hAnsi="Arial"/>
                <w:sz w:val="13"/>
                <w:szCs w:val="13"/>
                <w:color w:val="auto"/>
              </w:rPr>
              <w:t>Vested and exercisable as of June 30, 2021</w:t>
            </w:r>
          </w:p>
        </w:tc>
        <w:tc>
          <w:tcPr>
            <w:tcW w:w="124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12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2,749,837</w:t>
            </w:r>
          </w:p>
        </w:tc>
        <w:tc>
          <w:tcPr>
            <w:tcW w:w="140" w:type="dxa"/>
            <w:vAlign w:val="bottom"/>
            <w:shd w:val="clear" w:color="auto" w:fill="CCEEFF"/>
          </w:tcPr>
          <w:p>
            <w:pPr>
              <w:spacing w:after="0"/>
              <w:rPr>
                <w:sz w:val="15"/>
                <w:szCs w:val="15"/>
                <w:color w:val="auto"/>
              </w:rPr>
            </w:pPr>
          </w:p>
        </w:tc>
        <w:tc>
          <w:tcPr>
            <w:tcW w:w="80" w:type="dxa"/>
            <w:vAlign w:val="bottom"/>
            <w:shd w:val="clear" w:color="auto" w:fill="CCEEFF"/>
          </w:tcPr>
          <w:p>
            <w:pPr>
              <w:spacing w:after="0"/>
              <w:rPr>
                <w:sz w:val="15"/>
                <w:szCs w:val="15"/>
                <w:color w:val="auto"/>
              </w:rPr>
            </w:pPr>
          </w:p>
        </w:tc>
        <w:tc>
          <w:tcPr>
            <w:tcW w:w="960" w:type="dxa"/>
            <w:vAlign w:val="bottom"/>
            <w:shd w:val="clear" w:color="auto" w:fill="CCEEFF"/>
          </w:tcPr>
          <w:p>
            <w:pPr>
              <w:jc w:val="right"/>
              <w:ind w:right="815"/>
              <w:spacing w:after="0"/>
              <w:rPr>
                <w:sz w:val="20"/>
                <w:szCs w:val="20"/>
                <w:color w:val="auto"/>
              </w:rPr>
            </w:pPr>
            <w:r>
              <w:rPr>
                <w:rFonts w:ascii="Arial" w:cs="Arial" w:eastAsia="Arial" w:hAnsi="Arial"/>
                <w:sz w:val="13"/>
                <w:szCs w:val="13"/>
                <w:color w:val="auto"/>
                <w:w w:val="82"/>
              </w:rPr>
              <w:t>$</w:t>
            </w:r>
          </w:p>
        </w:tc>
        <w:tc>
          <w:tcPr>
            <w:tcW w:w="500" w:type="dxa"/>
            <w:vAlign w:val="bottom"/>
            <w:gridSpan w:val="2"/>
            <w:shd w:val="clear" w:color="auto" w:fill="CCEEFF"/>
          </w:tcPr>
          <w:p>
            <w:pPr>
              <w:ind w:left="60"/>
              <w:spacing w:after="0"/>
              <w:rPr>
                <w:sz w:val="20"/>
                <w:szCs w:val="20"/>
                <w:color w:val="auto"/>
              </w:rPr>
            </w:pPr>
            <w:r>
              <w:rPr>
                <w:rFonts w:ascii="Arial" w:cs="Arial" w:eastAsia="Arial" w:hAnsi="Arial"/>
                <w:sz w:val="13"/>
                <w:szCs w:val="13"/>
                <w:color w:val="auto"/>
              </w:rPr>
              <w:t>0.95</w:t>
            </w:r>
          </w:p>
        </w:tc>
        <w:tc>
          <w:tcPr>
            <w:tcW w:w="980" w:type="dxa"/>
            <w:vAlign w:val="bottom"/>
            <w:shd w:val="clear" w:color="auto" w:fill="CCEEFF"/>
          </w:tcPr>
          <w:p>
            <w:pPr>
              <w:spacing w:after="0"/>
              <w:rPr>
                <w:sz w:val="15"/>
                <w:szCs w:val="15"/>
                <w:color w:val="auto"/>
              </w:rPr>
            </w:pPr>
          </w:p>
        </w:tc>
        <w:tc>
          <w:tcPr>
            <w:tcW w:w="3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w w:val="94"/>
              </w:rPr>
              <w:t>7.00</w:t>
            </w:r>
          </w:p>
        </w:tc>
        <w:tc>
          <w:tcPr>
            <w:tcW w:w="120" w:type="dxa"/>
            <w:vAlign w:val="bottom"/>
            <w:shd w:val="clear" w:color="auto" w:fill="CCEEFF"/>
          </w:tcPr>
          <w:p>
            <w:pPr>
              <w:spacing w:after="0"/>
              <w:rPr>
                <w:sz w:val="15"/>
                <w:szCs w:val="15"/>
                <w:color w:val="auto"/>
              </w:rPr>
            </w:pPr>
          </w:p>
        </w:tc>
        <w:tc>
          <w:tcPr>
            <w:tcW w:w="180" w:type="dxa"/>
            <w:vAlign w:val="bottom"/>
            <w:shd w:val="clear" w:color="auto" w:fill="CCEEFF"/>
          </w:tcPr>
          <w:p>
            <w:pPr>
              <w:spacing w:after="0"/>
              <w:rPr>
                <w:sz w:val="15"/>
                <w:szCs w:val="15"/>
                <w:color w:val="auto"/>
              </w:rPr>
            </w:pPr>
          </w:p>
        </w:tc>
        <w:tc>
          <w:tcPr>
            <w:tcW w:w="1040" w:type="dxa"/>
            <w:vAlign w:val="bottom"/>
            <w:shd w:val="clear" w:color="auto" w:fill="CCEEFF"/>
          </w:tcPr>
          <w:p>
            <w:pPr>
              <w:spacing w:after="0"/>
              <w:rPr>
                <w:sz w:val="15"/>
                <w:szCs w:val="15"/>
                <w:color w:val="auto"/>
              </w:rPr>
            </w:pPr>
          </w:p>
        </w:tc>
        <w:tc>
          <w:tcPr>
            <w:tcW w:w="100" w:type="dxa"/>
            <w:vAlign w:val="bottom"/>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30"/>
        </w:trPr>
        <w:tc>
          <w:tcPr>
            <w:tcW w:w="20" w:type="dxa"/>
            <w:vAlign w:val="bottom"/>
          </w:tcPr>
          <w:p>
            <w:pPr>
              <w:spacing w:after="0"/>
              <w:rPr>
                <w:sz w:val="2"/>
                <w:szCs w:val="2"/>
                <w:color w:val="auto"/>
              </w:rPr>
            </w:pPr>
          </w:p>
        </w:tc>
        <w:tc>
          <w:tcPr>
            <w:tcW w:w="4060" w:type="dxa"/>
            <w:vAlign w:val="bottom"/>
            <w:shd w:val="clear" w:color="auto" w:fill="CCEEFF"/>
          </w:tcPr>
          <w:p>
            <w:pPr>
              <w:spacing w:after="0"/>
              <w:rPr>
                <w:sz w:val="2"/>
                <w:szCs w:val="2"/>
                <w:color w:val="auto"/>
              </w:rPr>
            </w:pPr>
          </w:p>
        </w:tc>
        <w:tc>
          <w:tcPr>
            <w:tcW w:w="124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260" w:type="dxa"/>
            <w:vAlign w:val="bottom"/>
            <w:shd w:val="clear" w:color="auto" w:fill="000000"/>
          </w:tcPr>
          <w:p>
            <w:pPr>
              <w:spacing w:after="0"/>
              <w:rPr>
                <w:sz w:val="2"/>
                <w:szCs w:val="2"/>
                <w:color w:val="auto"/>
              </w:rPr>
            </w:pPr>
          </w:p>
        </w:tc>
        <w:tc>
          <w:tcPr>
            <w:tcW w:w="140" w:type="dxa"/>
            <w:vAlign w:val="bottom"/>
            <w:shd w:val="clear" w:color="auto" w:fill="CCEEFF"/>
          </w:tcPr>
          <w:p>
            <w:pPr>
              <w:spacing w:after="0"/>
              <w:rPr>
                <w:sz w:val="2"/>
                <w:szCs w:val="2"/>
                <w:color w:val="auto"/>
              </w:rPr>
            </w:pPr>
          </w:p>
        </w:tc>
        <w:tc>
          <w:tcPr>
            <w:tcW w:w="80" w:type="dxa"/>
            <w:vAlign w:val="bottom"/>
            <w:shd w:val="clear" w:color="auto" w:fill="CCEEFF"/>
          </w:tcPr>
          <w:p>
            <w:pPr>
              <w:spacing w:after="0"/>
              <w:rPr>
                <w:sz w:val="2"/>
                <w:szCs w:val="2"/>
                <w:color w:val="auto"/>
              </w:rPr>
            </w:pPr>
          </w:p>
        </w:tc>
        <w:tc>
          <w:tcPr>
            <w:tcW w:w="960" w:type="dxa"/>
            <w:vAlign w:val="bottom"/>
            <w:shd w:val="clear" w:color="auto" w:fill="000000"/>
          </w:tcPr>
          <w:p>
            <w:pPr>
              <w:spacing w:after="0"/>
              <w:rPr>
                <w:sz w:val="2"/>
                <w:szCs w:val="2"/>
                <w:color w:val="auto"/>
              </w:rPr>
            </w:pPr>
          </w:p>
        </w:tc>
        <w:tc>
          <w:tcPr>
            <w:tcW w:w="280" w:type="dxa"/>
            <w:vAlign w:val="bottom"/>
            <w:shd w:val="clear" w:color="auto" w:fill="000000"/>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980" w:type="dxa"/>
            <w:vAlign w:val="bottom"/>
            <w:shd w:val="clear" w:color="auto" w:fill="000000"/>
          </w:tcPr>
          <w:p>
            <w:pPr>
              <w:spacing w:after="0"/>
              <w:rPr>
                <w:sz w:val="2"/>
                <w:szCs w:val="2"/>
                <w:color w:val="auto"/>
              </w:rPr>
            </w:pPr>
          </w:p>
        </w:tc>
        <w:tc>
          <w:tcPr>
            <w:tcW w:w="26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80" w:type="dxa"/>
            <w:vAlign w:val="bottom"/>
            <w:shd w:val="clear" w:color="auto" w:fill="CCEEFF"/>
          </w:tcPr>
          <w:p>
            <w:pPr>
              <w:spacing w:after="0"/>
              <w:rPr>
                <w:sz w:val="2"/>
                <w:szCs w:val="2"/>
                <w:color w:val="auto"/>
              </w:rPr>
            </w:pPr>
          </w:p>
        </w:tc>
        <w:tc>
          <w:tcPr>
            <w:tcW w:w="104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469"/>
        </w:trPr>
        <w:tc>
          <w:tcPr>
            <w:tcW w:w="20" w:type="dxa"/>
            <w:vAlign w:val="bottom"/>
          </w:tcPr>
          <w:p>
            <w:pPr>
              <w:spacing w:after="0"/>
              <w:rPr>
                <w:sz w:val="24"/>
                <w:szCs w:val="24"/>
                <w:color w:val="auto"/>
              </w:rPr>
            </w:pPr>
          </w:p>
        </w:tc>
        <w:tc>
          <w:tcPr>
            <w:tcW w:w="4060" w:type="dxa"/>
            <w:vAlign w:val="bottom"/>
            <w:tcBorders>
              <w:bottom w:val="single" w:sz="8" w:color="auto"/>
            </w:tcBorders>
          </w:tcPr>
          <w:p>
            <w:pPr>
              <w:spacing w:after="0"/>
              <w:rPr>
                <w:sz w:val="24"/>
                <w:szCs w:val="24"/>
                <w:color w:val="auto"/>
              </w:rPr>
            </w:pPr>
          </w:p>
        </w:tc>
        <w:tc>
          <w:tcPr>
            <w:tcW w:w="12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gridSpan w:val="3"/>
          </w:tcPr>
          <w:p>
            <w:pPr>
              <w:jc w:val="right"/>
              <w:ind w:right="1200"/>
              <w:spacing w:after="0"/>
              <w:rPr>
                <w:sz w:val="20"/>
                <w:szCs w:val="20"/>
                <w:color w:val="auto"/>
              </w:rPr>
            </w:pPr>
            <w:r>
              <w:rPr>
                <w:rFonts w:ascii="Arial" w:cs="Arial" w:eastAsia="Arial" w:hAnsi="Arial"/>
                <w:sz w:val="13"/>
                <w:szCs w:val="13"/>
                <w:color w:val="auto"/>
              </w:rPr>
              <w:t>F-41</w:t>
            </w:r>
          </w:p>
        </w:tc>
        <w:tc>
          <w:tcPr>
            <w:tcW w:w="8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0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80"/>
          </w:cols>
          <w:pgMar w:left="300" w:top="694" w:right="319" w:bottom="1440" w:gutter="0" w:footer="0" w:header="0"/>
        </w:sectPr>
      </w:pPr>
    </w:p>
    <w:bookmarkStart w:id="103" w:name="page104"/>
    <w:bookmarkEnd w:id="103"/>
    <w:p>
      <w:pPr>
        <w:spacing w:after="0"/>
        <w:rPr>
          <w:sz w:val="20"/>
          <w:szCs w:val="20"/>
          <w:color w:val="auto"/>
        </w:rPr>
      </w:pPr>
      <w:r>
        <w:rPr>
          <w:rFonts w:ascii="Arial" w:cs="Arial" w:eastAsia="Arial" w:hAnsi="Arial"/>
          <w:sz w:val="13"/>
          <w:szCs w:val="13"/>
          <w:b w:val="1"/>
          <w:bCs w:val="1"/>
          <w:color w:val="auto"/>
        </w:rPr>
        <w:t>NOTE 5: Stock-Based Compensation (Continued)</w:t>
      </w:r>
    </w:p>
    <w:p>
      <w:pPr>
        <w:spacing w:after="0" w:line="167"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The weighted average grant date fair value of options granted during the six-month period ended June 30, 2021 was $1.15 per share. There were no option exercises during the six-month period ended June 30, 2021 and 10,000 options exercised during the six month period ended June 30, 2020. The fair value of the shares subject to stock options that were vested as of June 30, 2021 and 2020 was $990,896 and $546,458, respectively.</w:t>
      </w:r>
    </w:p>
    <w:p>
      <w:pPr>
        <w:spacing w:after="0" w:line="136" w:lineRule="exact"/>
        <w:rPr>
          <w:sz w:val="20"/>
          <w:szCs w:val="20"/>
          <w:color w:val="auto"/>
        </w:rPr>
      </w:pPr>
    </w:p>
    <w:p>
      <w:pPr>
        <w:spacing w:after="0"/>
        <w:rPr>
          <w:sz w:val="20"/>
          <w:szCs w:val="20"/>
          <w:color w:val="auto"/>
        </w:rPr>
      </w:pPr>
      <w:r>
        <w:rPr>
          <w:rFonts w:ascii="Arial" w:cs="Arial" w:eastAsia="Arial" w:hAnsi="Arial"/>
          <w:sz w:val="13"/>
          <w:szCs w:val="13"/>
          <w:color w:val="auto"/>
        </w:rPr>
        <w:t>As of June 30, 2021, the Company had unamortized stock-based compensation expense of $2,855,904 that will be recognized over the average remaining vesting term of options of 2.85 years.</w:t>
      </w:r>
    </w:p>
    <w:p>
      <w:pPr>
        <w:spacing w:after="0" w:line="163" w:lineRule="exact"/>
        <w:rPr>
          <w:sz w:val="20"/>
          <w:szCs w:val="20"/>
          <w:color w:val="auto"/>
        </w:rPr>
      </w:pPr>
    </w:p>
    <w:tbl>
      <w:tblPr>
        <w:tblLayout w:type="fixed"/>
        <w:tblInd w:w="0" w:type="dxa"/>
        <w:tblCellMar>
          <w:top w:w="0" w:type="dxa"/>
          <w:left w:w="0" w:type="dxa"/>
          <w:bottom w:w="0" w:type="dxa"/>
          <w:right w:w="0" w:type="dxa"/>
        </w:tblCellMar>
      </w:tblPr>
      <w:tr>
        <w:trPr>
          <w:trHeight w:val="164"/>
        </w:trPr>
        <w:tc>
          <w:tcPr>
            <w:tcW w:w="7320" w:type="dxa"/>
            <w:vAlign w:val="bottom"/>
          </w:tcPr>
          <w:p>
            <w:pPr>
              <w:spacing w:after="0"/>
              <w:rPr>
                <w:sz w:val="20"/>
                <w:szCs w:val="20"/>
                <w:color w:val="auto"/>
              </w:rPr>
            </w:pPr>
            <w:r>
              <w:rPr>
                <w:rFonts w:ascii="Arial" w:cs="Arial" w:eastAsia="Arial" w:hAnsi="Arial"/>
                <w:sz w:val="13"/>
                <w:szCs w:val="13"/>
                <w:color w:val="auto"/>
              </w:rPr>
              <w:t>The assumptions utilized for option grants during the six months ended June 30, 2021 and 2020 are as follows:</w:t>
            </w:r>
          </w:p>
        </w:tc>
        <w:tc>
          <w:tcPr>
            <w:tcW w:w="1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11"/>
        </w:trPr>
        <w:tc>
          <w:tcPr>
            <w:tcW w:w="732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60" w:type="dxa"/>
            <w:vAlign w:val="bottom"/>
            <w:gridSpan w:val="2"/>
          </w:tcPr>
          <w:p>
            <w:pPr>
              <w:jc w:val="right"/>
              <w:ind w:right="640"/>
              <w:spacing w:after="0"/>
              <w:rPr>
                <w:sz w:val="20"/>
                <w:szCs w:val="20"/>
                <w:color w:val="auto"/>
              </w:rPr>
            </w:pPr>
            <w:r>
              <w:rPr>
                <w:rFonts w:ascii="Arial" w:cs="Arial" w:eastAsia="Arial" w:hAnsi="Arial"/>
                <w:sz w:val="13"/>
                <w:szCs w:val="13"/>
                <w:b w:val="1"/>
                <w:bCs w:val="1"/>
                <w:color w:val="auto"/>
              </w:rPr>
              <w:t>June 30,</w:t>
            </w:r>
          </w:p>
        </w:tc>
        <w:tc>
          <w:tcPr>
            <w:tcW w:w="360" w:type="dxa"/>
            <w:vAlign w:val="bottom"/>
          </w:tcPr>
          <w:p>
            <w:pPr>
              <w:spacing w:after="0"/>
              <w:rPr>
                <w:sz w:val="24"/>
                <w:szCs w:val="24"/>
                <w:color w:val="auto"/>
              </w:rPr>
            </w:pPr>
          </w:p>
        </w:tc>
        <w:tc>
          <w:tcPr>
            <w:tcW w:w="960" w:type="dxa"/>
            <w:vAlign w:val="bottom"/>
            <w:gridSpan w:val="2"/>
          </w:tcPr>
          <w:p>
            <w:pPr>
              <w:jc w:val="right"/>
              <w:ind w:right="500"/>
              <w:spacing w:after="0"/>
              <w:rPr>
                <w:sz w:val="20"/>
                <w:szCs w:val="20"/>
                <w:color w:val="auto"/>
              </w:rPr>
            </w:pPr>
            <w:r>
              <w:rPr>
                <w:rFonts w:ascii="Arial" w:cs="Arial" w:eastAsia="Arial" w:hAnsi="Arial"/>
                <w:sz w:val="13"/>
                <w:szCs w:val="13"/>
                <w:b w:val="1"/>
                <w:bCs w:val="1"/>
                <w:color w:val="auto"/>
                <w:w w:val="84"/>
              </w:rPr>
              <w:t>June 30,</w:t>
            </w:r>
          </w:p>
        </w:tc>
        <w:tc>
          <w:tcPr>
            <w:tcW w:w="0" w:type="dxa"/>
            <w:vAlign w:val="bottom"/>
          </w:tcPr>
          <w:p>
            <w:pPr>
              <w:spacing w:after="0"/>
              <w:rPr>
                <w:sz w:val="1"/>
                <w:szCs w:val="1"/>
                <w:color w:val="auto"/>
              </w:rPr>
            </w:pPr>
          </w:p>
        </w:tc>
      </w:tr>
      <w:tr>
        <w:trPr>
          <w:trHeight w:val="169"/>
        </w:trPr>
        <w:tc>
          <w:tcPr>
            <w:tcW w:w="7320" w:type="dxa"/>
            <w:vAlign w:val="bottom"/>
            <w:tcBorders>
              <w:bottom w:val="single" w:sz="8" w:color="CCEEFF"/>
            </w:tcBorders>
          </w:tcPr>
          <w:p>
            <w:pPr>
              <w:spacing w:after="0"/>
              <w:rPr>
                <w:sz w:val="14"/>
                <w:szCs w:val="14"/>
                <w:color w:val="auto"/>
              </w:rPr>
            </w:pPr>
          </w:p>
        </w:tc>
        <w:tc>
          <w:tcPr>
            <w:tcW w:w="1160" w:type="dxa"/>
            <w:vAlign w:val="bottom"/>
            <w:tcBorders>
              <w:bottom w:val="single" w:sz="8" w:color="CCEEFF"/>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020" w:type="dxa"/>
            <w:vAlign w:val="bottom"/>
            <w:tcBorders>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2021</w:t>
            </w:r>
          </w:p>
        </w:tc>
        <w:tc>
          <w:tcPr>
            <w:tcW w:w="240" w:type="dxa"/>
            <w:vAlign w:val="bottom"/>
            <w:tcBorders>
              <w:bottom w:val="single" w:sz="8" w:color="CCEEFF"/>
            </w:tcBorders>
          </w:tcPr>
          <w:p>
            <w:pPr>
              <w:spacing w:after="0"/>
              <w:rPr>
                <w:sz w:val="14"/>
                <w:szCs w:val="14"/>
                <w:color w:val="auto"/>
              </w:rPr>
            </w:pPr>
          </w:p>
        </w:tc>
        <w:tc>
          <w:tcPr>
            <w:tcW w:w="360" w:type="dxa"/>
            <w:vAlign w:val="bottom"/>
            <w:tcBorders>
              <w:bottom w:val="single" w:sz="8" w:color="auto"/>
            </w:tcBorders>
          </w:tcPr>
          <w:p>
            <w:pPr>
              <w:spacing w:after="0"/>
              <w:rPr>
                <w:sz w:val="14"/>
                <w:szCs w:val="14"/>
                <w:color w:val="auto"/>
              </w:rPr>
            </w:pPr>
          </w:p>
        </w:tc>
        <w:tc>
          <w:tcPr>
            <w:tcW w:w="860" w:type="dxa"/>
            <w:vAlign w:val="bottom"/>
            <w:tcBorders>
              <w:bottom w:val="single" w:sz="8" w:color="auto"/>
            </w:tcBorders>
          </w:tcPr>
          <w:p>
            <w:pPr>
              <w:jc w:val="right"/>
              <w:ind w:right="43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4"/>
                <w:szCs w:val="14"/>
                <w:color w:val="auto"/>
              </w:rPr>
            </w:pPr>
          </w:p>
        </w:tc>
        <w:tc>
          <w:tcPr>
            <w:tcW w:w="0" w:type="dxa"/>
            <w:vAlign w:val="bottom"/>
          </w:tcPr>
          <w:p>
            <w:pPr>
              <w:spacing w:after="0"/>
              <w:rPr>
                <w:sz w:val="1"/>
                <w:szCs w:val="1"/>
                <w:color w:val="auto"/>
              </w:rPr>
            </w:pPr>
          </w:p>
        </w:tc>
      </w:tr>
      <w:tr>
        <w:trPr>
          <w:trHeight w:val="147"/>
        </w:trPr>
        <w:tc>
          <w:tcPr>
            <w:tcW w:w="7320" w:type="dxa"/>
            <w:vAlign w:val="bottom"/>
            <w:shd w:val="clear" w:color="auto" w:fill="CCEEFF"/>
          </w:tcPr>
          <w:p>
            <w:pPr>
              <w:spacing w:after="0" w:line="146" w:lineRule="exact"/>
              <w:rPr>
                <w:sz w:val="20"/>
                <w:szCs w:val="20"/>
                <w:color w:val="auto"/>
              </w:rPr>
            </w:pPr>
            <w:r>
              <w:rPr>
                <w:rFonts w:ascii="Arial" w:cs="Arial" w:eastAsia="Arial" w:hAnsi="Arial"/>
                <w:sz w:val="13"/>
                <w:szCs w:val="13"/>
                <w:color w:val="auto"/>
              </w:rPr>
              <w:t>Risk-free interest rate</w:t>
            </w:r>
          </w:p>
        </w:tc>
        <w:tc>
          <w:tcPr>
            <w:tcW w:w="1160" w:type="dxa"/>
            <w:vAlign w:val="bottom"/>
            <w:shd w:val="clear" w:color="auto" w:fill="CCEEFF"/>
          </w:tcPr>
          <w:p>
            <w:pPr>
              <w:spacing w:after="0"/>
              <w:rPr>
                <w:sz w:val="12"/>
                <w:szCs w:val="12"/>
                <w:color w:val="auto"/>
              </w:rPr>
            </w:pPr>
          </w:p>
        </w:tc>
        <w:tc>
          <w:tcPr>
            <w:tcW w:w="220" w:type="dxa"/>
            <w:vAlign w:val="bottom"/>
            <w:shd w:val="clear" w:color="auto" w:fill="CCEEFF"/>
          </w:tcPr>
          <w:p>
            <w:pPr>
              <w:spacing w:after="0"/>
              <w:rPr>
                <w:sz w:val="12"/>
                <w:szCs w:val="12"/>
                <w:color w:val="auto"/>
              </w:rPr>
            </w:pPr>
          </w:p>
        </w:tc>
        <w:tc>
          <w:tcPr>
            <w:tcW w:w="1260" w:type="dxa"/>
            <w:vAlign w:val="bottom"/>
            <w:tcBorders>
              <w:right w:val="single" w:sz="8" w:color="CCEEFF"/>
            </w:tcBorders>
            <w:gridSpan w:val="2"/>
            <w:shd w:val="clear" w:color="auto" w:fill="CCEEFF"/>
          </w:tcPr>
          <w:p>
            <w:pPr>
              <w:jc w:val="right"/>
              <w:ind w:right="140"/>
              <w:spacing w:after="0" w:line="147" w:lineRule="exact"/>
              <w:rPr>
                <w:sz w:val="20"/>
                <w:szCs w:val="20"/>
                <w:color w:val="auto"/>
              </w:rPr>
            </w:pPr>
            <w:r>
              <w:rPr>
                <w:rFonts w:ascii="Arial" w:cs="Arial" w:eastAsia="Arial" w:hAnsi="Arial"/>
                <w:sz w:val="13"/>
                <w:szCs w:val="13"/>
                <w:color w:val="auto"/>
              </w:rPr>
              <w:t>0.98%</w:t>
            </w:r>
          </w:p>
        </w:tc>
        <w:tc>
          <w:tcPr>
            <w:tcW w:w="360" w:type="dxa"/>
            <w:vAlign w:val="bottom"/>
            <w:shd w:val="clear" w:color="auto" w:fill="CCEEFF"/>
          </w:tcPr>
          <w:p>
            <w:pPr>
              <w:spacing w:after="0"/>
              <w:rPr>
                <w:sz w:val="12"/>
                <w:szCs w:val="12"/>
                <w:color w:val="auto"/>
              </w:rPr>
            </w:pPr>
          </w:p>
        </w:tc>
        <w:tc>
          <w:tcPr>
            <w:tcW w:w="960" w:type="dxa"/>
            <w:vAlign w:val="bottom"/>
            <w:gridSpan w:val="2"/>
            <w:shd w:val="clear" w:color="auto" w:fill="CCEEFF"/>
          </w:tcPr>
          <w:p>
            <w:pPr>
              <w:jc w:val="right"/>
              <w:spacing w:after="0" w:line="147" w:lineRule="exact"/>
              <w:rPr>
                <w:sz w:val="20"/>
                <w:szCs w:val="20"/>
                <w:color w:val="auto"/>
              </w:rPr>
            </w:pPr>
            <w:r>
              <w:rPr>
                <w:rFonts w:ascii="Arial" w:cs="Arial" w:eastAsia="Arial" w:hAnsi="Arial"/>
                <w:sz w:val="13"/>
                <w:szCs w:val="13"/>
                <w:color w:val="auto"/>
              </w:rPr>
              <w:t>1.17%</w:t>
            </w:r>
          </w:p>
        </w:tc>
        <w:tc>
          <w:tcPr>
            <w:tcW w:w="0" w:type="dxa"/>
            <w:vAlign w:val="bottom"/>
          </w:tcPr>
          <w:p>
            <w:pPr>
              <w:spacing w:after="0"/>
              <w:rPr>
                <w:sz w:val="1"/>
                <w:szCs w:val="1"/>
                <w:color w:val="auto"/>
              </w:rPr>
            </w:pPr>
          </w:p>
        </w:tc>
      </w:tr>
      <w:tr>
        <w:trPr>
          <w:trHeight w:val="156"/>
        </w:trPr>
        <w:tc>
          <w:tcPr>
            <w:tcW w:w="7320" w:type="dxa"/>
            <w:vAlign w:val="bottom"/>
          </w:tcPr>
          <w:p>
            <w:pPr>
              <w:spacing w:after="0"/>
              <w:rPr>
                <w:sz w:val="20"/>
                <w:szCs w:val="20"/>
                <w:color w:val="auto"/>
              </w:rPr>
            </w:pPr>
            <w:r>
              <w:rPr>
                <w:rFonts w:ascii="Arial" w:cs="Arial" w:eastAsia="Arial" w:hAnsi="Arial"/>
                <w:sz w:val="13"/>
                <w:szCs w:val="13"/>
                <w:color w:val="auto"/>
              </w:rPr>
              <w:t>Expected dividend yield</w:t>
            </w:r>
          </w:p>
        </w:tc>
        <w:tc>
          <w:tcPr>
            <w:tcW w:w="116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140"/>
              <w:spacing w:after="0"/>
              <w:rPr>
                <w:sz w:val="20"/>
                <w:szCs w:val="20"/>
                <w:color w:val="auto"/>
              </w:rPr>
            </w:pPr>
            <w:r>
              <w:rPr>
                <w:rFonts w:ascii="Arial" w:cs="Arial" w:eastAsia="Arial" w:hAnsi="Arial"/>
                <w:sz w:val="13"/>
                <w:szCs w:val="13"/>
                <w:color w:val="auto"/>
              </w:rPr>
              <w:t>-%</w:t>
            </w:r>
          </w:p>
        </w:tc>
        <w:tc>
          <w:tcPr>
            <w:tcW w:w="360" w:type="dxa"/>
            <w:vAlign w:val="bottom"/>
          </w:tcPr>
          <w:p>
            <w:pPr>
              <w:spacing w:after="0"/>
              <w:rPr>
                <w:sz w:val="13"/>
                <w:szCs w:val="13"/>
                <w:color w:val="auto"/>
              </w:rPr>
            </w:pPr>
          </w:p>
        </w:tc>
        <w:tc>
          <w:tcPr>
            <w:tcW w:w="960" w:type="dxa"/>
            <w:vAlign w:val="bottom"/>
            <w:gridSpan w:val="2"/>
          </w:tcPr>
          <w:p>
            <w:pPr>
              <w:jc w:val="right"/>
              <w:spacing w:after="0"/>
              <w:rPr>
                <w:sz w:val="20"/>
                <w:szCs w:val="20"/>
                <w:color w:val="auto"/>
              </w:rPr>
            </w:pPr>
            <w:r>
              <w:rPr>
                <w:rFonts w:ascii="Arial" w:cs="Arial" w:eastAsia="Arial" w:hAnsi="Arial"/>
                <w:sz w:val="13"/>
                <w:szCs w:val="13"/>
                <w:color w:val="auto"/>
              </w:rPr>
              <w:t>-%</w:t>
            </w:r>
          </w:p>
        </w:tc>
        <w:tc>
          <w:tcPr>
            <w:tcW w:w="0" w:type="dxa"/>
            <w:vAlign w:val="bottom"/>
          </w:tcPr>
          <w:p>
            <w:pPr>
              <w:spacing w:after="0"/>
              <w:rPr>
                <w:sz w:val="1"/>
                <w:szCs w:val="1"/>
                <w:color w:val="auto"/>
              </w:rPr>
            </w:pPr>
          </w:p>
        </w:tc>
      </w:tr>
      <w:tr>
        <w:trPr>
          <w:trHeight w:val="156"/>
        </w:trPr>
        <w:tc>
          <w:tcPr>
            <w:tcW w:w="7320" w:type="dxa"/>
            <w:vAlign w:val="bottom"/>
            <w:shd w:val="clear" w:color="auto" w:fill="CCEEFF"/>
          </w:tcPr>
          <w:p>
            <w:pPr>
              <w:spacing w:after="0"/>
              <w:rPr>
                <w:sz w:val="20"/>
                <w:szCs w:val="20"/>
                <w:color w:val="auto"/>
              </w:rPr>
            </w:pPr>
            <w:r>
              <w:rPr>
                <w:rFonts w:ascii="Arial" w:cs="Arial" w:eastAsia="Arial" w:hAnsi="Arial"/>
                <w:sz w:val="13"/>
                <w:szCs w:val="13"/>
                <w:color w:val="auto"/>
              </w:rPr>
              <w:t>Expected volatility</w:t>
            </w:r>
          </w:p>
        </w:tc>
        <w:tc>
          <w:tcPr>
            <w:tcW w:w="116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260" w:type="dxa"/>
            <w:vAlign w:val="bottom"/>
            <w:tcBorders>
              <w:right w:val="single" w:sz="8" w:color="CCEEFF"/>
            </w:tcBorders>
            <w:gridSpan w:val="2"/>
            <w:shd w:val="clear" w:color="auto" w:fill="CCEEFF"/>
          </w:tcPr>
          <w:p>
            <w:pPr>
              <w:jc w:val="right"/>
              <w:ind w:right="140"/>
              <w:spacing w:after="0"/>
              <w:rPr>
                <w:sz w:val="20"/>
                <w:szCs w:val="20"/>
                <w:color w:val="auto"/>
              </w:rPr>
            </w:pPr>
            <w:r>
              <w:rPr>
                <w:rFonts w:ascii="Arial" w:cs="Arial" w:eastAsia="Arial" w:hAnsi="Arial"/>
                <w:sz w:val="13"/>
                <w:szCs w:val="13"/>
                <w:color w:val="auto"/>
              </w:rPr>
              <w:t>52.12%</w:t>
            </w:r>
          </w:p>
        </w:tc>
        <w:tc>
          <w:tcPr>
            <w:tcW w:w="360" w:type="dxa"/>
            <w:vAlign w:val="bottom"/>
            <w:shd w:val="clear" w:color="auto" w:fill="CCEEFF"/>
          </w:tcPr>
          <w:p>
            <w:pPr>
              <w:spacing w:after="0"/>
              <w:rPr>
                <w:sz w:val="13"/>
                <w:szCs w:val="13"/>
                <w:color w:val="auto"/>
              </w:rPr>
            </w:pPr>
          </w:p>
        </w:tc>
        <w:tc>
          <w:tcPr>
            <w:tcW w:w="960" w:type="dxa"/>
            <w:vAlign w:val="bottom"/>
            <w:gridSpan w:val="2"/>
            <w:shd w:val="clear" w:color="auto" w:fill="CCEEFF"/>
          </w:tcPr>
          <w:p>
            <w:pPr>
              <w:jc w:val="right"/>
              <w:spacing w:after="0"/>
              <w:rPr>
                <w:sz w:val="20"/>
                <w:szCs w:val="20"/>
                <w:color w:val="auto"/>
              </w:rPr>
            </w:pPr>
            <w:r>
              <w:rPr>
                <w:rFonts w:ascii="Arial" w:cs="Arial" w:eastAsia="Arial" w:hAnsi="Arial"/>
                <w:sz w:val="13"/>
                <w:szCs w:val="13"/>
                <w:color w:val="auto"/>
              </w:rPr>
              <w:t>50.13%</w:t>
            </w:r>
          </w:p>
        </w:tc>
        <w:tc>
          <w:tcPr>
            <w:tcW w:w="0" w:type="dxa"/>
            <w:vAlign w:val="bottom"/>
          </w:tcPr>
          <w:p>
            <w:pPr>
              <w:spacing w:after="0"/>
              <w:rPr>
                <w:sz w:val="1"/>
                <w:szCs w:val="1"/>
                <w:color w:val="auto"/>
              </w:rPr>
            </w:pPr>
          </w:p>
        </w:tc>
      </w:tr>
      <w:tr>
        <w:trPr>
          <w:trHeight w:val="164"/>
        </w:trPr>
        <w:tc>
          <w:tcPr>
            <w:tcW w:w="7320" w:type="dxa"/>
            <w:vAlign w:val="bottom"/>
          </w:tcPr>
          <w:p>
            <w:pPr>
              <w:spacing w:after="0"/>
              <w:rPr>
                <w:sz w:val="20"/>
                <w:szCs w:val="20"/>
                <w:color w:val="auto"/>
              </w:rPr>
            </w:pPr>
            <w:r>
              <w:rPr>
                <w:rFonts w:ascii="Arial" w:cs="Arial" w:eastAsia="Arial" w:hAnsi="Arial"/>
                <w:sz w:val="13"/>
                <w:szCs w:val="13"/>
                <w:color w:val="auto"/>
              </w:rPr>
              <w:t>Expected term (in years)</w:t>
            </w:r>
          </w:p>
        </w:tc>
        <w:tc>
          <w:tcPr>
            <w:tcW w:w="1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6.03</w:t>
            </w:r>
          </w:p>
        </w:tc>
        <w:tc>
          <w:tcPr>
            <w:tcW w:w="240" w:type="dxa"/>
            <w:vAlign w:val="bottom"/>
          </w:tcPr>
          <w:p>
            <w:pPr>
              <w:spacing w:after="0"/>
              <w:rPr>
                <w:sz w:val="14"/>
                <w:szCs w:val="14"/>
                <w:color w:val="auto"/>
              </w:rPr>
            </w:pPr>
          </w:p>
        </w:tc>
        <w:tc>
          <w:tcPr>
            <w:tcW w:w="360" w:type="dxa"/>
            <w:vAlign w:val="bottom"/>
          </w:tcPr>
          <w:p>
            <w:pPr>
              <w:spacing w:after="0"/>
              <w:rPr>
                <w:sz w:val="14"/>
                <w:szCs w:val="14"/>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6.06</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04"/>
        </w:trPr>
        <w:tc>
          <w:tcPr>
            <w:tcW w:w="7320" w:type="dxa"/>
            <w:vAlign w:val="bottom"/>
          </w:tcPr>
          <w:p>
            <w:pPr>
              <w:spacing w:after="0"/>
              <w:rPr>
                <w:sz w:val="20"/>
                <w:szCs w:val="20"/>
                <w:color w:val="auto"/>
              </w:rPr>
            </w:pPr>
            <w:r>
              <w:rPr>
                <w:rFonts w:ascii="Arial" w:cs="Arial" w:eastAsia="Arial" w:hAnsi="Arial"/>
                <w:sz w:val="13"/>
                <w:szCs w:val="13"/>
                <w:color w:val="auto"/>
              </w:rPr>
              <w:t>A summary of stock-based compensation expense recognized in the Company’s statements of operations is as follows:</w:t>
            </w:r>
          </w:p>
        </w:tc>
        <w:tc>
          <w:tcPr>
            <w:tcW w:w="1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1"/>
        </w:trPr>
        <w:tc>
          <w:tcPr>
            <w:tcW w:w="732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20" w:type="dxa"/>
            <w:vAlign w:val="bottom"/>
            <w:gridSpan w:val="3"/>
          </w:tcPr>
          <w:p>
            <w:pPr>
              <w:jc w:val="right"/>
              <w:spacing w:after="0"/>
              <w:rPr>
                <w:sz w:val="20"/>
                <w:szCs w:val="20"/>
                <w:color w:val="auto"/>
              </w:rPr>
            </w:pPr>
            <w:r>
              <w:rPr>
                <w:rFonts w:ascii="Arial" w:cs="Arial" w:eastAsia="Arial" w:hAnsi="Arial"/>
                <w:sz w:val="13"/>
                <w:szCs w:val="13"/>
                <w:b w:val="1"/>
                <w:bCs w:val="1"/>
                <w:color w:val="auto"/>
              </w:rPr>
              <w:t>Six months ended</w:t>
            </w:r>
          </w:p>
        </w:tc>
        <w:tc>
          <w:tcPr>
            <w:tcW w:w="8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69"/>
        </w:trPr>
        <w:tc>
          <w:tcPr>
            <w:tcW w:w="7320" w:type="dxa"/>
            <w:vAlign w:val="bottom"/>
          </w:tcPr>
          <w:p>
            <w:pPr>
              <w:spacing w:after="0"/>
              <w:rPr>
                <w:sz w:val="14"/>
                <w:szCs w:val="14"/>
                <w:color w:val="auto"/>
              </w:rPr>
            </w:pPr>
          </w:p>
        </w:tc>
        <w:tc>
          <w:tcPr>
            <w:tcW w:w="1160" w:type="dxa"/>
            <w:vAlign w:val="bottom"/>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1620" w:type="dxa"/>
            <w:vAlign w:val="bottom"/>
            <w:tcBorders>
              <w:bottom w:val="single" w:sz="8" w:color="auto"/>
            </w:tcBorders>
            <w:gridSpan w:val="3"/>
          </w:tcPr>
          <w:p>
            <w:pPr>
              <w:jc w:val="right"/>
              <w:ind w:right="211"/>
              <w:spacing w:after="0"/>
              <w:rPr>
                <w:sz w:val="20"/>
                <w:szCs w:val="20"/>
                <w:color w:val="auto"/>
              </w:rPr>
            </w:pPr>
            <w:r>
              <w:rPr>
                <w:rFonts w:ascii="Arial" w:cs="Arial" w:eastAsia="Arial" w:hAnsi="Arial"/>
                <w:sz w:val="13"/>
                <w:szCs w:val="13"/>
                <w:b w:val="1"/>
                <w:bCs w:val="1"/>
                <w:color w:val="auto"/>
              </w:rPr>
              <w:t>June 30,</w:t>
            </w:r>
          </w:p>
        </w:tc>
        <w:tc>
          <w:tcPr>
            <w:tcW w:w="860" w:type="dxa"/>
            <w:vAlign w:val="bottom"/>
            <w:tcBorders>
              <w:bottom w:val="single" w:sz="8" w:color="auto"/>
            </w:tcBorders>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57"/>
        </w:trPr>
        <w:tc>
          <w:tcPr>
            <w:tcW w:w="7320" w:type="dxa"/>
            <w:vAlign w:val="bottom"/>
            <w:tcBorders>
              <w:bottom w:val="single" w:sz="8" w:color="CCEEFF"/>
            </w:tcBorders>
          </w:tcPr>
          <w:p>
            <w:pPr>
              <w:spacing w:after="0"/>
              <w:rPr>
                <w:sz w:val="13"/>
                <w:szCs w:val="13"/>
                <w:color w:val="auto"/>
              </w:rPr>
            </w:pPr>
          </w:p>
        </w:tc>
        <w:tc>
          <w:tcPr>
            <w:tcW w:w="1160" w:type="dxa"/>
            <w:vAlign w:val="bottom"/>
            <w:tcBorders>
              <w:bottom w:val="single" w:sz="8" w:color="CCEEFF"/>
            </w:tcBorders>
          </w:tcPr>
          <w:p>
            <w:pPr>
              <w:spacing w:after="0"/>
              <w:rPr>
                <w:sz w:val="13"/>
                <w:szCs w:val="13"/>
                <w:color w:val="auto"/>
              </w:rPr>
            </w:pPr>
          </w:p>
        </w:tc>
        <w:tc>
          <w:tcPr>
            <w:tcW w:w="220" w:type="dxa"/>
            <w:vAlign w:val="bottom"/>
            <w:tcBorders>
              <w:bottom w:val="single" w:sz="8" w:color="auto"/>
            </w:tcBorders>
          </w:tcPr>
          <w:p>
            <w:pPr>
              <w:spacing w:after="0"/>
              <w:rPr>
                <w:sz w:val="13"/>
                <w:szCs w:val="13"/>
                <w:color w:val="auto"/>
              </w:rPr>
            </w:pPr>
          </w:p>
        </w:tc>
        <w:tc>
          <w:tcPr>
            <w:tcW w:w="102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240" w:type="dxa"/>
            <w:vAlign w:val="bottom"/>
            <w:tcBorders>
              <w:bottom w:val="single" w:sz="8" w:color="CCEEFF"/>
            </w:tcBorders>
          </w:tcPr>
          <w:p>
            <w:pPr>
              <w:spacing w:after="0"/>
              <w:rPr>
                <w:sz w:val="13"/>
                <w:szCs w:val="13"/>
                <w:color w:val="auto"/>
              </w:rPr>
            </w:pPr>
          </w:p>
        </w:tc>
        <w:tc>
          <w:tcPr>
            <w:tcW w:w="360" w:type="dxa"/>
            <w:vAlign w:val="bottom"/>
            <w:tcBorders>
              <w:bottom w:val="single" w:sz="8" w:color="auto"/>
            </w:tcBorders>
          </w:tcPr>
          <w:p>
            <w:pPr>
              <w:spacing w:after="0"/>
              <w:rPr>
                <w:sz w:val="13"/>
                <w:szCs w:val="13"/>
                <w:color w:val="auto"/>
              </w:rPr>
            </w:pPr>
          </w:p>
        </w:tc>
        <w:tc>
          <w:tcPr>
            <w:tcW w:w="86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2020</w:t>
            </w:r>
          </w:p>
        </w:tc>
        <w:tc>
          <w:tcPr>
            <w:tcW w:w="100" w:type="dxa"/>
            <w:vAlign w:val="bottom"/>
            <w:tcBorders>
              <w:bottom w:val="single" w:sz="8" w:color="CCEEFF"/>
            </w:tcBorders>
          </w:tcPr>
          <w:p>
            <w:pPr>
              <w:spacing w:after="0"/>
              <w:rPr>
                <w:sz w:val="13"/>
                <w:szCs w:val="13"/>
                <w:color w:val="auto"/>
              </w:rPr>
            </w:pPr>
          </w:p>
        </w:tc>
        <w:tc>
          <w:tcPr>
            <w:tcW w:w="0" w:type="dxa"/>
            <w:vAlign w:val="bottom"/>
          </w:tcPr>
          <w:p>
            <w:pPr>
              <w:spacing w:after="0"/>
              <w:rPr>
                <w:sz w:val="1"/>
                <w:szCs w:val="1"/>
                <w:color w:val="auto"/>
              </w:rPr>
            </w:pPr>
          </w:p>
        </w:tc>
      </w:tr>
      <w:tr>
        <w:trPr>
          <w:trHeight w:val="146"/>
        </w:trPr>
        <w:tc>
          <w:tcPr>
            <w:tcW w:w="7320" w:type="dxa"/>
            <w:vAlign w:val="bottom"/>
            <w:shd w:val="clear" w:color="auto" w:fill="CCEEFF"/>
          </w:tcPr>
          <w:p>
            <w:pPr>
              <w:spacing w:after="0" w:line="145" w:lineRule="exact"/>
              <w:rPr>
                <w:sz w:val="20"/>
                <w:szCs w:val="20"/>
                <w:color w:val="auto"/>
              </w:rPr>
            </w:pPr>
            <w:r>
              <w:rPr>
                <w:rFonts w:ascii="Arial" w:cs="Arial" w:eastAsia="Arial" w:hAnsi="Arial"/>
                <w:sz w:val="13"/>
                <w:szCs w:val="13"/>
                <w:color w:val="auto"/>
              </w:rPr>
              <w:t>Cost of services</w:t>
            </w:r>
          </w:p>
        </w:tc>
        <w:tc>
          <w:tcPr>
            <w:tcW w:w="1160" w:type="dxa"/>
            <w:vAlign w:val="bottom"/>
            <w:shd w:val="clear" w:color="auto" w:fill="CCEEFF"/>
          </w:tcPr>
          <w:p>
            <w:pPr>
              <w:spacing w:after="0"/>
              <w:rPr>
                <w:sz w:val="12"/>
                <w:szCs w:val="12"/>
                <w:color w:val="auto"/>
              </w:rPr>
            </w:pPr>
          </w:p>
        </w:tc>
        <w:tc>
          <w:tcPr>
            <w:tcW w:w="220" w:type="dxa"/>
            <w:vAlign w:val="bottom"/>
            <w:shd w:val="clear" w:color="auto" w:fill="CCEEFF"/>
          </w:tcPr>
          <w:p>
            <w:pPr>
              <w:jc w:val="right"/>
              <w:ind w:right="111"/>
              <w:spacing w:after="0"/>
              <w:rPr>
                <w:sz w:val="20"/>
                <w:szCs w:val="20"/>
                <w:color w:val="auto"/>
              </w:rPr>
            </w:pPr>
            <w:r>
              <w:rPr>
                <w:rFonts w:ascii="Arial" w:cs="Arial" w:eastAsia="Arial" w:hAnsi="Arial"/>
                <w:sz w:val="10"/>
                <w:szCs w:val="10"/>
                <w:color w:val="auto"/>
                <w:w w:val="71"/>
              </w:rPr>
              <w:t>$</w:t>
            </w:r>
          </w:p>
        </w:tc>
        <w:tc>
          <w:tcPr>
            <w:tcW w:w="102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100,871</w:t>
            </w:r>
          </w:p>
        </w:tc>
        <w:tc>
          <w:tcPr>
            <w:tcW w:w="240" w:type="dxa"/>
            <w:vAlign w:val="bottom"/>
            <w:tcBorders>
              <w:right w:val="single" w:sz="8" w:color="CCEEFF"/>
            </w:tcBorders>
            <w:shd w:val="clear" w:color="auto" w:fill="CCEEFF"/>
          </w:tcPr>
          <w:p>
            <w:pPr>
              <w:spacing w:after="0"/>
              <w:rPr>
                <w:sz w:val="12"/>
                <w:szCs w:val="12"/>
                <w:color w:val="auto"/>
              </w:rPr>
            </w:pPr>
          </w:p>
        </w:tc>
        <w:tc>
          <w:tcPr>
            <w:tcW w:w="360" w:type="dxa"/>
            <w:vAlign w:val="bottom"/>
            <w:shd w:val="clear" w:color="auto" w:fill="CCEEFF"/>
          </w:tcPr>
          <w:p>
            <w:pPr>
              <w:jc w:val="right"/>
              <w:ind w:right="251"/>
              <w:spacing w:after="0"/>
              <w:rPr>
                <w:sz w:val="20"/>
                <w:szCs w:val="20"/>
                <w:color w:val="auto"/>
              </w:rPr>
            </w:pPr>
            <w:r>
              <w:rPr>
                <w:rFonts w:ascii="Arial" w:cs="Arial" w:eastAsia="Arial" w:hAnsi="Arial"/>
                <w:sz w:val="10"/>
                <w:szCs w:val="10"/>
                <w:color w:val="auto"/>
                <w:w w:val="71"/>
              </w:rPr>
              <w:t>$</w:t>
            </w:r>
          </w:p>
        </w:tc>
        <w:tc>
          <w:tcPr>
            <w:tcW w:w="860" w:type="dxa"/>
            <w:vAlign w:val="bottom"/>
            <w:shd w:val="clear" w:color="auto" w:fill="CCEEFF"/>
          </w:tcPr>
          <w:p>
            <w:pPr>
              <w:jc w:val="right"/>
              <w:spacing w:after="0" w:line="146" w:lineRule="exact"/>
              <w:rPr>
                <w:sz w:val="20"/>
                <w:szCs w:val="20"/>
                <w:color w:val="auto"/>
              </w:rPr>
            </w:pPr>
            <w:r>
              <w:rPr>
                <w:rFonts w:ascii="Arial" w:cs="Arial" w:eastAsia="Arial" w:hAnsi="Arial"/>
                <w:sz w:val="13"/>
                <w:szCs w:val="13"/>
                <w:color w:val="auto"/>
              </w:rPr>
              <w:t>29,872</w:t>
            </w:r>
          </w:p>
        </w:tc>
        <w:tc>
          <w:tcPr>
            <w:tcW w:w="100" w:type="dxa"/>
            <w:vAlign w:val="bottom"/>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7320" w:type="dxa"/>
            <w:vAlign w:val="bottom"/>
          </w:tcPr>
          <w:p>
            <w:pPr>
              <w:spacing w:after="0"/>
              <w:rPr>
                <w:sz w:val="20"/>
                <w:szCs w:val="20"/>
                <w:color w:val="auto"/>
              </w:rPr>
            </w:pPr>
            <w:r>
              <w:rPr>
                <w:rFonts w:ascii="Arial" w:cs="Arial" w:eastAsia="Arial" w:hAnsi="Arial"/>
                <w:sz w:val="13"/>
                <w:szCs w:val="13"/>
                <w:color w:val="auto"/>
              </w:rPr>
              <w:t>Research and development</w:t>
            </w:r>
          </w:p>
        </w:tc>
        <w:tc>
          <w:tcPr>
            <w:tcW w:w="1160" w:type="dxa"/>
            <w:vAlign w:val="bottom"/>
          </w:tcPr>
          <w:p>
            <w:pPr>
              <w:spacing w:after="0"/>
              <w:rPr>
                <w:sz w:val="13"/>
                <w:szCs w:val="13"/>
                <w:color w:val="auto"/>
              </w:rPr>
            </w:pPr>
          </w:p>
        </w:tc>
        <w:tc>
          <w:tcPr>
            <w:tcW w:w="220" w:type="dxa"/>
            <w:vAlign w:val="bottom"/>
          </w:tcPr>
          <w:p>
            <w:pPr>
              <w:spacing w:after="0"/>
              <w:rPr>
                <w:sz w:val="13"/>
                <w:szCs w:val="13"/>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174,914</w:t>
            </w:r>
          </w:p>
        </w:tc>
        <w:tc>
          <w:tcPr>
            <w:tcW w:w="360" w:type="dxa"/>
            <w:vAlign w:val="bottom"/>
          </w:tcPr>
          <w:p>
            <w:pPr>
              <w:spacing w:after="0"/>
              <w:rPr>
                <w:sz w:val="13"/>
                <w:szCs w:val="13"/>
                <w:color w:val="auto"/>
              </w:rPr>
            </w:pPr>
          </w:p>
        </w:tc>
        <w:tc>
          <w:tcPr>
            <w:tcW w:w="860" w:type="dxa"/>
            <w:vAlign w:val="bottom"/>
          </w:tcPr>
          <w:p>
            <w:pPr>
              <w:jc w:val="right"/>
              <w:spacing w:after="0"/>
              <w:rPr>
                <w:sz w:val="20"/>
                <w:szCs w:val="20"/>
                <w:color w:val="auto"/>
              </w:rPr>
            </w:pPr>
            <w:r>
              <w:rPr>
                <w:rFonts w:ascii="Arial" w:cs="Arial" w:eastAsia="Arial" w:hAnsi="Arial"/>
                <w:sz w:val="13"/>
                <w:szCs w:val="13"/>
                <w:color w:val="auto"/>
              </w:rPr>
              <w:t>138,246</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56"/>
        </w:trPr>
        <w:tc>
          <w:tcPr>
            <w:tcW w:w="7320" w:type="dxa"/>
            <w:vAlign w:val="bottom"/>
            <w:shd w:val="clear" w:color="auto" w:fill="CCEEFF"/>
          </w:tcPr>
          <w:p>
            <w:pPr>
              <w:spacing w:after="0"/>
              <w:rPr>
                <w:sz w:val="20"/>
                <w:szCs w:val="20"/>
                <w:color w:val="auto"/>
              </w:rPr>
            </w:pPr>
            <w:r>
              <w:rPr>
                <w:rFonts w:ascii="Arial" w:cs="Arial" w:eastAsia="Arial" w:hAnsi="Arial"/>
                <w:sz w:val="13"/>
                <w:szCs w:val="13"/>
                <w:color w:val="auto"/>
              </w:rPr>
              <w:t>Sales and marketing</w:t>
            </w:r>
          </w:p>
        </w:tc>
        <w:tc>
          <w:tcPr>
            <w:tcW w:w="1160" w:type="dxa"/>
            <w:vAlign w:val="bottom"/>
            <w:shd w:val="clear" w:color="auto" w:fill="CCEEFF"/>
          </w:tcPr>
          <w:p>
            <w:pPr>
              <w:spacing w:after="0"/>
              <w:rPr>
                <w:sz w:val="13"/>
                <w:szCs w:val="13"/>
                <w:color w:val="auto"/>
              </w:rPr>
            </w:pPr>
          </w:p>
        </w:tc>
        <w:tc>
          <w:tcPr>
            <w:tcW w:w="220" w:type="dxa"/>
            <w:vAlign w:val="bottom"/>
            <w:shd w:val="clear" w:color="auto" w:fill="CCEEFF"/>
          </w:tcPr>
          <w:p>
            <w:pPr>
              <w:spacing w:after="0"/>
              <w:rPr>
                <w:sz w:val="13"/>
                <w:szCs w:val="13"/>
                <w:color w:val="auto"/>
              </w:rPr>
            </w:pPr>
          </w:p>
        </w:tc>
        <w:tc>
          <w:tcPr>
            <w:tcW w:w="1260" w:type="dxa"/>
            <w:vAlign w:val="bottom"/>
            <w:tcBorders>
              <w:right w:val="single" w:sz="8" w:color="CCEEFF"/>
            </w:tcBorders>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61,152</w:t>
            </w:r>
          </w:p>
        </w:tc>
        <w:tc>
          <w:tcPr>
            <w:tcW w:w="360" w:type="dxa"/>
            <w:vAlign w:val="bottom"/>
            <w:shd w:val="clear" w:color="auto" w:fill="CCEEFF"/>
          </w:tcPr>
          <w:p>
            <w:pPr>
              <w:spacing w:after="0"/>
              <w:rPr>
                <w:sz w:val="13"/>
                <w:szCs w:val="13"/>
                <w:color w:val="auto"/>
              </w:rPr>
            </w:pPr>
          </w:p>
        </w:tc>
        <w:tc>
          <w:tcPr>
            <w:tcW w:w="9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32,619</w:t>
            </w:r>
          </w:p>
        </w:tc>
        <w:tc>
          <w:tcPr>
            <w:tcW w:w="0" w:type="dxa"/>
            <w:vAlign w:val="bottom"/>
          </w:tcPr>
          <w:p>
            <w:pPr>
              <w:spacing w:after="0"/>
              <w:rPr>
                <w:sz w:val="1"/>
                <w:szCs w:val="1"/>
                <w:color w:val="auto"/>
              </w:rPr>
            </w:pPr>
          </w:p>
        </w:tc>
      </w:tr>
      <w:tr>
        <w:trPr>
          <w:trHeight w:val="166"/>
        </w:trPr>
        <w:tc>
          <w:tcPr>
            <w:tcW w:w="7320" w:type="dxa"/>
            <w:vAlign w:val="bottom"/>
          </w:tcPr>
          <w:p>
            <w:pPr>
              <w:spacing w:after="0"/>
              <w:rPr>
                <w:sz w:val="20"/>
                <w:szCs w:val="20"/>
                <w:color w:val="auto"/>
              </w:rPr>
            </w:pPr>
            <w:r>
              <w:rPr>
                <w:rFonts w:ascii="Arial" w:cs="Arial" w:eastAsia="Arial" w:hAnsi="Arial"/>
                <w:sz w:val="13"/>
                <w:szCs w:val="13"/>
                <w:color w:val="auto"/>
              </w:rPr>
              <w:t>General and Administrative</w:t>
            </w:r>
          </w:p>
        </w:tc>
        <w:tc>
          <w:tcPr>
            <w:tcW w:w="11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60" w:type="dxa"/>
            <w:vAlign w:val="bottom"/>
            <w:gridSpan w:val="2"/>
          </w:tcPr>
          <w:p>
            <w:pPr>
              <w:jc w:val="right"/>
              <w:ind w:right="240"/>
              <w:spacing w:after="0"/>
              <w:rPr>
                <w:sz w:val="20"/>
                <w:szCs w:val="20"/>
                <w:color w:val="auto"/>
              </w:rPr>
            </w:pPr>
            <w:r>
              <w:rPr>
                <w:rFonts w:ascii="Arial" w:cs="Arial" w:eastAsia="Arial" w:hAnsi="Arial"/>
                <w:sz w:val="13"/>
                <w:szCs w:val="13"/>
                <w:color w:val="auto"/>
              </w:rPr>
              <w:t>121,551</w:t>
            </w:r>
          </w:p>
        </w:tc>
        <w:tc>
          <w:tcPr>
            <w:tcW w:w="360" w:type="dxa"/>
            <w:vAlign w:val="bottom"/>
          </w:tcPr>
          <w:p>
            <w:pPr>
              <w:spacing w:after="0"/>
              <w:rPr>
                <w:sz w:val="14"/>
                <w:szCs w:val="14"/>
                <w:color w:val="auto"/>
              </w:rPr>
            </w:pPr>
          </w:p>
        </w:tc>
        <w:tc>
          <w:tcPr>
            <w:tcW w:w="960" w:type="dxa"/>
            <w:vAlign w:val="bottom"/>
            <w:gridSpan w:val="2"/>
          </w:tcPr>
          <w:p>
            <w:pPr>
              <w:jc w:val="right"/>
              <w:ind w:right="60"/>
              <w:spacing w:after="0"/>
              <w:rPr>
                <w:sz w:val="20"/>
                <w:szCs w:val="20"/>
                <w:color w:val="auto"/>
              </w:rPr>
            </w:pPr>
            <w:r>
              <w:rPr>
                <w:rFonts w:ascii="Arial" w:cs="Arial" w:eastAsia="Arial" w:hAnsi="Arial"/>
                <w:sz w:val="13"/>
                <w:szCs w:val="13"/>
                <w:color w:val="auto"/>
              </w:rPr>
              <w:t>(13,110)</w:t>
            </w:r>
          </w:p>
        </w:tc>
        <w:tc>
          <w:tcPr>
            <w:tcW w:w="0" w:type="dxa"/>
            <w:vAlign w:val="bottom"/>
          </w:tcPr>
          <w:p>
            <w:pPr>
              <w:spacing w:after="0"/>
              <w:rPr>
                <w:sz w:val="1"/>
                <w:szCs w:val="1"/>
                <w:color w:val="auto"/>
              </w:rPr>
            </w:pPr>
          </w:p>
        </w:tc>
      </w:tr>
      <w:tr>
        <w:trPr>
          <w:trHeight w:val="20"/>
        </w:trPr>
        <w:tc>
          <w:tcPr>
            <w:tcW w:w="7320" w:type="dxa"/>
            <w:vAlign w:val="bottom"/>
            <w:vMerge w:val="restart"/>
            <w:shd w:val="clear" w:color="auto" w:fill="CCEEFF"/>
          </w:tcPr>
          <w:p>
            <w:pPr>
              <w:ind w:left="240"/>
              <w:spacing w:after="0"/>
              <w:rPr>
                <w:sz w:val="20"/>
                <w:szCs w:val="20"/>
                <w:color w:val="auto"/>
              </w:rPr>
            </w:pPr>
            <w:r>
              <w:rPr>
                <w:rFonts w:ascii="Arial" w:cs="Arial" w:eastAsia="Arial" w:hAnsi="Arial"/>
                <w:sz w:val="13"/>
                <w:szCs w:val="13"/>
                <w:color w:val="auto"/>
              </w:rPr>
              <w:t>Total</w:t>
            </w:r>
          </w:p>
        </w:tc>
        <w:tc>
          <w:tcPr>
            <w:tcW w:w="1160" w:type="dxa"/>
            <w:vAlign w:val="bottom"/>
            <w:shd w:val="clear" w:color="auto" w:fill="CCEEFF"/>
          </w:tcPr>
          <w:p>
            <w:pPr>
              <w:spacing w:after="0" w:line="20" w:lineRule="exact"/>
              <w:rPr>
                <w:sz w:val="1"/>
                <w:szCs w:val="1"/>
                <w:color w:val="auto"/>
              </w:rPr>
            </w:pPr>
          </w:p>
        </w:tc>
        <w:tc>
          <w:tcPr>
            <w:tcW w:w="220" w:type="dxa"/>
            <w:vAlign w:val="bottom"/>
            <w:shd w:val="clear" w:color="auto" w:fill="000000"/>
          </w:tcPr>
          <w:p>
            <w:pPr>
              <w:spacing w:after="0" w:line="20" w:lineRule="exact"/>
              <w:rPr>
                <w:sz w:val="1"/>
                <w:szCs w:val="1"/>
                <w:color w:val="auto"/>
              </w:rPr>
            </w:pPr>
          </w:p>
        </w:tc>
        <w:tc>
          <w:tcPr>
            <w:tcW w:w="1020" w:type="dxa"/>
            <w:vAlign w:val="bottom"/>
            <w:shd w:val="clear" w:color="auto" w:fill="000000"/>
          </w:tcPr>
          <w:p>
            <w:pPr>
              <w:spacing w:after="0" w:line="20" w:lineRule="exact"/>
              <w:rPr>
                <w:sz w:val="1"/>
                <w:szCs w:val="1"/>
                <w:color w:val="auto"/>
              </w:rPr>
            </w:pPr>
          </w:p>
        </w:tc>
        <w:tc>
          <w:tcPr>
            <w:tcW w:w="240" w:type="dxa"/>
            <w:vAlign w:val="bottom"/>
            <w:tcBorders>
              <w:right w:val="single" w:sz="8" w:color="CCEEFF"/>
            </w:tcBorders>
            <w:shd w:val="clear" w:color="auto" w:fill="CCEEFF"/>
          </w:tcPr>
          <w:p>
            <w:pPr>
              <w:spacing w:after="0" w:line="20" w:lineRule="exact"/>
              <w:rPr>
                <w:sz w:val="1"/>
                <w:szCs w:val="1"/>
                <w:color w:val="auto"/>
              </w:rPr>
            </w:pPr>
          </w:p>
        </w:tc>
        <w:tc>
          <w:tcPr>
            <w:tcW w:w="360" w:type="dxa"/>
            <w:vAlign w:val="bottom"/>
            <w:shd w:val="clear" w:color="auto" w:fill="000000"/>
          </w:tcPr>
          <w:p>
            <w:pPr>
              <w:spacing w:after="0" w:line="20" w:lineRule="exact"/>
              <w:rPr>
                <w:sz w:val="1"/>
                <w:szCs w:val="1"/>
                <w:color w:val="auto"/>
              </w:rPr>
            </w:pPr>
          </w:p>
        </w:tc>
        <w:tc>
          <w:tcPr>
            <w:tcW w:w="86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5"/>
        </w:trPr>
        <w:tc>
          <w:tcPr>
            <w:tcW w:w="7320" w:type="dxa"/>
            <w:vAlign w:val="bottom"/>
            <w:vMerge w:val="continue"/>
            <w:shd w:val="clear" w:color="auto" w:fill="CCEEFF"/>
          </w:tcPr>
          <w:p>
            <w:pPr>
              <w:spacing w:after="0"/>
              <w:rPr>
                <w:sz w:val="13"/>
                <w:szCs w:val="13"/>
                <w:color w:val="auto"/>
              </w:rPr>
            </w:pPr>
          </w:p>
        </w:tc>
        <w:tc>
          <w:tcPr>
            <w:tcW w:w="1380" w:type="dxa"/>
            <w:vAlign w:val="bottom"/>
            <w:gridSpan w:val="2"/>
            <w:shd w:val="clear" w:color="auto" w:fill="CCEEFF"/>
          </w:tcPr>
          <w:p>
            <w:pPr>
              <w:jc w:val="right"/>
              <w:ind w:right="111"/>
              <w:spacing w:after="0"/>
              <w:rPr>
                <w:sz w:val="20"/>
                <w:szCs w:val="20"/>
                <w:color w:val="auto"/>
              </w:rPr>
            </w:pPr>
            <w:r>
              <w:rPr>
                <w:rFonts w:ascii="Arial" w:cs="Arial" w:eastAsia="Arial" w:hAnsi="Arial"/>
                <w:sz w:val="13"/>
                <w:szCs w:val="13"/>
                <w:color w:val="auto"/>
              </w:rPr>
              <w:t>$</w:t>
            </w:r>
          </w:p>
        </w:tc>
        <w:tc>
          <w:tcPr>
            <w:tcW w:w="1260" w:type="dxa"/>
            <w:vAlign w:val="bottom"/>
            <w:tcBorders>
              <w:right w:val="single" w:sz="8" w:color="CCEEFF"/>
            </w:tcBorders>
            <w:gridSpan w:val="2"/>
            <w:shd w:val="clear" w:color="auto" w:fill="CCEEFF"/>
          </w:tcPr>
          <w:p>
            <w:pPr>
              <w:jc w:val="right"/>
              <w:ind w:right="240"/>
              <w:spacing w:after="0"/>
              <w:rPr>
                <w:sz w:val="20"/>
                <w:szCs w:val="20"/>
                <w:color w:val="auto"/>
              </w:rPr>
            </w:pPr>
            <w:r>
              <w:rPr>
                <w:rFonts w:ascii="Arial" w:cs="Arial" w:eastAsia="Arial" w:hAnsi="Arial"/>
                <w:sz w:val="13"/>
                <w:szCs w:val="13"/>
                <w:color w:val="auto"/>
              </w:rPr>
              <w:t>458,488</w:t>
            </w:r>
          </w:p>
        </w:tc>
        <w:tc>
          <w:tcPr>
            <w:tcW w:w="360" w:type="dxa"/>
            <w:vAlign w:val="bottom"/>
            <w:shd w:val="clear" w:color="auto" w:fill="CCEEFF"/>
          </w:tcPr>
          <w:p>
            <w:pPr>
              <w:jc w:val="right"/>
              <w:ind w:right="251"/>
              <w:spacing w:after="0"/>
              <w:rPr>
                <w:sz w:val="20"/>
                <w:szCs w:val="20"/>
                <w:color w:val="auto"/>
              </w:rPr>
            </w:pPr>
            <w:r>
              <w:rPr>
                <w:rFonts w:ascii="Arial" w:cs="Arial" w:eastAsia="Arial" w:hAnsi="Arial"/>
                <w:sz w:val="10"/>
                <w:szCs w:val="10"/>
                <w:color w:val="auto"/>
                <w:w w:val="71"/>
              </w:rPr>
              <w:t>$</w:t>
            </w:r>
          </w:p>
        </w:tc>
        <w:tc>
          <w:tcPr>
            <w:tcW w:w="8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187,627</w:t>
            </w:r>
          </w:p>
        </w:tc>
        <w:tc>
          <w:tcPr>
            <w:tcW w:w="100" w:type="dxa"/>
            <w:vAlign w:val="bottom"/>
            <w:shd w:val="clear" w:color="auto" w:fill="CCEEFF"/>
          </w:tcPr>
          <w:p>
            <w:pPr>
              <w:spacing w:after="0"/>
              <w:rPr>
                <w:sz w:val="13"/>
                <w:szCs w:val="13"/>
                <w:color w:val="auto"/>
              </w:rPr>
            </w:pPr>
          </w:p>
        </w:tc>
        <w:tc>
          <w:tcPr>
            <w:tcW w:w="0" w:type="dxa"/>
            <w:vAlign w:val="bottom"/>
          </w:tcPr>
          <w:p>
            <w:pPr>
              <w:spacing w:after="0"/>
              <w:rPr>
                <w:sz w:val="1"/>
                <w:szCs w:val="1"/>
                <w:color w:val="auto"/>
              </w:rPr>
            </w:pPr>
          </w:p>
        </w:tc>
      </w:tr>
      <w:tr>
        <w:trPr>
          <w:trHeight w:val="30"/>
        </w:trPr>
        <w:tc>
          <w:tcPr>
            <w:tcW w:w="7320" w:type="dxa"/>
            <w:vAlign w:val="bottom"/>
            <w:shd w:val="clear" w:color="auto" w:fill="CCEEFF"/>
          </w:tcPr>
          <w:p>
            <w:pPr>
              <w:spacing w:after="0"/>
              <w:rPr>
                <w:sz w:val="2"/>
                <w:szCs w:val="2"/>
                <w:color w:val="auto"/>
              </w:rPr>
            </w:pPr>
          </w:p>
        </w:tc>
        <w:tc>
          <w:tcPr>
            <w:tcW w:w="1160" w:type="dxa"/>
            <w:vAlign w:val="bottom"/>
            <w:shd w:val="clear" w:color="auto" w:fill="CCEEFF"/>
          </w:tcPr>
          <w:p>
            <w:pPr>
              <w:spacing w:after="0"/>
              <w:rPr>
                <w:sz w:val="2"/>
                <w:szCs w:val="2"/>
                <w:color w:val="auto"/>
              </w:rPr>
            </w:pPr>
          </w:p>
        </w:tc>
        <w:tc>
          <w:tcPr>
            <w:tcW w:w="220" w:type="dxa"/>
            <w:vAlign w:val="bottom"/>
            <w:shd w:val="clear" w:color="auto" w:fill="000000"/>
          </w:tcPr>
          <w:p>
            <w:pPr>
              <w:spacing w:after="0"/>
              <w:rPr>
                <w:sz w:val="2"/>
                <w:szCs w:val="2"/>
                <w:color w:val="auto"/>
              </w:rPr>
            </w:pPr>
          </w:p>
        </w:tc>
        <w:tc>
          <w:tcPr>
            <w:tcW w:w="1020" w:type="dxa"/>
            <w:vAlign w:val="bottom"/>
            <w:shd w:val="clear" w:color="auto" w:fill="000000"/>
          </w:tcPr>
          <w:p>
            <w:pPr>
              <w:spacing w:after="0"/>
              <w:rPr>
                <w:sz w:val="2"/>
                <w:szCs w:val="2"/>
                <w:color w:val="auto"/>
              </w:rPr>
            </w:pPr>
          </w:p>
        </w:tc>
        <w:tc>
          <w:tcPr>
            <w:tcW w:w="240" w:type="dxa"/>
            <w:vAlign w:val="bottom"/>
            <w:tcBorders>
              <w:right w:val="single" w:sz="8" w:color="CCEEFF"/>
            </w:tcBorders>
            <w:shd w:val="clear" w:color="auto" w:fill="CCEEFF"/>
          </w:tcPr>
          <w:p>
            <w:pPr>
              <w:spacing w:after="0"/>
              <w:rPr>
                <w:sz w:val="2"/>
                <w:szCs w:val="2"/>
                <w:color w:val="auto"/>
              </w:rPr>
            </w:pPr>
          </w:p>
        </w:tc>
        <w:tc>
          <w:tcPr>
            <w:tcW w:w="360" w:type="dxa"/>
            <w:vAlign w:val="bottom"/>
            <w:shd w:val="clear" w:color="auto" w:fill="000000"/>
          </w:tcPr>
          <w:p>
            <w:pPr>
              <w:spacing w:after="0"/>
              <w:rPr>
                <w:sz w:val="2"/>
                <w:szCs w:val="2"/>
                <w:color w:val="auto"/>
              </w:rPr>
            </w:pPr>
          </w:p>
        </w:tc>
        <w:tc>
          <w:tcPr>
            <w:tcW w:w="86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bl>
    <w:p>
      <w:pPr>
        <w:spacing w:after="0" w:line="14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6: Capital Stock and Warrants</w:t>
      </w:r>
    </w:p>
    <w:p>
      <w:pPr>
        <w:spacing w:after="0" w:line="167" w:lineRule="exact"/>
        <w:rPr>
          <w:sz w:val="20"/>
          <w:szCs w:val="20"/>
          <w:color w:val="auto"/>
        </w:rPr>
      </w:pPr>
    </w:p>
    <w:p>
      <w:pPr>
        <w:jc w:val="both"/>
        <w:spacing w:after="0" w:line="283" w:lineRule="auto"/>
        <w:rPr>
          <w:sz w:val="20"/>
          <w:szCs w:val="20"/>
          <w:color w:val="auto"/>
        </w:rPr>
      </w:pPr>
      <w:r>
        <w:rPr>
          <w:rFonts w:ascii="Arial" w:cs="Arial" w:eastAsia="Arial" w:hAnsi="Arial"/>
          <w:sz w:val="12"/>
          <w:szCs w:val="12"/>
          <w:color w:val="auto"/>
        </w:rPr>
        <w:t>In May 2019, the Company amended and restated its Certificate of Incorporation. As of June 30, 2019, the Company was authorized to issue three classes of $0.001 par value stock consisting of Class A common stock, Class B common stock and Preferred Stock totaling 187,405,324 authorized shares. The total number of shares the Company has the authority to issue under each class consists of common stock designated as 114,000,000 shares of Class A Common Stock and 30,000,000 shares of Class B Common Stock, 43,405,324 shares of $0.001 par value Preferred Stock, with Preferred Stock designated as 8,936,015 shares of Series A Preferred Stock, 4,707,501 shares of Series B Preferred Stock, 6,666,666 shares of Series m Preferred Stock, 333,334 shares of Series m-1 Preferred Stock, 1,660,756 shares of Series m-2 Preferred Stock, 3,490,658 shares of Series m-3 Preferred Stock, 13,108,333 shares of Series S Preferred Stock and 4,502,061 shares of Series m-4 Preferred Stock.</w:t>
      </w:r>
    </w:p>
    <w:p>
      <w:pPr>
        <w:spacing w:after="0" w:line="125" w:lineRule="exact"/>
        <w:rPr>
          <w:sz w:val="20"/>
          <w:szCs w:val="20"/>
          <w:color w:val="auto"/>
        </w:rPr>
      </w:pPr>
    </w:p>
    <w:p>
      <w:pPr>
        <w:spacing w:after="0"/>
        <w:rPr>
          <w:sz w:val="20"/>
          <w:szCs w:val="20"/>
          <w:color w:val="auto"/>
        </w:rPr>
      </w:pPr>
      <w:r>
        <w:rPr>
          <w:rFonts w:ascii="Arial" w:cs="Arial" w:eastAsia="Arial" w:hAnsi="Arial"/>
          <w:sz w:val="13"/>
          <w:szCs w:val="13"/>
          <w:u w:val="single" w:color="auto"/>
          <w:color w:val="auto"/>
        </w:rPr>
        <w:t>Preferred Stock</w:t>
      </w:r>
    </w:p>
    <w:p>
      <w:pPr>
        <w:spacing w:after="0" w:line="163"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 xml:space="preserve">Other than a change of control or in a liquidation, dissolution or winding up of the Company whether voluntary or involuntary or upon the occurrence of a deemed liquidation event, the preferred stock is non-redeemable. As a result of the liquidation preference, the preferred stock was not classified as part of stockholders’ deficit in the accompanying balance sheets in accordance with ASC 480-10-S99, </w:t>
      </w:r>
      <w:r>
        <w:rPr>
          <w:rFonts w:ascii="Arial" w:cs="Arial" w:eastAsia="Arial" w:hAnsi="Arial"/>
          <w:sz w:val="12"/>
          <w:szCs w:val="12"/>
          <w:i w:val="1"/>
          <w:iCs w:val="1"/>
          <w:color w:val="auto"/>
        </w:rPr>
        <w:t>SEC Materials</w:t>
      </w:r>
      <w:r>
        <w:rPr>
          <w:rFonts w:ascii="Arial" w:cs="Arial" w:eastAsia="Arial" w:hAnsi="Arial"/>
          <w:sz w:val="12"/>
          <w:szCs w:val="12"/>
          <w:color w:val="auto"/>
        </w:rPr>
        <w:t>. The Company has excluded all series of preferred stock from being presented within stockholders’ deficit in the accompanying balance sheets due to the nature of the liquidation preferences.</w:t>
      </w:r>
    </w:p>
    <w:p>
      <w:pPr>
        <w:spacing w:after="0" w:line="119" w:lineRule="exact"/>
        <w:rPr>
          <w:sz w:val="20"/>
          <w:szCs w:val="20"/>
          <w:color w:val="auto"/>
        </w:rPr>
      </w:pPr>
    </w:p>
    <w:p>
      <w:pPr>
        <w:jc w:val="both"/>
        <w:spacing w:after="0" w:line="281" w:lineRule="auto"/>
        <w:rPr>
          <w:sz w:val="20"/>
          <w:szCs w:val="20"/>
          <w:color w:val="auto"/>
        </w:rPr>
      </w:pPr>
      <w:r>
        <w:rPr>
          <w:rFonts w:ascii="Arial" w:cs="Arial" w:eastAsia="Arial" w:hAnsi="Arial"/>
          <w:sz w:val="12"/>
          <w:szCs w:val="12"/>
          <w:color w:val="auto"/>
        </w:rPr>
        <w:t>Effective December 23, 2016, the Company was qualified by the SEC to offer up to 6,666,666 shares of Series m Preferred Stock to accredited and non-accredited investors in an offering pursuant to Regulation A of the Securities Act of 1933, as amended (the “Securities Act”). The offering commenced in January 2017 for up to $20 million of the Company’s Series m Preferred Stock pursuant to Regulation A at a price of $3.00 per share and closed at the end of 2017. The Company received net proceeds of approximately $18.2 million from the sale of its Series m Preferred Stock through the Regulation A offering as well as from private placement transactions through December 31, 2017. The Company entered into Series m-3 Preferred Stock Purchase Agreements with certain purchasers pursuant to which the Company issued and sold directly to the purchasers an aggregate of 1,038,571 and 410,972 shares of the Company’s Series m-3 Preferred Stock in December 2017 and year ended 2018, at a price of $3.50 per share. The Company received net proceeds of approximately $3.6 million and $1.4 million in December 2017 and the year ended 2018, respectively.</w:t>
      </w:r>
    </w:p>
    <w:p>
      <w:pPr>
        <w:spacing w:after="0" w:line="282"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F-42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5">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104" w:name="page105"/>
    <w:bookmarkEnd w:id="104"/>
    <w:p>
      <w:pPr>
        <w:spacing w:after="0"/>
        <w:rPr>
          <w:sz w:val="20"/>
          <w:szCs w:val="20"/>
          <w:color w:val="auto"/>
        </w:rPr>
      </w:pPr>
      <w:r>
        <w:rPr>
          <w:rFonts w:ascii="Arial" w:cs="Arial" w:eastAsia="Arial" w:hAnsi="Arial"/>
          <w:sz w:val="13"/>
          <w:szCs w:val="13"/>
          <w:b w:val="1"/>
          <w:bCs w:val="1"/>
          <w:color w:val="auto"/>
        </w:rPr>
        <w:t>NOTE 6: Capital Stock and Warrants (Continued)</w:t>
      </w:r>
    </w:p>
    <w:p>
      <w:pPr>
        <w:spacing w:after="0" w:line="167"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In January and February 2018, the Company converted 1,327,423 shares of Series m Preferred Stock into shares of Series m-2 Preferred Stock at a 1:1 conversion ratio. In January 2018, the Company issued 333,333 shares of Series m-2 Preferred Stock, par value $0.001 per share, at a price of $3.00 per share.</w:t>
      </w:r>
    </w:p>
    <w:p>
      <w:pPr>
        <w:spacing w:after="0" w:line="128" w:lineRule="exact"/>
        <w:rPr>
          <w:sz w:val="20"/>
          <w:szCs w:val="20"/>
          <w:color w:val="auto"/>
        </w:rPr>
      </w:pPr>
    </w:p>
    <w:p>
      <w:pPr>
        <w:jc w:val="both"/>
        <w:spacing w:after="0" w:line="283" w:lineRule="auto"/>
        <w:rPr>
          <w:sz w:val="20"/>
          <w:szCs w:val="20"/>
          <w:color w:val="auto"/>
        </w:rPr>
      </w:pPr>
      <w:r>
        <w:rPr>
          <w:rFonts w:ascii="Arial" w:cs="Arial" w:eastAsia="Arial" w:hAnsi="Arial"/>
          <w:sz w:val="12"/>
          <w:szCs w:val="12"/>
          <w:color w:val="auto"/>
        </w:rPr>
        <w:t>On July 11, 2018, the Company commenced an offering of up to $50 million of its Series S Preferred Stock pursuant to Regulation D and Regulation S to raise additional capital for operations (the “Regulation D Offering”). The Company is offering to sell up to 6,250,000 shares of Series S Preferred Stock, which are convertible into shares of Class A Common Stock, at a price of $8.00 per share. Consistent with prior financings by the Company, the Regulation D Offering was conducted with rolling closes, and such closes could continue for another 6 to 15 months. As of December 31, 2019, the Company raised approximately $3.8 million through the Regulation D Offering, of which $1.0 million was received during year ended December 31, 2019. Issuance costs related to Regulation D Offering were $0.3 million as of December 31, 2019. The Company did not raise additional funds under the Regulation D Offering in 2020 or during the six months ended June 30, 2021.</w:t>
      </w:r>
    </w:p>
    <w:p>
      <w:pPr>
        <w:spacing w:after="0" w:line="125" w:lineRule="exact"/>
        <w:rPr>
          <w:sz w:val="20"/>
          <w:szCs w:val="20"/>
          <w:color w:val="auto"/>
        </w:rPr>
      </w:pPr>
    </w:p>
    <w:p>
      <w:pPr>
        <w:jc w:val="both"/>
        <w:spacing w:after="0" w:line="283" w:lineRule="auto"/>
        <w:rPr>
          <w:sz w:val="20"/>
          <w:szCs w:val="20"/>
          <w:color w:val="auto"/>
        </w:rPr>
      </w:pPr>
      <w:r>
        <w:rPr>
          <w:rFonts w:ascii="Arial" w:cs="Arial" w:eastAsia="Arial" w:hAnsi="Arial"/>
          <w:sz w:val="12"/>
          <w:szCs w:val="12"/>
          <w:color w:val="auto"/>
        </w:rPr>
        <w:t>On May 21, 2019, the Company filed an offering statement in connection with a proposed offering of up to $50 million of its Series S Preferred Stock pursuant to Regulation A of the Securities Act, to raise additional capital for operations (the “2019 Regulation A Offering”). The offering statement was qualified by the SEC on July 22, 2019, and the Company commenced the 2019 Regulation A Offering shortly thereafter. Consistent with prior financings by the Company, the 2019 Regulation A Offering was conducted as a continuous offering pursuant to Rule 251(d)(3) of Regulation A, meaning that while the offering of securities is continuous, active sales of securities may happen sporadically over the term of the offering. For clarity, the 2019 Regulation A Offering was conducted simultaneously with the Regulation D Offering for aggregate proceeds of $50 million. As of June 30, 2021, the total amount raised pursuant to the 2019 Regulation A Offering was $23.5 million.</w:t>
      </w:r>
    </w:p>
    <w:p>
      <w:pPr>
        <w:spacing w:after="0" w:line="125" w:lineRule="exact"/>
        <w:rPr>
          <w:sz w:val="20"/>
          <w:szCs w:val="20"/>
          <w:color w:val="auto"/>
        </w:rPr>
      </w:pPr>
    </w:p>
    <w:p>
      <w:pPr>
        <w:jc w:val="both"/>
        <w:spacing w:after="0" w:line="281" w:lineRule="auto"/>
        <w:rPr>
          <w:sz w:val="20"/>
          <w:szCs w:val="20"/>
          <w:color w:val="auto"/>
        </w:rPr>
      </w:pPr>
      <w:r>
        <w:rPr>
          <w:rFonts w:ascii="Arial" w:cs="Arial" w:eastAsia="Arial" w:hAnsi="Arial"/>
          <w:sz w:val="12"/>
          <w:szCs w:val="12"/>
          <w:color w:val="auto"/>
        </w:rPr>
        <w:t>On June 15, 2020, the Company filed an offering statement in connection with a proposed offering of up to $25 million of its Series S Preferred Stock pursuant to Regulation A of the Securities Act, to raise additional capital for operations (the “2020 Regulation A Offering”). The offering statement was qualified by the SEC on October 21, 2020, and the Company commenced the 2020 Regulation A Offering shortly thereafter. Consistent with prior financings by the Company, the 2020 Regulation A Offering was conducted as a continuous offering pursuant to Rule 251(d)(3) of Regulation A, meaning that while the offering of securities is continuous, active sales of securities may happen sporadically over the term of the offering. For clarity, the 2020 Regulation A Offering was conducted simultaneously with the Regulation D Offering for aggregate proceeds of $50 million. As of June 30, 2021, the Company had raised approximately $20.9 million from the 2020 Regulation A Offering. The 2020 Regulation A Offering terminated on April 21, 2021. In aggregate, as of June 30, 2021, the Company has raised $44.6 million from this Regulation A offering, offset by $4.3 million issuance costs.</w:t>
      </w:r>
    </w:p>
    <w:p>
      <w:pPr>
        <w:spacing w:after="0" w:line="126" w:lineRule="exact"/>
        <w:rPr>
          <w:sz w:val="20"/>
          <w:szCs w:val="20"/>
          <w:color w:val="auto"/>
        </w:rPr>
      </w:pPr>
    </w:p>
    <w:p>
      <w:pPr>
        <w:jc w:val="both"/>
        <w:spacing w:after="0" w:line="287" w:lineRule="auto"/>
        <w:rPr>
          <w:sz w:val="20"/>
          <w:szCs w:val="20"/>
          <w:color w:val="auto"/>
        </w:rPr>
      </w:pPr>
      <w:r>
        <w:rPr>
          <w:rFonts w:ascii="Arial" w:cs="Arial" w:eastAsia="Arial" w:hAnsi="Arial"/>
          <w:sz w:val="12"/>
          <w:szCs w:val="12"/>
          <w:color w:val="auto"/>
        </w:rPr>
        <w:t>In June 2019, the Company issued to investors in the Convertible Note Financing, 1,432,786 shares of its Series m-4 Preferred Stock in exchange for 1,432,786 shares of its shares of Series m-3 Preferred Stock. The Series m-4 Preferred Stock has a senior liquidation preference to all other Preferred Stock and Common Stock of the Company, has an accruing payment in kind dividend of 12%, in the form of Series m-4 Preferred Stock, and has certain other preferential rights, including voting rights. Due to higher seniority and different terms of Series m-4 Preferred Stock compared to Series m-3 Preferred Stock, this exchange resulted in an increase in fair value of Series m-4 Preferred Stock exchanged from Series m-3 Preferred Stock of $900,002 that was recorded as interest expense on the exchange date.</w:t>
      </w:r>
    </w:p>
    <w:p>
      <w:pPr>
        <w:spacing w:after="0" w:line="122" w:lineRule="exact"/>
        <w:rPr>
          <w:sz w:val="20"/>
          <w:szCs w:val="20"/>
          <w:color w:val="auto"/>
        </w:rPr>
      </w:pPr>
    </w:p>
    <w:p>
      <w:pPr>
        <w:spacing w:after="0"/>
        <w:rPr>
          <w:sz w:val="20"/>
          <w:szCs w:val="20"/>
          <w:color w:val="auto"/>
        </w:rPr>
      </w:pPr>
      <w:r>
        <w:rPr>
          <w:rFonts w:ascii="Arial" w:cs="Arial" w:eastAsia="Arial" w:hAnsi="Arial"/>
          <w:sz w:val="13"/>
          <w:szCs w:val="13"/>
          <w:color w:val="auto"/>
        </w:rPr>
        <w:t>All classes of preferred stock have a par value of $0.001 per share.</w:t>
      </w:r>
    </w:p>
    <w:p>
      <w:pPr>
        <w:spacing w:after="0" w:line="320"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F-43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6">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105" w:name="page106"/>
    <w:bookmarkEnd w:id="105"/>
    <w:tbl>
      <w:tblPr>
        <w:tblLayout w:type="fixed"/>
        <w:tblInd w:w="2" w:type="dxa"/>
        <w:tblCellMar>
          <w:top w:w="0" w:type="dxa"/>
          <w:left w:w="0" w:type="dxa"/>
          <w:bottom w:w="0" w:type="dxa"/>
          <w:right w:w="0" w:type="dxa"/>
        </w:tblCellMar>
      </w:tblPr>
      <w:tr>
        <w:trPr>
          <w:trHeight w:val="168"/>
        </w:trPr>
        <w:tc>
          <w:tcPr>
            <w:tcW w:w="5540" w:type="dxa"/>
            <w:vAlign w:val="bottom"/>
            <w:gridSpan w:val="2"/>
          </w:tcPr>
          <w:p>
            <w:pPr>
              <w:spacing w:after="0"/>
              <w:rPr>
                <w:sz w:val="20"/>
                <w:szCs w:val="20"/>
                <w:color w:val="auto"/>
              </w:rPr>
            </w:pPr>
            <w:r>
              <w:rPr>
                <w:rFonts w:ascii="Arial" w:cs="Arial" w:eastAsia="Arial" w:hAnsi="Arial"/>
                <w:sz w:val="13"/>
                <w:szCs w:val="13"/>
                <w:b w:val="1"/>
                <w:bCs w:val="1"/>
                <w:color w:val="auto"/>
              </w:rPr>
              <w:t>NOTE 6: Capital Stock and Warrants (Continued)</w:t>
            </w:r>
          </w:p>
        </w:tc>
        <w:tc>
          <w:tcPr>
            <w:tcW w:w="12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260" w:type="dxa"/>
            <w:vAlign w:val="bottom"/>
          </w:tcPr>
          <w:p>
            <w:pPr>
              <w:spacing w:after="0"/>
              <w:rPr>
                <w:sz w:val="14"/>
                <w:szCs w:val="14"/>
                <w:color w:val="auto"/>
              </w:rPr>
            </w:pPr>
          </w:p>
        </w:tc>
        <w:tc>
          <w:tcPr>
            <w:tcW w:w="2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0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06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13"/>
        </w:trPr>
        <w:tc>
          <w:tcPr>
            <w:tcW w:w="7020" w:type="dxa"/>
            <w:vAlign w:val="bottom"/>
            <w:gridSpan w:val="4"/>
          </w:tcPr>
          <w:p>
            <w:pPr>
              <w:spacing w:after="0"/>
              <w:rPr>
                <w:sz w:val="20"/>
                <w:szCs w:val="20"/>
                <w:color w:val="auto"/>
              </w:rPr>
            </w:pPr>
            <w:r>
              <w:rPr>
                <w:rFonts w:ascii="Arial" w:cs="Arial" w:eastAsia="Arial" w:hAnsi="Arial"/>
                <w:sz w:val="13"/>
                <w:szCs w:val="13"/>
                <w:color w:val="auto"/>
              </w:rPr>
              <w:t>The following tables summarize convertible preferred stock authorized and issued and outstanding as of June 30, 2021:</w:t>
            </w: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301"/>
        </w:trPr>
        <w:tc>
          <w:tcPr>
            <w:tcW w:w="54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8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87"/>
              </w:rPr>
              <w:t>Shares</w:t>
            </w:r>
          </w:p>
        </w:tc>
        <w:tc>
          <w:tcPr>
            <w:tcW w:w="160" w:type="dxa"/>
            <w:vAlign w:val="bottom"/>
          </w:tcPr>
          <w:p>
            <w:pPr>
              <w:spacing w:after="0"/>
              <w:rPr>
                <w:sz w:val="24"/>
                <w:szCs w:val="24"/>
                <w:color w:val="auto"/>
              </w:rPr>
            </w:pPr>
          </w:p>
        </w:tc>
        <w:tc>
          <w:tcPr>
            <w:tcW w:w="118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86"/>
              </w:rPr>
              <w:t>Proceeds Net</w:t>
            </w:r>
          </w:p>
        </w:tc>
        <w:tc>
          <w:tcPr>
            <w:tcW w:w="1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16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90"/>
              </w:rPr>
              <w:t>Aggregate</w:t>
            </w:r>
          </w:p>
        </w:tc>
      </w:tr>
      <w:tr>
        <w:trPr>
          <w:trHeight w:val="166"/>
        </w:trPr>
        <w:tc>
          <w:tcPr>
            <w:tcW w:w="54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48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87"/>
              </w:rPr>
              <w:t>Shares</w:t>
            </w:r>
          </w:p>
        </w:tc>
        <w:tc>
          <w:tcPr>
            <w:tcW w:w="1480" w:type="dxa"/>
            <w:vAlign w:val="bottom"/>
            <w:gridSpan w:val="2"/>
          </w:tcPr>
          <w:p>
            <w:pPr>
              <w:jc w:val="center"/>
              <w:ind w:right="200"/>
              <w:spacing w:after="0"/>
              <w:rPr>
                <w:sz w:val="20"/>
                <w:szCs w:val="20"/>
                <w:color w:val="auto"/>
              </w:rPr>
            </w:pPr>
            <w:r>
              <w:rPr>
                <w:rFonts w:ascii="Arial" w:cs="Arial" w:eastAsia="Arial" w:hAnsi="Arial"/>
                <w:sz w:val="13"/>
                <w:szCs w:val="13"/>
                <w:b w:val="1"/>
                <w:bCs w:val="1"/>
                <w:color w:val="auto"/>
                <w:w w:val="88"/>
              </w:rPr>
              <w:t>Issued and</w:t>
            </w:r>
          </w:p>
        </w:tc>
        <w:tc>
          <w:tcPr>
            <w:tcW w:w="160" w:type="dxa"/>
            <w:vAlign w:val="bottom"/>
          </w:tcPr>
          <w:p>
            <w:pPr>
              <w:spacing w:after="0"/>
              <w:rPr>
                <w:sz w:val="14"/>
                <w:szCs w:val="14"/>
                <w:color w:val="auto"/>
              </w:rPr>
            </w:pPr>
          </w:p>
        </w:tc>
        <w:tc>
          <w:tcPr>
            <w:tcW w:w="118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83"/>
              </w:rPr>
              <w:t>of Issuance</w:t>
            </w:r>
          </w:p>
        </w:tc>
        <w:tc>
          <w:tcPr>
            <w:tcW w:w="1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16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94"/>
              </w:rPr>
              <w:t>Liquidation</w:t>
            </w:r>
          </w:p>
        </w:tc>
      </w:tr>
      <w:tr>
        <w:trPr>
          <w:trHeight w:val="169"/>
        </w:trPr>
        <w:tc>
          <w:tcPr>
            <w:tcW w:w="5540" w:type="dxa"/>
            <w:vAlign w:val="bottom"/>
            <w:gridSpan w:val="2"/>
          </w:tcPr>
          <w:p>
            <w:pPr>
              <w:spacing w:after="0"/>
              <w:rPr>
                <w:sz w:val="20"/>
                <w:szCs w:val="20"/>
                <w:color w:val="auto"/>
              </w:rPr>
            </w:pPr>
            <w:r>
              <w:rPr>
                <w:rFonts w:ascii="Arial" w:cs="Arial" w:eastAsia="Arial" w:hAnsi="Arial"/>
                <w:sz w:val="13"/>
                <w:szCs w:val="13"/>
                <w:b w:val="1"/>
                <w:bCs w:val="1"/>
                <w:color w:val="auto"/>
              </w:rPr>
              <w:t>June 30, 2021</w:t>
            </w:r>
          </w:p>
        </w:tc>
        <w:tc>
          <w:tcPr>
            <w:tcW w:w="148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91"/>
              </w:rPr>
              <w:t>Authorized</w:t>
            </w:r>
          </w:p>
        </w:tc>
        <w:tc>
          <w:tcPr>
            <w:tcW w:w="148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91"/>
              </w:rPr>
              <w:t>Outstanding</w:t>
            </w:r>
          </w:p>
        </w:tc>
        <w:tc>
          <w:tcPr>
            <w:tcW w:w="160" w:type="dxa"/>
            <w:vAlign w:val="bottom"/>
          </w:tcPr>
          <w:p>
            <w:pPr>
              <w:spacing w:after="0"/>
              <w:rPr>
                <w:sz w:val="14"/>
                <w:szCs w:val="14"/>
                <w:color w:val="auto"/>
              </w:rPr>
            </w:pPr>
          </w:p>
        </w:tc>
        <w:tc>
          <w:tcPr>
            <w:tcW w:w="1180" w:type="dxa"/>
            <w:vAlign w:val="bottom"/>
            <w:gridSpan w:val="2"/>
          </w:tcPr>
          <w:p>
            <w:pPr>
              <w:jc w:val="center"/>
              <w:ind w:right="260"/>
              <w:spacing w:after="0"/>
              <w:rPr>
                <w:sz w:val="20"/>
                <w:szCs w:val="20"/>
                <w:color w:val="auto"/>
              </w:rPr>
            </w:pPr>
            <w:r>
              <w:rPr>
                <w:rFonts w:ascii="Arial" w:cs="Arial" w:eastAsia="Arial" w:hAnsi="Arial"/>
                <w:sz w:val="13"/>
                <w:szCs w:val="13"/>
                <w:b w:val="1"/>
                <w:bCs w:val="1"/>
                <w:color w:val="auto"/>
                <w:w w:val="88"/>
              </w:rPr>
              <w:t>Costs</w:t>
            </w:r>
          </w:p>
        </w:tc>
        <w:tc>
          <w:tcPr>
            <w:tcW w:w="1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160" w:type="dxa"/>
            <w:vAlign w:val="bottom"/>
            <w:gridSpan w:val="2"/>
          </w:tcPr>
          <w:p>
            <w:pPr>
              <w:jc w:val="center"/>
              <w:ind w:right="280"/>
              <w:spacing w:after="0"/>
              <w:rPr>
                <w:sz w:val="20"/>
                <w:szCs w:val="20"/>
                <w:color w:val="auto"/>
              </w:rPr>
            </w:pPr>
            <w:r>
              <w:rPr>
                <w:rFonts w:ascii="Arial" w:cs="Arial" w:eastAsia="Arial" w:hAnsi="Arial"/>
                <w:sz w:val="13"/>
                <w:szCs w:val="13"/>
                <w:b w:val="1"/>
                <w:bCs w:val="1"/>
                <w:color w:val="auto"/>
                <w:w w:val="89"/>
              </w:rPr>
              <w:t>Preference</w:t>
            </w:r>
          </w:p>
        </w:tc>
      </w:tr>
      <w:tr>
        <w:trPr>
          <w:trHeight w:val="147"/>
        </w:trPr>
        <w:tc>
          <w:tcPr>
            <w:tcW w:w="5420" w:type="dxa"/>
            <w:vAlign w:val="bottom"/>
            <w:tcBorders>
              <w:top w:val="single" w:sz="8" w:color="auto"/>
            </w:tcBorders>
            <w:shd w:val="clear" w:color="auto" w:fill="CCEEFF"/>
          </w:tcPr>
          <w:p>
            <w:pPr>
              <w:spacing w:after="0" w:line="147" w:lineRule="exact"/>
              <w:rPr>
                <w:sz w:val="20"/>
                <w:szCs w:val="20"/>
                <w:color w:val="auto"/>
              </w:rPr>
            </w:pPr>
            <w:r>
              <w:rPr>
                <w:rFonts w:ascii="Arial" w:cs="Arial" w:eastAsia="Arial" w:hAnsi="Arial"/>
                <w:sz w:val="13"/>
                <w:szCs w:val="13"/>
                <w:color w:val="auto"/>
              </w:rPr>
              <w:t>Series A Preferred Stock</w:t>
            </w:r>
          </w:p>
        </w:tc>
        <w:tc>
          <w:tcPr>
            <w:tcW w:w="120" w:type="dxa"/>
            <w:vAlign w:val="bottom"/>
            <w:tcBorders>
              <w:top w:val="single" w:sz="8" w:color="CCEEFF"/>
            </w:tcBorders>
            <w:shd w:val="clear" w:color="auto" w:fill="CCEEFF"/>
          </w:tcPr>
          <w:p>
            <w:pPr>
              <w:spacing w:after="0"/>
              <w:rPr>
                <w:sz w:val="12"/>
                <w:szCs w:val="12"/>
                <w:color w:val="auto"/>
              </w:rPr>
            </w:pPr>
          </w:p>
        </w:tc>
        <w:tc>
          <w:tcPr>
            <w:tcW w:w="12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8,936,015</w:t>
            </w:r>
          </w:p>
        </w:tc>
        <w:tc>
          <w:tcPr>
            <w:tcW w:w="220" w:type="dxa"/>
            <w:vAlign w:val="bottom"/>
            <w:tcBorders>
              <w:top w:val="single" w:sz="8" w:color="CCEEFF"/>
            </w:tcBorders>
            <w:shd w:val="clear" w:color="auto" w:fill="CCEEFF"/>
          </w:tcPr>
          <w:p>
            <w:pPr>
              <w:spacing w:after="0"/>
              <w:rPr>
                <w:sz w:val="12"/>
                <w:szCs w:val="12"/>
                <w:color w:val="auto"/>
              </w:rPr>
            </w:pPr>
          </w:p>
        </w:tc>
        <w:tc>
          <w:tcPr>
            <w:tcW w:w="12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8,936,015</w:t>
            </w:r>
          </w:p>
        </w:tc>
        <w:tc>
          <w:tcPr>
            <w:tcW w:w="220" w:type="dxa"/>
            <w:vAlign w:val="bottom"/>
            <w:tcBorders>
              <w:top w:val="single" w:sz="8" w:color="CCEEFF"/>
            </w:tcBorders>
            <w:shd w:val="clear" w:color="auto" w:fill="CCEEFF"/>
          </w:tcPr>
          <w:p>
            <w:pPr>
              <w:spacing w:after="0"/>
              <w:rPr>
                <w:sz w:val="12"/>
                <w:szCs w:val="12"/>
                <w:color w:val="auto"/>
              </w:rPr>
            </w:pPr>
          </w:p>
        </w:tc>
        <w:tc>
          <w:tcPr>
            <w:tcW w:w="160" w:type="dxa"/>
            <w:vAlign w:val="bottom"/>
            <w:tcBorders>
              <w:top w:val="single" w:sz="8" w:color="auto"/>
            </w:tcBorders>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8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3,865,155</w:t>
            </w:r>
          </w:p>
        </w:tc>
        <w:tc>
          <w:tcPr>
            <w:tcW w:w="10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160" w:type="dxa"/>
            <w:vAlign w:val="bottom"/>
            <w:tcBorders>
              <w:top w:val="single" w:sz="8" w:color="auto"/>
            </w:tcBorders>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6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7,981,649</w:t>
            </w:r>
          </w:p>
        </w:tc>
        <w:tc>
          <w:tcPr>
            <w:tcW w:w="100" w:type="dxa"/>
            <w:vAlign w:val="bottom"/>
            <w:tcBorders>
              <w:top w:val="single" w:sz="8" w:color="CCEEFF"/>
            </w:tcBorders>
            <w:shd w:val="clear" w:color="auto" w:fill="CCEEFF"/>
          </w:tcPr>
          <w:p>
            <w:pPr>
              <w:spacing w:after="0"/>
              <w:rPr>
                <w:sz w:val="12"/>
                <w:szCs w:val="12"/>
                <w:color w:val="auto"/>
              </w:rPr>
            </w:pPr>
          </w:p>
        </w:tc>
      </w:tr>
      <w:tr>
        <w:trPr>
          <w:trHeight w:val="156"/>
        </w:trPr>
        <w:tc>
          <w:tcPr>
            <w:tcW w:w="5540" w:type="dxa"/>
            <w:vAlign w:val="bottom"/>
            <w:gridSpan w:val="2"/>
          </w:tcPr>
          <w:p>
            <w:pPr>
              <w:spacing w:after="0"/>
              <w:rPr>
                <w:sz w:val="20"/>
                <w:szCs w:val="20"/>
                <w:color w:val="auto"/>
              </w:rPr>
            </w:pPr>
            <w:r>
              <w:rPr>
                <w:rFonts w:ascii="Arial" w:cs="Arial" w:eastAsia="Arial" w:hAnsi="Arial"/>
                <w:sz w:val="13"/>
                <w:szCs w:val="13"/>
                <w:color w:val="auto"/>
              </w:rPr>
              <w:t>Series B Preferred Stock</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4,707,501</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4,653,583</w:t>
            </w:r>
          </w:p>
        </w:tc>
        <w:tc>
          <w:tcPr>
            <w:tcW w:w="160" w:type="dxa"/>
            <w:vAlign w:val="bottom"/>
          </w:tcPr>
          <w:p>
            <w:pPr>
              <w:spacing w:after="0"/>
              <w:rPr>
                <w:sz w:val="13"/>
                <w:szCs w:val="13"/>
                <w:color w:val="auto"/>
              </w:rPr>
            </w:pPr>
          </w:p>
        </w:tc>
        <w:tc>
          <w:tcPr>
            <w:tcW w:w="1180" w:type="dxa"/>
            <w:vAlign w:val="bottom"/>
            <w:gridSpan w:val="2"/>
          </w:tcPr>
          <w:p>
            <w:pPr>
              <w:jc w:val="right"/>
              <w:ind w:right="100"/>
              <w:spacing w:after="0"/>
              <w:rPr>
                <w:sz w:val="20"/>
                <w:szCs w:val="20"/>
                <w:color w:val="auto"/>
              </w:rPr>
            </w:pPr>
            <w:r>
              <w:rPr>
                <w:rFonts w:ascii="Arial" w:cs="Arial" w:eastAsia="Arial" w:hAnsi="Arial"/>
                <w:sz w:val="13"/>
                <w:szCs w:val="13"/>
                <w:color w:val="auto"/>
              </w:rPr>
              <w:t>9,441,770</w:t>
            </w:r>
          </w:p>
        </w:tc>
        <w:tc>
          <w:tcPr>
            <w:tcW w:w="1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060" w:type="dxa"/>
            <w:vAlign w:val="bottom"/>
          </w:tcPr>
          <w:p>
            <w:pPr>
              <w:jc w:val="right"/>
              <w:spacing w:after="0"/>
              <w:rPr>
                <w:sz w:val="20"/>
                <w:szCs w:val="20"/>
                <w:color w:val="auto"/>
              </w:rPr>
            </w:pPr>
            <w:r>
              <w:rPr>
                <w:rFonts w:ascii="Arial" w:cs="Arial" w:eastAsia="Arial" w:hAnsi="Arial"/>
                <w:sz w:val="13"/>
                <w:szCs w:val="13"/>
                <w:color w:val="auto"/>
              </w:rPr>
              <w:t>9,493,775</w:t>
            </w:r>
          </w:p>
        </w:tc>
        <w:tc>
          <w:tcPr>
            <w:tcW w:w="100" w:type="dxa"/>
            <w:vAlign w:val="bottom"/>
          </w:tcPr>
          <w:p>
            <w:pPr>
              <w:spacing w:after="0"/>
              <w:rPr>
                <w:sz w:val="13"/>
                <w:szCs w:val="13"/>
                <w:color w:val="auto"/>
              </w:rPr>
            </w:pPr>
          </w:p>
        </w:tc>
      </w:tr>
      <w:tr>
        <w:trPr>
          <w:trHeight w:val="156"/>
        </w:trPr>
        <w:tc>
          <w:tcPr>
            <w:tcW w:w="554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Series m Preferred Stock</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6,666,666</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5,339,215</w:t>
            </w:r>
          </w:p>
        </w:tc>
        <w:tc>
          <w:tcPr>
            <w:tcW w:w="160" w:type="dxa"/>
            <w:vAlign w:val="bottom"/>
            <w:shd w:val="clear" w:color="auto" w:fill="CCEEFF"/>
          </w:tcPr>
          <w:p>
            <w:pPr>
              <w:spacing w:after="0"/>
              <w:rPr>
                <w:sz w:val="13"/>
                <w:szCs w:val="13"/>
                <w:color w:val="auto"/>
              </w:rPr>
            </w:pPr>
          </w:p>
        </w:tc>
        <w:tc>
          <w:tcPr>
            <w:tcW w:w="118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13,865,715</w:t>
            </w:r>
          </w:p>
        </w:tc>
        <w:tc>
          <w:tcPr>
            <w:tcW w:w="120" w:type="dxa"/>
            <w:vAlign w:val="bottom"/>
            <w:shd w:val="clear" w:color="auto" w:fill="CCEEFF"/>
          </w:tcPr>
          <w:p>
            <w:pPr>
              <w:spacing w:after="0"/>
              <w:rPr>
                <w:sz w:val="13"/>
                <w:szCs w:val="13"/>
                <w:color w:val="auto"/>
              </w:rPr>
            </w:pPr>
          </w:p>
        </w:tc>
        <w:tc>
          <w:tcPr>
            <w:tcW w:w="160" w:type="dxa"/>
            <w:vAlign w:val="bottom"/>
            <w:shd w:val="clear" w:color="auto" w:fill="CCEEFF"/>
          </w:tcPr>
          <w:p>
            <w:pPr>
              <w:spacing w:after="0"/>
              <w:rPr>
                <w:sz w:val="13"/>
                <w:szCs w:val="13"/>
                <w:color w:val="auto"/>
              </w:rPr>
            </w:pPr>
          </w:p>
        </w:tc>
        <w:tc>
          <w:tcPr>
            <w:tcW w:w="11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16,017,645</w:t>
            </w:r>
          </w:p>
        </w:tc>
      </w:tr>
      <w:tr>
        <w:trPr>
          <w:trHeight w:val="156"/>
        </w:trPr>
        <w:tc>
          <w:tcPr>
            <w:tcW w:w="5540" w:type="dxa"/>
            <w:vAlign w:val="bottom"/>
            <w:gridSpan w:val="2"/>
          </w:tcPr>
          <w:p>
            <w:pPr>
              <w:spacing w:after="0"/>
              <w:rPr>
                <w:sz w:val="20"/>
                <w:szCs w:val="20"/>
                <w:color w:val="auto"/>
              </w:rPr>
            </w:pPr>
            <w:r>
              <w:rPr>
                <w:rFonts w:ascii="Arial" w:cs="Arial" w:eastAsia="Arial" w:hAnsi="Arial"/>
                <w:sz w:val="13"/>
                <w:szCs w:val="13"/>
                <w:color w:val="auto"/>
              </w:rPr>
              <w:t>Series m-1 Preferred Stock</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333,334</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w:t>
            </w:r>
          </w:p>
        </w:tc>
        <w:tc>
          <w:tcPr>
            <w:tcW w:w="160" w:type="dxa"/>
            <w:vAlign w:val="bottom"/>
          </w:tcPr>
          <w:p>
            <w:pPr>
              <w:spacing w:after="0"/>
              <w:rPr>
                <w:sz w:val="13"/>
                <w:szCs w:val="13"/>
                <w:color w:val="auto"/>
              </w:rPr>
            </w:pPr>
          </w:p>
        </w:tc>
        <w:tc>
          <w:tcPr>
            <w:tcW w:w="11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1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060" w:type="dxa"/>
            <w:vAlign w:val="bottom"/>
          </w:tcPr>
          <w:p>
            <w:pPr>
              <w:jc w:val="right"/>
              <w:spacing w:after="0"/>
              <w:rPr>
                <w:sz w:val="20"/>
                <w:szCs w:val="20"/>
                <w:color w:val="auto"/>
              </w:rPr>
            </w:pPr>
            <w:r>
              <w:rPr>
                <w:rFonts w:ascii="Arial" w:cs="Arial" w:eastAsia="Arial" w:hAnsi="Arial"/>
                <w:sz w:val="13"/>
                <w:szCs w:val="13"/>
                <w:color w:val="auto"/>
              </w:rPr>
              <w:t>-</w:t>
            </w:r>
          </w:p>
        </w:tc>
        <w:tc>
          <w:tcPr>
            <w:tcW w:w="100" w:type="dxa"/>
            <w:vAlign w:val="bottom"/>
          </w:tcPr>
          <w:p>
            <w:pPr>
              <w:spacing w:after="0"/>
              <w:rPr>
                <w:sz w:val="13"/>
                <w:szCs w:val="13"/>
                <w:color w:val="auto"/>
              </w:rPr>
            </w:pPr>
          </w:p>
        </w:tc>
      </w:tr>
      <w:tr>
        <w:trPr>
          <w:trHeight w:val="156"/>
        </w:trPr>
        <w:tc>
          <w:tcPr>
            <w:tcW w:w="554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Series m-2 Preferred Stock</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1,660,756</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1,660,756</w:t>
            </w:r>
          </w:p>
        </w:tc>
        <w:tc>
          <w:tcPr>
            <w:tcW w:w="160" w:type="dxa"/>
            <w:vAlign w:val="bottom"/>
            <w:shd w:val="clear" w:color="auto" w:fill="CCEEFF"/>
          </w:tcPr>
          <w:p>
            <w:pPr>
              <w:spacing w:after="0"/>
              <w:rPr>
                <w:sz w:val="13"/>
                <w:szCs w:val="13"/>
                <w:color w:val="auto"/>
              </w:rPr>
            </w:pPr>
          </w:p>
        </w:tc>
        <w:tc>
          <w:tcPr>
            <w:tcW w:w="118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4,982,268</w:t>
            </w:r>
          </w:p>
        </w:tc>
        <w:tc>
          <w:tcPr>
            <w:tcW w:w="120" w:type="dxa"/>
            <w:vAlign w:val="bottom"/>
            <w:shd w:val="clear" w:color="auto" w:fill="CCEEFF"/>
          </w:tcPr>
          <w:p>
            <w:pPr>
              <w:spacing w:after="0"/>
              <w:rPr>
                <w:sz w:val="13"/>
                <w:szCs w:val="13"/>
                <w:color w:val="auto"/>
              </w:rPr>
            </w:pPr>
          </w:p>
        </w:tc>
        <w:tc>
          <w:tcPr>
            <w:tcW w:w="160" w:type="dxa"/>
            <w:vAlign w:val="bottom"/>
            <w:shd w:val="clear" w:color="auto" w:fill="CCEEFF"/>
          </w:tcPr>
          <w:p>
            <w:pPr>
              <w:spacing w:after="0"/>
              <w:rPr>
                <w:sz w:val="13"/>
                <w:szCs w:val="13"/>
                <w:color w:val="auto"/>
              </w:rPr>
            </w:pPr>
          </w:p>
        </w:tc>
        <w:tc>
          <w:tcPr>
            <w:tcW w:w="10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4,982,268</w:t>
            </w:r>
          </w:p>
        </w:tc>
        <w:tc>
          <w:tcPr>
            <w:tcW w:w="100" w:type="dxa"/>
            <w:vAlign w:val="bottom"/>
            <w:shd w:val="clear" w:color="auto" w:fill="CCEEFF"/>
          </w:tcPr>
          <w:p>
            <w:pPr>
              <w:spacing w:after="0"/>
              <w:rPr>
                <w:sz w:val="13"/>
                <w:szCs w:val="13"/>
                <w:color w:val="auto"/>
              </w:rPr>
            </w:pPr>
          </w:p>
        </w:tc>
      </w:tr>
      <w:tr>
        <w:trPr>
          <w:trHeight w:val="156"/>
        </w:trPr>
        <w:tc>
          <w:tcPr>
            <w:tcW w:w="5540" w:type="dxa"/>
            <w:vAlign w:val="bottom"/>
            <w:gridSpan w:val="2"/>
          </w:tcPr>
          <w:p>
            <w:pPr>
              <w:spacing w:after="0"/>
              <w:rPr>
                <w:sz w:val="20"/>
                <w:szCs w:val="20"/>
                <w:color w:val="auto"/>
              </w:rPr>
            </w:pPr>
            <w:r>
              <w:rPr>
                <w:rFonts w:ascii="Arial" w:cs="Arial" w:eastAsia="Arial" w:hAnsi="Arial"/>
                <w:sz w:val="13"/>
                <w:szCs w:val="13"/>
                <w:color w:val="auto"/>
              </w:rPr>
              <w:t>Series m-3 Preferred Stock</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3,490,658</w:t>
            </w:r>
          </w:p>
        </w:tc>
        <w:tc>
          <w:tcPr>
            <w:tcW w:w="1480" w:type="dxa"/>
            <w:vAlign w:val="bottom"/>
            <w:gridSpan w:val="2"/>
          </w:tcPr>
          <w:p>
            <w:pPr>
              <w:jc w:val="right"/>
              <w:ind w:right="220"/>
              <w:spacing w:after="0"/>
              <w:rPr>
                <w:sz w:val="20"/>
                <w:szCs w:val="20"/>
                <w:color w:val="auto"/>
              </w:rPr>
            </w:pPr>
            <w:r>
              <w:rPr>
                <w:rFonts w:ascii="Arial" w:cs="Arial" w:eastAsia="Arial" w:hAnsi="Arial"/>
                <w:sz w:val="13"/>
                <w:szCs w:val="13"/>
                <w:color w:val="auto"/>
              </w:rPr>
              <w:t>16,757</w:t>
            </w:r>
          </w:p>
        </w:tc>
        <w:tc>
          <w:tcPr>
            <w:tcW w:w="160" w:type="dxa"/>
            <w:vAlign w:val="bottom"/>
          </w:tcPr>
          <w:p>
            <w:pPr>
              <w:spacing w:after="0"/>
              <w:rPr>
                <w:sz w:val="13"/>
                <w:szCs w:val="13"/>
                <w:color w:val="auto"/>
              </w:rPr>
            </w:pPr>
          </w:p>
        </w:tc>
        <w:tc>
          <w:tcPr>
            <w:tcW w:w="1180" w:type="dxa"/>
            <w:vAlign w:val="bottom"/>
            <w:gridSpan w:val="2"/>
          </w:tcPr>
          <w:p>
            <w:pPr>
              <w:jc w:val="right"/>
              <w:ind w:right="100"/>
              <w:spacing w:after="0"/>
              <w:rPr>
                <w:sz w:val="20"/>
                <w:szCs w:val="20"/>
                <w:color w:val="auto"/>
              </w:rPr>
            </w:pPr>
            <w:r>
              <w:rPr>
                <w:rFonts w:ascii="Arial" w:cs="Arial" w:eastAsia="Arial" w:hAnsi="Arial"/>
                <w:sz w:val="13"/>
                <w:szCs w:val="13"/>
                <w:color w:val="auto"/>
              </w:rPr>
              <w:t>45,945</w:t>
            </w:r>
          </w:p>
        </w:tc>
        <w:tc>
          <w:tcPr>
            <w:tcW w:w="12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1160" w:type="dxa"/>
            <w:vAlign w:val="bottom"/>
            <w:gridSpan w:val="2"/>
          </w:tcPr>
          <w:p>
            <w:pPr>
              <w:jc w:val="right"/>
              <w:ind w:right="100"/>
              <w:spacing w:after="0"/>
              <w:rPr>
                <w:sz w:val="20"/>
                <w:szCs w:val="20"/>
                <w:color w:val="auto"/>
              </w:rPr>
            </w:pPr>
            <w:r>
              <w:rPr>
                <w:rFonts w:ascii="Arial" w:cs="Arial" w:eastAsia="Arial" w:hAnsi="Arial"/>
                <w:sz w:val="13"/>
                <w:szCs w:val="13"/>
                <w:color w:val="auto"/>
              </w:rPr>
              <w:t>58,650</w:t>
            </w:r>
          </w:p>
        </w:tc>
      </w:tr>
      <w:tr>
        <w:trPr>
          <w:trHeight w:val="156"/>
        </w:trPr>
        <w:tc>
          <w:tcPr>
            <w:tcW w:w="5540" w:type="dxa"/>
            <w:vAlign w:val="bottom"/>
            <w:gridSpan w:val="2"/>
            <w:shd w:val="clear" w:color="auto" w:fill="CCEEFF"/>
          </w:tcPr>
          <w:p>
            <w:pPr>
              <w:spacing w:after="0"/>
              <w:rPr>
                <w:sz w:val="20"/>
                <w:szCs w:val="20"/>
                <w:color w:val="auto"/>
              </w:rPr>
            </w:pPr>
            <w:r>
              <w:rPr>
                <w:rFonts w:ascii="Arial" w:cs="Arial" w:eastAsia="Arial" w:hAnsi="Arial"/>
                <w:sz w:val="13"/>
                <w:szCs w:val="13"/>
                <w:color w:val="auto"/>
              </w:rPr>
              <w:t>Series m-4 Preferred Stock</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4,502,061</w:t>
            </w:r>
          </w:p>
        </w:tc>
        <w:tc>
          <w:tcPr>
            <w:tcW w:w="1480" w:type="dxa"/>
            <w:vAlign w:val="bottom"/>
            <w:gridSpan w:val="2"/>
            <w:shd w:val="clear" w:color="auto" w:fill="CCEEFF"/>
          </w:tcPr>
          <w:p>
            <w:pPr>
              <w:jc w:val="right"/>
              <w:ind w:right="220"/>
              <w:spacing w:after="0"/>
              <w:rPr>
                <w:sz w:val="20"/>
                <w:szCs w:val="20"/>
                <w:color w:val="auto"/>
              </w:rPr>
            </w:pPr>
            <w:r>
              <w:rPr>
                <w:rFonts w:ascii="Arial" w:cs="Arial" w:eastAsia="Arial" w:hAnsi="Arial"/>
                <w:sz w:val="13"/>
                <w:szCs w:val="13"/>
                <w:color w:val="auto"/>
              </w:rPr>
              <w:t>1,432,786</w:t>
            </w:r>
          </w:p>
        </w:tc>
        <w:tc>
          <w:tcPr>
            <w:tcW w:w="160" w:type="dxa"/>
            <w:vAlign w:val="bottom"/>
            <w:shd w:val="clear" w:color="auto" w:fill="CCEEFF"/>
          </w:tcPr>
          <w:p>
            <w:pPr>
              <w:spacing w:after="0"/>
              <w:rPr>
                <w:sz w:val="13"/>
                <w:szCs w:val="13"/>
                <w:color w:val="auto"/>
              </w:rPr>
            </w:pPr>
          </w:p>
        </w:tc>
        <w:tc>
          <w:tcPr>
            <w:tcW w:w="118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4,828,488</w:t>
            </w:r>
          </w:p>
        </w:tc>
        <w:tc>
          <w:tcPr>
            <w:tcW w:w="120" w:type="dxa"/>
            <w:vAlign w:val="bottom"/>
            <w:shd w:val="clear" w:color="auto" w:fill="CCEEFF"/>
          </w:tcPr>
          <w:p>
            <w:pPr>
              <w:spacing w:after="0"/>
              <w:rPr>
                <w:sz w:val="13"/>
                <w:szCs w:val="13"/>
                <w:color w:val="auto"/>
              </w:rPr>
            </w:pPr>
          </w:p>
        </w:tc>
        <w:tc>
          <w:tcPr>
            <w:tcW w:w="160" w:type="dxa"/>
            <w:vAlign w:val="bottom"/>
            <w:shd w:val="clear" w:color="auto" w:fill="CCEEFF"/>
          </w:tcPr>
          <w:p>
            <w:pPr>
              <w:spacing w:after="0"/>
              <w:rPr>
                <w:sz w:val="13"/>
                <w:szCs w:val="13"/>
                <w:color w:val="auto"/>
              </w:rPr>
            </w:pPr>
          </w:p>
        </w:tc>
        <w:tc>
          <w:tcPr>
            <w:tcW w:w="11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10,029,502</w:t>
            </w:r>
          </w:p>
        </w:tc>
      </w:tr>
      <w:tr>
        <w:trPr>
          <w:trHeight w:val="166"/>
        </w:trPr>
        <w:tc>
          <w:tcPr>
            <w:tcW w:w="5540" w:type="dxa"/>
            <w:vAlign w:val="bottom"/>
            <w:gridSpan w:val="2"/>
          </w:tcPr>
          <w:p>
            <w:pPr>
              <w:spacing w:after="0"/>
              <w:rPr>
                <w:sz w:val="20"/>
                <w:szCs w:val="20"/>
                <w:color w:val="auto"/>
              </w:rPr>
            </w:pPr>
            <w:r>
              <w:rPr>
                <w:rFonts w:ascii="Arial" w:cs="Arial" w:eastAsia="Arial" w:hAnsi="Arial"/>
                <w:sz w:val="13"/>
                <w:szCs w:val="13"/>
                <w:color w:val="auto"/>
              </w:rPr>
              <w:t>Series S Preferred Stock</w:t>
            </w:r>
          </w:p>
        </w:tc>
        <w:tc>
          <w:tcPr>
            <w:tcW w:w="1260" w:type="dxa"/>
            <w:vAlign w:val="bottom"/>
          </w:tcPr>
          <w:p>
            <w:pPr>
              <w:jc w:val="right"/>
              <w:spacing w:after="0"/>
              <w:rPr>
                <w:sz w:val="20"/>
                <w:szCs w:val="20"/>
                <w:color w:val="auto"/>
              </w:rPr>
            </w:pPr>
            <w:r>
              <w:rPr>
                <w:rFonts w:ascii="Arial" w:cs="Arial" w:eastAsia="Arial" w:hAnsi="Arial"/>
                <w:sz w:val="13"/>
                <w:szCs w:val="13"/>
                <w:color w:val="auto"/>
              </w:rPr>
              <w:t>13,108,333</w:t>
            </w:r>
          </w:p>
        </w:tc>
        <w:tc>
          <w:tcPr>
            <w:tcW w:w="220" w:type="dxa"/>
            <w:vAlign w:val="bottom"/>
          </w:tcPr>
          <w:p>
            <w:pPr>
              <w:spacing w:after="0"/>
              <w:rPr>
                <w:sz w:val="14"/>
                <w:szCs w:val="14"/>
                <w:color w:val="auto"/>
              </w:rPr>
            </w:pPr>
          </w:p>
        </w:tc>
        <w:tc>
          <w:tcPr>
            <w:tcW w:w="1260" w:type="dxa"/>
            <w:vAlign w:val="bottom"/>
          </w:tcPr>
          <w:p>
            <w:pPr>
              <w:jc w:val="right"/>
              <w:spacing w:after="0"/>
              <w:rPr>
                <w:sz w:val="20"/>
                <w:szCs w:val="20"/>
                <w:color w:val="auto"/>
              </w:rPr>
            </w:pPr>
            <w:r>
              <w:rPr>
                <w:rFonts w:ascii="Arial" w:cs="Arial" w:eastAsia="Arial" w:hAnsi="Arial"/>
                <w:sz w:val="13"/>
                <w:szCs w:val="13"/>
                <w:color w:val="auto"/>
              </w:rPr>
              <w:t>5,567,171</w:t>
            </w:r>
          </w:p>
        </w:tc>
        <w:tc>
          <w:tcPr>
            <w:tcW w:w="2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080" w:type="dxa"/>
            <w:vAlign w:val="bottom"/>
          </w:tcPr>
          <w:p>
            <w:pPr>
              <w:jc w:val="right"/>
              <w:spacing w:after="0"/>
              <w:rPr>
                <w:sz w:val="20"/>
                <w:szCs w:val="20"/>
                <w:color w:val="auto"/>
              </w:rPr>
            </w:pPr>
            <w:r>
              <w:rPr>
                <w:rFonts w:ascii="Arial" w:cs="Arial" w:eastAsia="Arial" w:hAnsi="Arial"/>
                <w:sz w:val="13"/>
                <w:szCs w:val="13"/>
                <w:color w:val="auto"/>
              </w:rPr>
              <w:t>43,521,954</w:t>
            </w: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160" w:type="dxa"/>
            <w:vAlign w:val="bottom"/>
            <w:gridSpan w:val="2"/>
          </w:tcPr>
          <w:p>
            <w:pPr>
              <w:jc w:val="right"/>
              <w:ind w:right="100"/>
              <w:spacing w:after="0"/>
              <w:rPr>
                <w:sz w:val="20"/>
                <w:szCs w:val="20"/>
                <w:color w:val="auto"/>
              </w:rPr>
            </w:pPr>
            <w:r>
              <w:rPr>
                <w:rFonts w:ascii="Arial" w:cs="Arial" w:eastAsia="Arial" w:hAnsi="Arial"/>
                <w:sz w:val="13"/>
                <w:szCs w:val="13"/>
                <w:color w:val="auto"/>
              </w:rPr>
              <w:t>44,537,368</w:t>
            </w:r>
          </w:p>
        </w:tc>
      </w:tr>
      <w:tr>
        <w:trPr>
          <w:trHeight w:val="20"/>
        </w:trPr>
        <w:tc>
          <w:tcPr>
            <w:tcW w:w="5420" w:type="dxa"/>
            <w:vAlign w:val="bottom"/>
            <w:shd w:val="clear" w:color="auto" w:fill="CCEEFF"/>
          </w:tcPr>
          <w:p>
            <w:pPr>
              <w:spacing w:after="0" w:line="20" w:lineRule="exact"/>
              <w:rPr>
                <w:sz w:val="1"/>
                <w:szCs w:val="1"/>
                <w:color w:val="auto"/>
              </w:rPr>
            </w:pPr>
          </w:p>
        </w:tc>
        <w:tc>
          <w:tcPr>
            <w:tcW w:w="120" w:type="dxa"/>
            <w:vAlign w:val="bottom"/>
            <w:shd w:val="clear" w:color="auto" w:fill="CCEEFF"/>
          </w:tcPr>
          <w:p>
            <w:pPr>
              <w:spacing w:after="0" w:line="20" w:lineRule="exact"/>
              <w:rPr>
                <w:sz w:val="1"/>
                <w:szCs w:val="1"/>
                <w:color w:val="auto"/>
              </w:rPr>
            </w:pPr>
          </w:p>
        </w:tc>
        <w:tc>
          <w:tcPr>
            <w:tcW w:w="1260" w:type="dxa"/>
            <w:vAlign w:val="bottom"/>
            <w:shd w:val="clear" w:color="auto" w:fill="000000"/>
          </w:tcPr>
          <w:p>
            <w:pPr>
              <w:spacing w:after="0" w:line="20" w:lineRule="exact"/>
              <w:rPr>
                <w:sz w:val="1"/>
                <w:szCs w:val="1"/>
                <w:color w:val="auto"/>
              </w:rPr>
            </w:pPr>
          </w:p>
        </w:tc>
        <w:tc>
          <w:tcPr>
            <w:tcW w:w="220" w:type="dxa"/>
            <w:vAlign w:val="bottom"/>
            <w:shd w:val="clear" w:color="auto" w:fill="CCEEFF"/>
          </w:tcPr>
          <w:p>
            <w:pPr>
              <w:spacing w:after="0" w:line="20" w:lineRule="exact"/>
              <w:rPr>
                <w:sz w:val="1"/>
                <w:szCs w:val="1"/>
                <w:color w:val="auto"/>
              </w:rPr>
            </w:pPr>
          </w:p>
        </w:tc>
        <w:tc>
          <w:tcPr>
            <w:tcW w:w="1260" w:type="dxa"/>
            <w:vAlign w:val="bottom"/>
            <w:shd w:val="clear" w:color="auto" w:fill="000000"/>
          </w:tcPr>
          <w:p>
            <w:pPr>
              <w:spacing w:after="0" w:line="20" w:lineRule="exact"/>
              <w:rPr>
                <w:sz w:val="1"/>
                <w:szCs w:val="1"/>
                <w:color w:val="auto"/>
              </w:rPr>
            </w:pPr>
          </w:p>
        </w:tc>
        <w:tc>
          <w:tcPr>
            <w:tcW w:w="220" w:type="dxa"/>
            <w:vAlign w:val="bottom"/>
            <w:shd w:val="clear" w:color="auto" w:fill="CCEEFF"/>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08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c>
          <w:tcPr>
            <w:tcW w:w="120" w:type="dxa"/>
            <w:vAlign w:val="bottom"/>
            <w:shd w:val="clear" w:color="auto" w:fill="CCEEFF"/>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060" w:type="dxa"/>
            <w:vAlign w:val="bottom"/>
            <w:shd w:val="clear" w:color="auto" w:fill="000000"/>
          </w:tcPr>
          <w:p>
            <w:pPr>
              <w:spacing w:after="0" w:line="20" w:lineRule="exact"/>
              <w:rPr>
                <w:sz w:val="1"/>
                <w:szCs w:val="1"/>
                <w:color w:val="auto"/>
              </w:rPr>
            </w:pPr>
          </w:p>
        </w:tc>
        <w:tc>
          <w:tcPr>
            <w:tcW w:w="100" w:type="dxa"/>
            <w:vAlign w:val="bottom"/>
            <w:shd w:val="clear" w:color="auto" w:fill="CCEEFF"/>
          </w:tcPr>
          <w:p>
            <w:pPr>
              <w:spacing w:after="0" w:line="20" w:lineRule="exact"/>
              <w:rPr>
                <w:sz w:val="1"/>
                <w:szCs w:val="1"/>
                <w:color w:val="auto"/>
              </w:rPr>
            </w:pPr>
          </w:p>
        </w:tc>
      </w:tr>
      <w:tr>
        <w:trPr>
          <w:trHeight w:val="156"/>
        </w:trPr>
        <w:tc>
          <w:tcPr>
            <w:tcW w:w="5420" w:type="dxa"/>
            <w:vAlign w:val="bottom"/>
            <w:shd w:val="clear" w:color="auto" w:fill="CCEEFF"/>
          </w:tcPr>
          <w:p>
            <w:pPr>
              <w:spacing w:after="0"/>
              <w:rPr>
                <w:sz w:val="13"/>
                <w:szCs w:val="13"/>
                <w:color w:val="auto"/>
              </w:rPr>
            </w:pPr>
          </w:p>
        </w:tc>
        <w:tc>
          <w:tcPr>
            <w:tcW w:w="120" w:type="dxa"/>
            <w:vAlign w:val="bottom"/>
            <w:shd w:val="clear" w:color="auto" w:fill="CCEEFF"/>
          </w:tcPr>
          <w:p>
            <w:pPr>
              <w:spacing w:after="0"/>
              <w:rPr>
                <w:sz w:val="13"/>
                <w:szCs w:val="13"/>
                <w:color w:val="auto"/>
              </w:rPr>
            </w:pPr>
          </w:p>
        </w:tc>
        <w:tc>
          <w:tcPr>
            <w:tcW w:w="12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43,405,324</w:t>
            </w:r>
          </w:p>
        </w:tc>
        <w:tc>
          <w:tcPr>
            <w:tcW w:w="220" w:type="dxa"/>
            <w:vAlign w:val="bottom"/>
            <w:shd w:val="clear" w:color="auto" w:fill="CCEEFF"/>
          </w:tcPr>
          <w:p>
            <w:pPr>
              <w:spacing w:after="0"/>
              <w:rPr>
                <w:sz w:val="13"/>
                <w:szCs w:val="13"/>
                <w:color w:val="auto"/>
              </w:rPr>
            </w:pPr>
          </w:p>
        </w:tc>
        <w:tc>
          <w:tcPr>
            <w:tcW w:w="12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27,606,283</w:t>
            </w:r>
          </w:p>
        </w:tc>
        <w:tc>
          <w:tcPr>
            <w:tcW w:w="220" w:type="dxa"/>
            <w:vAlign w:val="bottom"/>
            <w:shd w:val="clear" w:color="auto" w:fill="CCEEFF"/>
          </w:tcPr>
          <w:p>
            <w:pPr>
              <w:spacing w:after="0"/>
              <w:rPr>
                <w:sz w:val="13"/>
                <w:szCs w:val="13"/>
                <w:color w:val="auto"/>
              </w:rPr>
            </w:pPr>
          </w:p>
        </w:tc>
        <w:tc>
          <w:tcPr>
            <w:tcW w:w="160" w:type="dxa"/>
            <w:vAlign w:val="bottom"/>
            <w:shd w:val="clear" w:color="auto" w:fill="CCEEFF"/>
          </w:tcPr>
          <w:p>
            <w:pPr>
              <w:jc w:val="right"/>
              <w:ind w:right="51"/>
              <w:spacing w:after="0"/>
              <w:rPr>
                <w:sz w:val="20"/>
                <w:szCs w:val="20"/>
                <w:color w:val="auto"/>
              </w:rPr>
            </w:pPr>
            <w:r>
              <w:rPr>
                <w:rFonts w:ascii="Arial" w:cs="Arial" w:eastAsia="Arial" w:hAnsi="Arial"/>
                <w:sz w:val="10"/>
                <w:szCs w:val="10"/>
                <w:color w:val="auto"/>
                <w:w w:val="71"/>
              </w:rPr>
              <w:t>$</w:t>
            </w:r>
          </w:p>
        </w:tc>
        <w:tc>
          <w:tcPr>
            <w:tcW w:w="10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80,551,295</w:t>
            </w:r>
          </w:p>
        </w:tc>
        <w:tc>
          <w:tcPr>
            <w:tcW w:w="100" w:type="dxa"/>
            <w:vAlign w:val="bottom"/>
            <w:shd w:val="clear" w:color="auto" w:fill="CCEEFF"/>
          </w:tcPr>
          <w:p>
            <w:pPr>
              <w:spacing w:after="0"/>
              <w:rPr>
                <w:sz w:val="13"/>
                <w:szCs w:val="13"/>
                <w:color w:val="auto"/>
              </w:rPr>
            </w:pPr>
          </w:p>
        </w:tc>
        <w:tc>
          <w:tcPr>
            <w:tcW w:w="280" w:type="dxa"/>
            <w:vAlign w:val="bottom"/>
            <w:gridSpan w:val="2"/>
            <w:shd w:val="clear" w:color="auto" w:fill="CCEEFF"/>
          </w:tcPr>
          <w:p>
            <w:pPr>
              <w:jc w:val="right"/>
              <w:ind w:right="51"/>
              <w:spacing w:after="0"/>
              <w:rPr>
                <w:sz w:val="20"/>
                <w:szCs w:val="20"/>
                <w:color w:val="auto"/>
              </w:rPr>
            </w:pPr>
            <w:r>
              <w:rPr>
                <w:rFonts w:ascii="Arial" w:cs="Arial" w:eastAsia="Arial" w:hAnsi="Arial"/>
                <w:sz w:val="13"/>
                <w:szCs w:val="13"/>
                <w:color w:val="auto"/>
              </w:rPr>
              <w:t>$</w:t>
            </w:r>
          </w:p>
        </w:tc>
        <w:tc>
          <w:tcPr>
            <w:tcW w:w="116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93,100,857</w:t>
            </w:r>
          </w:p>
        </w:tc>
      </w:tr>
      <w:tr>
        <w:trPr>
          <w:trHeight w:val="30"/>
        </w:trPr>
        <w:tc>
          <w:tcPr>
            <w:tcW w:w="542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260" w:type="dxa"/>
            <w:vAlign w:val="bottom"/>
            <w:shd w:val="clear" w:color="auto" w:fill="000000"/>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260" w:type="dxa"/>
            <w:vAlign w:val="bottom"/>
            <w:shd w:val="clear" w:color="auto" w:fill="000000"/>
          </w:tcPr>
          <w:p>
            <w:pPr>
              <w:spacing w:after="0"/>
              <w:rPr>
                <w:sz w:val="2"/>
                <w:szCs w:val="2"/>
                <w:color w:val="auto"/>
              </w:rPr>
            </w:pPr>
          </w:p>
        </w:tc>
        <w:tc>
          <w:tcPr>
            <w:tcW w:w="220" w:type="dxa"/>
            <w:vAlign w:val="bottom"/>
            <w:shd w:val="clear" w:color="auto" w:fill="CCEEFF"/>
          </w:tcPr>
          <w:p>
            <w:pPr>
              <w:spacing w:after="0"/>
              <w:rPr>
                <w:sz w:val="2"/>
                <w:szCs w:val="2"/>
                <w:color w:val="auto"/>
              </w:rPr>
            </w:pPr>
          </w:p>
        </w:tc>
        <w:tc>
          <w:tcPr>
            <w:tcW w:w="160" w:type="dxa"/>
            <w:vAlign w:val="bottom"/>
            <w:shd w:val="clear" w:color="auto" w:fill="000000"/>
          </w:tcPr>
          <w:p>
            <w:pPr>
              <w:spacing w:after="0"/>
              <w:rPr>
                <w:sz w:val="2"/>
                <w:szCs w:val="2"/>
                <w:color w:val="auto"/>
              </w:rPr>
            </w:pPr>
          </w:p>
        </w:tc>
        <w:tc>
          <w:tcPr>
            <w:tcW w:w="108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20" w:type="dxa"/>
            <w:vAlign w:val="bottom"/>
            <w:shd w:val="clear" w:color="auto" w:fill="CCEEFF"/>
          </w:tcPr>
          <w:p>
            <w:pPr>
              <w:spacing w:after="0"/>
              <w:rPr>
                <w:sz w:val="2"/>
                <w:szCs w:val="2"/>
                <w:color w:val="auto"/>
              </w:rPr>
            </w:pPr>
          </w:p>
        </w:tc>
        <w:tc>
          <w:tcPr>
            <w:tcW w:w="160" w:type="dxa"/>
            <w:vAlign w:val="bottom"/>
            <w:shd w:val="clear" w:color="auto" w:fill="000000"/>
          </w:tcPr>
          <w:p>
            <w:pPr>
              <w:spacing w:after="0"/>
              <w:rPr>
                <w:sz w:val="2"/>
                <w:szCs w:val="2"/>
                <w:color w:val="auto"/>
              </w:rPr>
            </w:pPr>
          </w:p>
        </w:tc>
        <w:tc>
          <w:tcPr>
            <w:tcW w:w="106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r>
    </w:tbl>
    <w:p>
      <w:pPr>
        <w:spacing w:after="0" w:line="148" w:lineRule="exact"/>
        <w:rPr>
          <w:sz w:val="20"/>
          <w:szCs w:val="20"/>
          <w:color w:val="auto"/>
        </w:rPr>
      </w:pPr>
    </w:p>
    <w:p>
      <w:pPr>
        <w:ind w:left="2"/>
        <w:spacing w:after="0"/>
        <w:rPr>
          <w:sz w:val="20"/>
          <w:szCs w:val="20"/>
          <w:color w:val="auto"/>
        </w:rPr>
      </w:pPr>
      <w:r>
        <w:rPr>
          <w:rFonts w:ascii="Arial" w:cs="Arial" w:eastAsia="Arial" w:hAnsi="Arial"/>
          <w:sz w:val="13"/>
          <w:szCs w:val="13"/>
          <w:b w:val="1"/>
          <w:bCs w:val="1"/>
          <w:i w:val="1"/>
          <w:iCs w:val="1"/>
          <w:color w:val="auto"/>
        </w:rPr>
        <w:t>Conversion Rights</w:t>
      </w:r>
    </w:p>
    <w:p>
      <w:pPr>
        <w:spacing w:after="0" w:line="163" w:lineRule="exact"/>
        <w:rPr>
          <w:sz w:val="20"/>
          <w:szCs w:val="20"/>
          <w:color w:val="auto"/>
        </w:rPr>
      </w:pPr>
    </w:p>
    <w:p>
      <w:pPr>
        <w:jc w:val="both"/>
        <w:ind w:left="2"/>
        <w:spacing w:after="0" w:line="300" w:lineRule="auto"/>
        <w:rPr>
          <w:sz w:val="20"/>
          <w:szCs w:val="20"/>
          <w:color w:val="auto"/>
        </w:rPr>
      </w:pPr>
      <w:r>
        <w:rPr>
          <w:rFonts w:ascii="Arial" w:cs="Arial" w:eastAsia="Arial" w:hAnsi="Arial"/>
          <w:sz w:val="11"/>
          <w:szCs w:val="11"/>
          <w:color w:val="auto"/>
        </w:rPr>
        <w:t>Each share of Series A Preferred Stock, Series B Preferred Stock and Series m-2 Preferred Stock (collectively known as “Super Voting Preferred Stock”) is convertible at the option of the holder at any time after the date of issuance of those shares into fully paid non-assessable shares of Class B Common Stock at the then-applicable conversion rate. Each share of Series m, Series m-1, Series m-3, Series m-4 and Series S Preferred Stock (collectively known as “Ordinary Preferred Stock”) is convertible at the option of the holder at any time after the date of issuance of such shares into fully paid non-assessable shares of Class A Common Stock at the then-applicable conversion rate. Both Super Voting Preferred Stock and Ordinary Preferred Stock will be automatically converted into fully paid non-assessable shares of Class A Common Stock</w:t>
      </w:r>
    </w:p>
    <w:p>
      <w:pPr>
        <w:spacing w:after="0" w:line="1" w:lineRule="exact"/>
        <w:rPr>
          <w:sz w:val="20"/>
          <w:szCs w:val="20"/>
          <w:color w:val="auto"/>
        </w:rPr>
      </w:pPr>
    </w:p>
    <w:p>
      <w:pPr>
        <w:jc w:val="both"/>
        <w:ind w:left="2" w:hanging="2"/>
        <w:spacing w:after="0" w:line="256" w:lineRule="auto"/>
        <w:tabs>
          <w:tab w:leader="none" w:pos="162" w:val="left"/>
        </w:tabs>
        <w:numPr>
          <w:ilvl w:val="0"/>
          <w:numId w:val="44"/>
        </w:numPr>
        <w:rPr>
          <w:rFonts w:ascii="Arial" w:cs="Arial" w:eastAsia="Arial" w:hAnsi="Arial"/>
          <w:sz w:val="13"/>
          <w:szCs w:val="13"/>
          <w:color w:val="auto"/>
        </w:rPr>
      </w:pPr>
      <w:r>
        <w:rPr>
          <w:rFonts w:ascii="Arial" w:cs="Arial" w:eastAsia="Arial" w:hAnsi="Arial"/>
          <w:sz w:val="13"/>
          <w:szCs w:val="13"/>
          <w:color w:val="auto"/>
        </w:rPr>
        <w:t>immediately prior to an IPO, or (ii) upon receipt by the Company of a written request for such conversion from the holders of a majority of the Preferred Stock then outstanding and voting as a single class on an as-converted basis other than the Series m-4 Preferred Stock then outstanding, or (iii) with respect to the Series m-4 Preferred Stock, upon the receipt by the Company of a written request for such conversion from the holders of a majority of the Series m-4 Preferred Stock then outstanding. The stock will convert in the same manner as a voluntary conversion.</w:t>
      </w:r>
    </w:p>
    <w:p>
      <w:pPr>
        <w:spacing w:after="0" w:line="140" w:lineRule="exact"/>
        <w:rPr>
          <w:sz w:val="20"/>
          <w:szCs w:val="20"/>
          <w:color w:val="auto"/>
        </w:rPr>
      </w:pPr>
    </w:p>
    <w:p>
      <w:pPr>
        <w:ind w:left="2"/>
        <w:spacing w:after="0"/>
        <w:rPr>
          <w:sz w:val="20"/>
          <w:szCs w:val="20"/>
          <w:color w:val="auto"/>
        </w:rPr>
      </w:pPr>
      <w:r>
        <w:rPr>
          <w:rFonts w:ascii="Arial" w:cs="Arial" w:eastAsia="Arial" w:hAnsi="Arial"/>
          <w:sz w:val="13"/>
          <w:szCs w:val="13"/>
          <w:b w:val="1"/>
          <w:bCs w:val="1"/>
          <w:i w:val="1"/>
          <w:iCs w:val="1"/>
          <w:color w:val="auto"/>
        </w:rPr>
        <w:t>Voting Rights</w:t>
      </w:r>
    </w:p>
    <w:p>
      <w:pPr>
        <w:spacing w:after="0" w:line="163" w:lineRule="exact"/>
        <w:rPr>
          <w:sz w:val="20"/>
          <w:szCs w:val="20"/>
          <w:color w:val="auto"/>
        </w:rPr>
      </w:pPr>
    </w:p>
    <w:p>
      <w:pPr>
        <w:jc w:val="both"/>
        <w:ind w:left="2"/>
        <w:spacing w:after="0" w:line="258" w:lineRule="auto"/>
        <w:rPr>
          <w:sz w:val="20"/>
          <w:szCs w:val="20"/>
          <w:color w:val="auto"/>
        </w:rPr>
      </w:pPr>
      <w:r>
        <w:rPr>
          <w:rFonts w:ascii="Arial" w:cs="Arial" w:eastAsia="Arial" w:hAnsi="Arial"/>
          <w:sz w:val="13"/>
          <w:szCs w:val="13"/>
          <w:color w:val="auto"/>
        </w:rPr>
        <w:t>Super Voting Preferred stockholders vote on an as converted to Class B Common Stock basis and Class B Common Stock are entitled to ten votes for each share of Class B Common Stock held. Ordinary Preferred stockholders vote on an as converted to Class A Common Stock basis and Class A Common Stock are entitled to one vote for each share of Class A Common Stock held. Class A and Class B Common stockholders vote together as one class on all matters. The holders of the Preferred Stock, the Class A Common Stock and Class B Common Stock vote together and not as separate classes, except as otherwise expressly provided in our certificate of incorporation or as required by law.</w:t>
      </w:r>
    </w:p>
    <w:p>
      <w:pPr>
        <w:spacing w:after="0" w:line="139" w:lineRule="exact"/>
        <w:rPr>
          <w:sz w:val="20"/>
          <w:szCs w:val="20"/>
          <w:color w:val="auto"/>
        </w:rPr>
      </w:pPr>
    </w:p>
    <w:p>
      <w:pPr>
        <w:ind w:left="2"/>
        <w:spacing w:after="0"/>
        <w:rPr>
          <w:sz w:val="20"/>
          <w:szCs w:val="20"/>
          <w:color w:val="auto"/>
        </w:rPr>
      </w:pPr>
      <w:r>
        <w:rPr>
          <w:rFonts w:ascii="Arial" w:cs="Arial" w:eastAsia="Arial" w:hAnsi="Arial"/>
          <w:sz w:val="13"/>
          <w:szCs w:val="13"/>
          <w:color w:val="auto"/>
        </w:rPr>
        <w:t>Holders of Preferred Stock are entitled to vote on all matters submitted to a vote of the stockholders, including the election of directors, as a single class with the holders of common stock.</w:t>
      </w:r>
    </w:p>
    <w:p>
      <w:pPr>
        <w:spacing w:after="0" w:line="163" w:lineRule="exact"/>
        <w:rPr>
          <w:sz w:val="20"/>
          <w:szCs w:val="20"/>
          <w:color w:val="auto"/>
        </w:rPr>
      </w:pPr>
    </w:p>
    <w:p>
      <w:pPr>
        <w:jc w:val="both"/>
        <w:ind w:left="2"/>
        <w:spacing w:after="0" w:line="332" w:lineRule="auto"/>
        <w:rPr>
          <w:sz w:val="20"/>
          <w:szCs w:val="20"/>
          <w:color w:val="auto"/>
        </w:rPr>
      </w:pPr>
      <w:r>
        <w:rPr>
          <w:rFonts w:ascii="Arial" w:cs="Arial" w:eastAsia="Arial" w:hAnsi="Arial"/>
          <w:sz w:val="11"/>
          <w:szCs w:val="11"/>
          <w:color w:val="auto"/>
        </w:rPr>
        <w:t>William Santana Li, the Chief Executive Officer and sole director of the Company, holds the Voting Proxy to vote substantially all of the shares of the Company’s Series m-4 Preferred Stock, the stock issued upon the conversion of warrants to purchase shares of the Company’s Series m-3 Preferred Stock, the stock issued upon the conversion of warrants to purchase shares of the Company’s Series S Preferred Stock, and the stock issued upon conversion of the convertible promissory notes issued as part of the Convertible Note Financing, in each case to the extent that such shares are held by participants in the Convertible Note Financing.</w:t>
      </w:r>
    </w:p>
    <w:p>
      <w:pPr>
        <w:spacing w:after="0" w:line="101" w:lineRule="exact"/>
        <w:rPr>
          <w:sz w:val="20"/>
          <w:szCs w:val="20"/>
          <w:color w:val="auto"/>
        </w:rPr>
      </w:pPr>
    </w:p>
    <w:p>
      <w:pPr>
        <w:ind w:left="2"/>
        <w:spacing w:after="0"/>
        <w:rPr>
          <w:sz w:val="20"/>
          <w:szCs w:val="20"/>
          <w:color w:val="auto"/>
        </w:rPr>
      </w:pPr>
      <w:r>
        <w:rPr>
          <w:rFonts w:ascii="Arial" w:cs="Arial" w:eastAsia="Arial" w:hAnsi="Arial"/>
          <w:sz w:val="13"/>
          <w:szCs w:val="13"/>
          <w:b w:val="1"/>
          <w:bCs w:val="1"/>
          <w:i w:val="1"/>
          <w:iCs w:val="1"/>
          <w:color w:val="auto"/>
        </w:rPr>
        <w:t>Dividends Rights</w:t>
      </w:r>
    </w:p>
    <w:p>
      <w:pPr>
        <w:spacing w:after="0" w:line="163" w:lineRule="exact"/>
        <w:rPr>
          <w:sz w:val="20"/>
          <w:szCs w:val="20"/>
          <w:color w:val="auto"/>
        </w:rPr>
      </w:pPr>
    </w:p>
    <w:p>
      <w:pPr>
        <w:jc w:val="both"/>
        <w:ind w:left="2"/>
        <w:spacing w:after="0" w:line="258" w:lineRule="auto"/>
        <w:rPr>
          <w:sz w:val="20"/>
          <w:szCs w:val="20"/>
          <w:color w:val="auto"/>
        </w:rPr>
      </w:pPr>
      <w:r>
        <w:rPr>
          <w:rFonts w:ascii="Arial" w:cs="Arial" w:eastAsia="Arial" w:hAnsi="Arial"/>
          <w:sz w:val="13"/>
          <w:szCs w:val="13"/>
          <w:color w:val="auto"/>
        </w:rPr>
        <w:t>In any calendar year, the holders of outstanding shares of Preferred Stock are entitled to receive dividends, when, as and if declared by the Board of Directors, out of any assets at the time legally available therefor, at the dividend rate specified for such shares of Preferred Stock payable in preference and priority to any declaration or payment of any distribution on Common Stock of the Company in such calendar year. Except for the PIK dividends described below, the right to receive dividends on shares of Preferred Stock is not cumulative, and no right to dividends shall accrue to holders of Preferred Stock by reason of the fact that dividends on said shares are not declared or paid.</w:t>
      </w:r>
    </w:p>
    <w:p>
      <w:pPr>
        <w:spacing w:after="0" w:line="296" w:lineRule="exact"/>
        <w:rPr>
          <w:sz w:val="20"/>
          <w:szCs w:val="20"/>
          <w:color w:val="auto"/>
        </w:rPr>
      </w:pPr>
    </w:p>
    <w:p>
      <w:pPr>
        <w:jc w:val="center"/>
        <w:ind w:right="-1"/>
        <w:spacing w:after="0"/>
        <w:rPr>
          <w:sz w:val="20"/>
          <w:szCs w:val="20"/>
          <w:color w:val="auto"/>
        </w:rPr>
      </w:pPr>
      <w:r>
        <w:rPr>
          <w:rFonts w:ascii="Arial" w:cs="Arial" w:eastAsia="Arial" w:hAnsi="Arial"/>
          <w:sz w:val="13"/>
          <w:szCs w:val="13"/>
          <w:color w:val="auto"/>
        </w:rPr>
        <w:t>F-44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10160</wp:posOffset>
            </wp:positionV>
            <wp:extent cx="7170420" cy="635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2"/>
          </w:cols>
          <w:pgMar w:left="298" w:top="850" w:right="319" w:bottom="1440" w:gutter="0" w:footer="0" w:header="0"/>
        </w:sectPr>
      </w:pPr>
    </w:p>
    <w:bookmarkStart w:id="106" w:name="page107"/>
    <w:bookmarkEnd w:id="106"/>
    <w:p>
      <w:pPr>
        <w:spacing w:after="0"/>
        <w:rPr>
          <w:sz w:val="20"/>
          <w:szCs w:val="20"/>
          <w:color w:val="auto"/>
        </w:rPr>
      </w:pPr>
      <w:r>
        <w:rPr>
          <w:rFonts w:ascii="Arial" w:cs="Arial" w:eastAsia="Arial" w:hAnsi="Arial"/>
          <w:sz w:val="13"/>
          <w:szCs w:val="13"/>
          <w:b w:val="1"/>
          <w:bCs w:val="1"/>
          <w:color w:val="auto"/>
        </w:rPr>
        <w:t>NOTE 6: Capital Stock and Warrants (Continued)</w:t>
      </w:r>
    </w:p>
    <w:p>
      <w:pPr>
        <w:spacing w:after="0" w:line="167"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Holders of Series m-4 Preferred Stock are entitled to receive cumulative dividends payable semi-annually in arrears with respect to each dividend period ending on and including the last calendar day of each six-month period ending March 31 and September 30, respectively at an annual rate of $0.42 per share in the form of Series m-4 Preferred Stock (“PIK Dividends).</w:t>
      </w:r>
    </w:p>
    <w:p>
      <w:pPr>
        <w:spacing w:after="0" w:line="128" w:lineRule="exact"/>
        <w:rPr>
          <w:sz w:val="20"/>
          <w:szCs w:val="20"/>
          <w:color w:val="auto"/>
        </w:rPr>
      </w:pPr>
    </w:p>
    <w:p>
      <w:pPr>
        <w:jc w:val="both"/>
        <w:spacing w:after="0" w:line="294" w:lineRule="auto"/>
        <w:rPr>
          <w:sz w:val="20"/>
          <w:szCs w:val="20"/>
          <w:color w:val="auto"/>
        </w:rPr>
      </w:pPr>
      <w:r>
        <w:rPr>
          <w:rFonts w:ascii="Arial" w:cs="Arial" w:eastAsia="Arial" w:hAnsi="Arial"/>
          <w:sz w:val="12"/>
          <w:szCs w:val="12"/>
          <w:color w:val="auto"/>
        </w:rPr>
        <w:t>The Company has no obligation to pay any dividends other than the PIK Dividends to the holders of Series m-4 Preferred Stock, except when, as and if declared by the Board of Directors out of any assets at the time legally available therefor or as otherwise specifically provided in its amended and restated certificate of incorporation. No distribution will be made with respect to the other series of Preferred Stock or Common Stock until all declared or accrued but unpaid dividends on the Series m-4 Preferred Stock have been paid or set aside for payment to the Series m-4 Preferred Stockholders.</w:t>
      </w:r>
    </w:p>
    <w:p>
      <w:pPr>
        <w:spacing w:after="0" w:line="119"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No distributions shall be made with respect to the Series B Preferred Stock, the Series m Preferred Stock, the Series m-1 Preferred Stock, the Series m-2 Preferred Stock, Series A Preferred Stock or Series m-3 Preferred Stock unless dividends on the Series S Preferred Stock have been declared in accordance with the preferences stated in the amended and restated certificate of incorporation and all declared dividends on the Series S Preferred Stock have been paid or set aside for payment to the Series S Preferred Stockholders.</w:t>
      </w:r>
    </w:p>
    <w:p>
      <w:pPr>
        <w:spacing w:after="0" w:line="136"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No distributions shall be made with respect to the Series A Preferred Stock or Series m-3 Preferred Stock unless dividends on the Series B Preferred Stock, the Series m Preferred Stock, the Series m-1 Preferred Stock and the Series m-2 Preferred Stock have been declared in accordance with the preferences stated in the amended and restated certificate of incorporation and all declared dividends on the Series B Preferred Stock, the Series m Preferred Stock, the Series m-1 Preferred Stock and the Series m-2 Preferred Stock have been paid or set aside for payment to the Series B Preferred Stockholders, the Series m Preferred Stockholders, the Series m-1 Preferred Stockholders and the Series m-2 Preferred Stockholders, as applicable.</w:t>
      </w:r>
    </w:p>
    <w:p>
      <w:pPr>
        <w:spacing w:after="0" w:line="139"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No distributions shall be made with respect to the Series m-3 Preferred Stock unless dividends on the Series A Preferred Stock have been declared in accordance with the preferences stated in the amended and restated certificate of incorporation and all declared dividends on the Series A Preferred Stock have been paid or set aside for payment to the Series A Preferred Stockholders.</w:t>
      </w:r>
    </w:p>
    <w:p>
      <w:pPr>
        <w:spacing w:after="0" w:line="128"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No distributions shall be made with respect to the Common Stock unless dividends on the Series m-3 Preferred Stock have been declared in accordance with the preferences stated in the amended and restated certificate of incorporation and all declared dividends on the Series m-3 Preferred Stock have been paid or set aside for payment to the Series m-3 Preferred Stockholders.</w:t>
      </w:r>
    </w:p>
    <w:p>
      <w:pPr>
        <w:spacing w:after="0" w:line="128" w:lineRule="exact"/>
        <w:rPr>
          <w:sz w:val="20"/>
          <w:szCs w:val="20"/>
          <w:color w:val="auto"/>
        </w:rPr>
      </w:pPr>
    </w:p>
    <w:p>
      <w:pPr>
        <w:spacing w:after="0"/>
        <w:rPr>
          <w:sz w:val="20"/>
          <w:szCs w:val="20"/>
          <w:color w:val="auto"/>
        </w:rPr>
      </w:pPr>
      <w:r>
        <w:rPr>
          <w:rFonts w:ascii="Arial" w:cs="Arial" w:eastAsia="Arial" w:hAnsi="Arial"/>
          <w:sz w:val="13"/>
          <w:szCs w:val="13"/>
          <w:color w:val="auto"/>
        </w:rPr>
        <w:t>The Company has never declared or paid cash dividends on any of its capital stock and currently does not anticipate paying any cash dividends in the foreseeable future.</w:t>
      </w:r>
    </w:p>
    <w:p>
      <w:pPr>
        <w:spacing w:after="0" w:line="163"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Right to receive Liquidation Distributions</w:t>
      </w:r>
    </w:p>
    <w:p>
      <w:pPr>
        <w:spacing w:after="0" w:line="163" w:lineRule="exact"/>
        <w:rPr>
          <w:sz w:val="20"/>
          <w:szCs w:val="20"/>
          <w:color w:val="auto"/>
        </w:rPr>
      </w:pPr>
    </w:p>
    <w:p>
      <w:pPr>
        <w:jc w:val="both"/>
        <w:spacing w:after="0" w:line="277" w:lineRule="auto"/>
        <w:rPr>
          <w:sz w:val="20"/>
          <w:szCs w:val="20"/>
          <w:color w:val="auto"/>
        </w:rPr>
      </w:pPr>
      <w:r>
        <w:rPr>
          <w:rFonts w:ascii="Arial" w:cs="Arial" w:eastAsia="Arial" w:hAnsi="Arial"/>
          <w:sz w:val="12"/>
          <w:szCs w:val="12"/>
          <w:color w:val="auto"/>
        </w:rPr>
        <w:t>In the event of any Liquidation Event, as defined in the Company’s amended and restated certificate of incorporation (which includes the liquidation, dissolution, merger, acquisition or winding up of the Company), the holders of the Series m-4 Preferred Stock are entitled to receive, prior and in preference to any distribution of any of the assets of the Company to the holders of the other series of Preferred Stock or Common Stock by reason of their ownership of such stock, an amount per share for each share of Series m-4 Preferred Stock held by them equal to the greater of (A): the sum of (i) the Liquidation Preference specified for such share of Series m-4 Preferred Stock, and (ii) all accrued but unpaid PIK Dividends (if any) on such share of Series m-4 Preferred Stock, whether or not declared, or (B) the consideration that such Holder would receive in the Liquidation Event if all shares of Series m-4 Preferred Stock were converted to Class A Common Stock immediately prior to such Liquidation Event, or (C) such lesser amount as may be approved by the holders of the majority of the outstanding shares of Series m-4 Preferred Stock, where for purposes of (B) such Holder is deemed to hold, in addition to each of its shares of Series m-4 Preferred Stock, any additional shares of Series m-4 Preferred Stock that constitute all accrued but unpaid PIK Dividends, whether or not declared. If upon the Liquidation Event, the assets of the Company legally available for distribution to the holders of the Series m-4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m-4 Preferred Stock in proportion to the full amounts they would otherwise be entitled to receive. The Series m-4 Preferred Stock has a $7 per share liquidation preference, which is 2x its original issue price.</w:t>
      </w:r>
    </w:p>
    <w:p>
      <w:pPr>
        <w:spacing w:after="0" w:line="128" w:lineRule="exact"/>
        <w:rPr>
          <w:sz w:val="20"/>
          <w:szCs w:val="20"/>
          <w:color w:val="auto"/>
        </w:rPr>
      </w:pPr>
    </w:p>
    <w:p>
      <w:pPr>
        <w:jc w:val="both"/>
        <w:spacing w:after="0" w:line="254" w:lineRule="auto"/>
        <w:rPr>
          <w:sz w:val="20"/>
          <w:szCs w:val="20"/>
          <w:color w:val="auto"/>
        </w:rPr>
      </w:pPr>
      <w:r>
        <w:rPr>
          <w:rFonts w:ascii="Arial" w:cs="Arial" w:eastAsia="Arial" w:hAnsi="Arial"/>
          <w:sz w:val="13"/>
          <w:szCs w:val="13"/>
          <w:color w:val="auto"/>
        </w:rPr>
        <w:t>The holders of the Series S Preferred Stock are entitled to receive, after distributions to Series m-4 Preferred stockholders and prior and in preference to any distribution of any of the assets of the Company to the holders of the Series A Preferred Stock, Series B Preferred Stock, Series m Preferred Stock, Series m-1 Preferred Stock, Series m-2 Preferred Stock, Series m-3 Preferred Stock or Common Stock by reason of their ownership of such stock, an amount per share for each share of Series S Preferred Stock held by them equal to the greater of (A): the sum of (i) $8.00 per share of Series S Preferred Stock, and (ii) all declared but unpaid dividends (if any) on such share of Series S Preferred Stock, or (B) the amount such Holder would receive if all shares of Series S Preferred Stock were converted to Common Stock immediately prior to such Liquidation Event, or (C) such lesser amount as may be approved by the holders of the majority of the outstanding shares of Series S Preferred Stock. If upon the Liquidation Event, the assets of the Company legally available for distribution to the holders of the Series S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S Preferred Stock in proportion to the full amounts they would otherwise be entitled to receive.</w:t>
      </w:r>
    </w:p>
    <w:p>
      <w:pPr>
        <w:spacing w:after="0" w:line="298"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F-45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8">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107" w:name="page108"/>
    <w:bookmarkEnd w:id="107"/>
    <w:p>
      <w:pPr>
        <w:ind w:left="2"/>
        <w:spacing w:after="0"/>
        <w:rPr>
          <w:sz w:val="20"/>
          <w:szCs w:val="20"/>
          <w:color w:val="auto"/>
        </w:rPr>
      </w:pPr>
      <w:r>
        <w:rPr>
          <w:rFonts w:ascii="Arial" w:cs="Arial" w:eastAsia="Arial" w:hAnsi="Arial"/>
          <w:sz w:val="13"/>
          <w:szCs w:val="13"/>
          <w:b w:val="1"/>
          <w:bCs w:val="1"/>
          <w:color w:val="auto"/>
        </w:rPr>
        <w:t>NOTE 6: Capital Stock and Warrants (Continued)</w:t>
      </w:r>
    </w:p>
    <w:p>
      <w:pPr>
        <w:spacing w:after="0" w:line="167" w:lineRule="exact"/>
        <w:rPr>
          <w:sz w:val="20"/>
          <w:szCs w:val="20"/>
          <w:color w:val="auto"/>
        </w:rPr>
      </w:pPr>
    </w:p>
    <w:p>
      <w:pPr>
        <w:jc w:val="both"/>
        <w:ind w:left="2"/>
        <w:spacing w:after="0" w:line="299" w:lineRule="auto"/>
        <w:rPr>
          <w:sz w:val="20"/>
          <w:szCs w:val="20"/>
          <w:color w:val="auto"/>
        </w:rPr>
      </w:pPr>
      <w:r>
        <w:rPr>
          <w:rFonts w:ascii="Arial" w:cs="Arial" w:eastAsia="Arial" w:hAnsi="Arial"/>
          <w:sz w:val="11"/>
          <w:szCs w:val="11"/>
          <w:color w:val="auto"/>
        </w:rPr>
        <w:t>The holders of the Series B Preferred Stock, the Series m Preferred Stock, the Series m-1 Preferred Stock and the Series m-2 Preferred Stock shall be entitled to receive, after distributions to Series m-4 and Series S Preferred stockholders and prior and in preference to any distribution of any of the assets of the Company to the holders of the Series A Preferred Stock, Series m-3 Preferred Stock or Common Stock by reason of their ownership of such stock, an amount per share for each share of Series B Preferred Stock, the Series m Preferred Stock, the Series m-1 Preferred Stock and the Series m-2 Preferred Stock held by them equal to the greater of (A): the sum of (i) $2.0401 per share of Series B Preferred Stock, $3.00 per share of Series m Preferred Stock, $3.00 per share of Series m-1 Preferred Stock or $3.00 per share of Series m-2 Preferred Stock, as applicable, and (ii) all declared but unpaid dividends (if any) on such share of Series B Preferred Stock, Series m Preferred Stock, Series m-1 Preferred Stock or Series m-2 Preferred Stock, as applicable, or</w:t>
      </w:r>
    </w:p>
    <w:p>
      <w:pPr>
        <w:spacing w:after="0" w:line="2" w:lineRule="exact"/>
        <w:rPr>
          <w:sz w:val="20"/>
          <w:szCs w:val="20"/>
          <w:color w:val="auto"/>
        </w:rPr>
      </w:pPr>
    </w:p>
    <w:p>
      <w:pPr>
        <w:jc w:val="both"/>
        <w:ind w:left="2" w:hanging="2"/>
        <w:spacing w:after="0" w:line="253" w:lineRule="auto"/>
        <w:tabs>
          <w:tab w:leader="none" w:pos="211" w:val="left"/>
        </w:tabs>
        <w:numPr>
          <w:ilvl w:val="0"/>
          <w:numId w:val="45"/>
        </w:numPr>
        <w:rPr>
          <w:rFonts w:ascii="Arial" w:cs="Arial" w:eastAsia="Arial" w:hAnsi="Arial"/>
          <w:sz w:val="13"/>
          <w:szCs w:val="13"/>
          <w:color w:val="auto"/>
        </w:rPr>
      </w:pPr>
      <w:r>
        <w:rPr>
          <w:rFonts w:ascii="Arial" w:cs="Arial" w:eastAsia="Arial" w:hAnsi="Arial"/>
          <w:sz w:val="13"/>
          <w:szCs w:val="13"/>
          <w:color w:val="auto"/>
        </w:rPr>
        <w:t>the amount such Holder would receive if all shares of the applicable series of Preferred Stock were converted to Common Stock immediately prior to such Liquidation Event, or (C) such lesser amount as may be approved by the holders of the majority of the outstanding shares of Series B Preferred Stock, Series m Preferred Stock, Series m-1 Preferred Stock and Series m-2 Preferred Stock, voting together as a single class. If upon the Liquidation Event, the assets of the Company legally available for distribution to the holders of the Series B Preferred Stock, the Series m Preferred Stock, the Series m-1 Preferred Stock and the Series m-2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B Preferred Stock, the Series m Preferred Stock, the Series m-1 Preferred Stock and the Series m-2 Preferred Stock in proportion to the full amounts they would otherwise be entitled to receive.</w:t>
      </w:r>
    </w:p>
    <w:p>
      <w:pPr>
        <w:spacing w:after="0" w:line="142" w:lineRule="exact"/>
        <w:rPr>
          <w:sz w:val="20"/>
          <w:szCs w:val="20"/>
          <w:color w:val="auto"/>
        </w:rPr>
      </w:pPr>
    </w:p>
    <w:p>
      <w:pPr>
        <w:jc w:val="both"/>
        <w:ind w:left="2"/>
        <w:spacing w:after="0" w:line="279" w:lineRule="auto"/>
        <w:rPr>
          <w:sz w:val="20"/>
          <w:szCs w:val="20"/>
          <w:color w:val="auto"/>
        </w:rPr>
      </w:pPr>
      <w:r>
        <w:rPr>
          <w:rFonts w:ascii="Arial" w:cs="Arial" w:eastAsia="Arial" w:hAnsi="Arial"/>
          <w:sz w:val="12"/>
          <w:szCs w:val="12"/>
          <w:color w:val="auto"/>
        </w:rPr>
        <w:t>The holders of Series A Preferred Stock are entitled to receive, after distributions to Series m-4, Series S, Series B, Series m, Series m-1 and Series m-2 Preferred Stock and prior and in preference to any distribution of any of the assets of the Company to the holders of Common Stock or Series m-3 Preferred Stock by reason of their ownership of such stock, an amount per share for each share of Series A Preferred Stock held by them equal to the greater of: (A) the sum of (i) $0.8932 per share of Series A Preferred Stock and (ii) all declared but unpaid dividends (if any) on such share of Series A Preferred Stock, or (B) the amount such Holder would receive if all shares of Series A Preferred Stock were converted to Common Stock immediately prior to such Liquidation Event, or (C) such lesser amount as may be approved by the holders of the majority of the outstanding shares of Series A Preferred Stock. If upon a Liquidation Event, the assets of the Company legally available for distribution to the holders of the Series A Preferred Stock are insufficient to permit the payment to such holders of the full amounts specified in our amended and restated certificate of incorporation, then the entire assets of the Company legally available for distribution shall be distributed with equal priority and pro rata among the holders of the Series A Preferred Stock in proportion to the full amounts they would otherwise be entitled to receive.</w:t>
      </w:r>
    </w:p>
    <w:p>
      <w:pPr>
        <w:spacing w:after="0" w:line="128" w:lineRule="exact"/>
        <w:rPr>
          <w:sz w:val="20"/>
          <w:szCs w:val="20"/>
          <w:color w:val="auto"/>
        </w:rPr>
      </w:pPr>
    </w:p>
    <w:p>
      <w:pPr>
        <w:jc w:val="both"/>
        <w:ind w:left="2"/>
        <w:spacing w:after="0" w:line="279" w:lineRule="auto"/>
        <w:rPr>
          <w:sz w:val="20"/>
          <w:szCs w:val="20"/>
          <w:color w:val="auto"/>
        </w:rPr>
      </w:pPr>
      <w:r>
        <w:rPr>
          <w:rFonts w:ascii="Arial" w:cs="Arial" w:eastAsia="Arial" w:hAnsi="Arial"/>
          <w:sz w:val="12"/>
          <w:szCs w:val="12"/>
          <w:color w:val="auto"/>
        </w:rPr>
        <w:t>The holders of Series m-3 Preferred Stock are entitled to receive, after distributions to Series m-4, Series S, Series B, Series m, Series m-1 and Series m-2, and Series A Preferred Stock and prior and in preference to any distribution of any of the assets of the Company to the holders of Common Stock by reason of their ownership of such stock, an amount per share for each share of Series m-3 Preferred Stock held by them equal to the greater of (A): the sum of (i) the $3.50 per share of Series m-3 Preferred Stock and (ii) all declared but unpaid dividends (if any) on such share of Series m-3 Preferred Stock, or (B) the amount such Holder would receive if all shares of Series m-3 Preferred Stock were converted to Common Stock immediately prior to such Liquidation Event, or (C) such lesser amount as may be approved by the holders of the majority of the outstanding shares of Series m-3 Preferred Stock. If upon a Liquidation Event, the assets of the Company legally available for distribution to the holders of the Series m-3 Preferred Stock are insufficient to permit the payment to such holders of the full amounts specified in our amended and restated certificate of incorporation, then the entire assets of the Corporation legally available for distribution shall be distributed with equal priority and pro rata among the holders of the Series m-3 Preferred Stock in proportion to the full amounts they would otherwise be entitled to receive.</w:t>
      </w:r>
    </w:p>
    <w:p>
      <w:pPr>
        <w:spacing w:after="0" w:line="128" w:lineRule="exact"/>
        <w:rPr>
          <w:sz w:val="20"/>
          <w:szCs w:val="20"/>
          <w:color w:val="auto"/>
        </w:rPr>
      </w:pPr>
    </w:p>
    <w:p>
      <w:pPr>
        <w:jc w:val="both"/>
        <w:ind w:left="2"/>
        <w:spacing w:after="0" w:line="258" w:lineRule="auto"/>
        <w:rPr>
          <w:sz w:val="20"/>
          <w:szCs w:val="20"/>
          <w:color w:val="auto"/>
        </w:rPr>
      </w:pPr>
      <w:r>
        <w:rPr>
          <w:rFonts w:ascii="Arial" w:cs="Arial" w:eastAsia="Arial" w:hAnsi="Arial"/>
          <w:sz w:val="13"/>
          <w:szCs w:val="13"/>
          <w:color w:val="auto"/>
        </w:rPr>
        <w:t>After payment of all liquidation preferences to the holders of the Preferred Stock, as outlined below, all remaining assets of the Company legally available for distribution shall be distributed pro rata to the holders of the common stock, without any participation in such liquidation by the Preferred Stock. Our amended and restated certificate of incorporation explicitly requires that before any shares of Preferred Stock are converted into common stock, the relevant holder’s right to liquidation preference be surrendered, in order to prevent treatment of shares as both Preferred Stock and common stock for the purpose of distributions of assets upon a Liquidation Event.</w:t>
      </w:r>
    </w:p>
    <w:p>
      <w:pPr>
        <w:spacing w:after="0" w:line="296" w:lineRule="exact"/>
        <w:rPr>
          <w:sz w:val="20"/>
          <w:szCs w:val="20"/>
          <w:color w:val="auto"/>
        </w:rPr>
      </w:pPr>
    </w:p>
    <w:p>
      <w:pPr>
        <w:jc w:val="center"/>
        <w:ind w:right="-1"/>
        <w:spacing w:after="0"/>
        <w:rPr>
          <w:sz w:val="20"/>
          <w:szCs w:val="20"/>
          <w:color w:val="auto"/>
        </w:rPr>
      </w:pPr>
      <w:r>
        <w:rPr>
          <w:rFonts w:ascii="Arial" w:cs="Arial" w:eastAsia="Arial" w:hAnsi="Arial"/>
          <w:sz w:val="13"/>
          <w:szCs w:val="13"/>
          <w:color w:val="auto"/>
        </w:rPr>
        <w:t>F-46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10160</wp:posOffset>
            </wp:positionV>
            <wp:extent cx="7170420" cy="635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9">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2"/>
          </w:cols>
          <w:pgMar w:left="298" w:top="694" w:right="319" w:bottom="1440" w:gutter="0" w:footer="0" w:header="0"/>
        </w:sectPr>
      </w:pPr>
    </w:p>
    <w:bookmarkStart w:id="108" w:name="page109"/>
    <w:bookmarkEnd w:id="108"/>
    <w:p>
      <w:pPr>
        <w:spacing w:after="0"/>
        <w:rPr>
          <w:sz w:val="20"/>
          <w:szCs w:val="20"/>
          <w:color w:val="auto"/>
        </w:rPr>
      </w:pPr>
      <w:r>
        <w:rPr>
          <w:rFonts w:ascii="Arial" w:cs="Arial" w:eastAsia="Arial" w:hAnsi="Arial"/>
          <w:sz w:val="13"/>
          <w:szCs w:val="13"/>
          <w:b w:val="1"/>
          <w:bCs w:val="1"/>
          <w:color w:val="auto"/>
        </w:rPr>
        <w:t>NOTE 6: Capital Stock and Warrants (Continued)</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Preemptive Rights</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 has granted one investor in its Series m Preferred Stock financing the right to invest up to their pro rata share on a fully-diluted basis in the offerings of securities of the Company. The combined pro-rata rights of such stockholder as of June 30, 2021 is less than 1% of the fully-diluted capitalization of the Company.</w:t>
      </w:r>
    </w:p>
    <w:p>
      <w:pPr>
        <w:spacing w:after="0" w:line="124" w:lineRule="exact"/>
        <w:rPr>
          <w:sz w:val="20"/>
          <w:szCs w:val="20"/>
          <w:color w:val="auto"/>
        </w:rPr>
      </w:pPr>
    </w:p>
    <w:p>
      <w:pPr>
        <w:spacing w:after="0"/>
        <w:rPr>
          <w:sz w:val="20"/>
          <w:szCs w:val="20"/>
          <w:color w:val="auto"/>
        </w:rPr>
      </w:pPr>
      <w:r>
        <w:rPr>
          <w:rFonts w:ascii="Arial" w:cs="Arial" w:eastAsia="Arial" w:hAnsi="Arial"/>
          <w:sz w:val="13"/>
          <w:szCs w:val="13"/>
          <w:b w:val="1"/>
          <w:bCs w:val="1"/>
          <w:u w:val="single" w:color="auto"/>
          <w:color w:val="auto"/>
        </w:rPr>
        <w:t>Common Stock</w:t>
      </w:r>
    </w:p>
    <w:p>
      <w:pPr>
        <w:spacing w:after="0" w:line="167"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Each share of Class B Common Stock is convertible into one fully paid and non-assessable share of Class A Common Stock at the option of the holder at any time. Each share of Class B Common Stock will automatically convert into one fully paid and non-assessable share of Class A Common Stock upon the sale, assignment, transfer or disposition of the share or any interest in the share, except for certain permitted transfers to related persons.</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u w:val="single" w:color="auto"/>
          <w:color w:val="auto"/>
        </w:rPr>
        <w:t>Warrants</w:t>
      </w:r>
    </w:p>
    <w:p>
      <w:pPr>
        <w:spacing w:after="0" w:line="167" w:lineRule="exact"/>
        <w:rPr>
          <w:sz w:val="20"/>
          <w:szCs w:val="20"/>
          <w:color w:val="auto"/>
        </w:rPr>
      </w:pPr>
    </w:p>
    <w:p>
      <w:pPr>
        <w:jc w:val="both"/>
        <w:spacing w:after="0" w:line="277" w:lineRule="auto"/>
        <w:rPr>
          <w:sz w:val="20"/>
          <w:szCs w:val="20"/>
          <w:color w:val="auto"/>
        </w:rPr>
      </w:pPr>
      <w:r>
        <w:rPr>
          <w:rFonts w:ascii="Arial" w:cs="Arial" w:eastAsia="Arial" w:hAnsi="Arial"/>
          <w:sz w:val="12"/>
          <w:szCs w:val="12"/>
          <w:color w:val="auto"/>
        </w:rPr>
        <w:t>On April 30, 2019, the Company signed a Note and Warrant Purchase Agreement under the form of which the Company can issue up to $15,000,000 of convertible promissory notes and warrants to purchase up to 3,000,000 shares of Series S Preferred Stock (20% warrant coverage) (the “Convertible Note Financing”). Pursuant to the terms of the Convertible Note Financing, the Company became obligated to exchange its outstanding shares of Series m-3 Preferred Stock for the newly authorized shares of Series m-4 Preferred stock upon the closing of at least $1,000,000 in aggregate principal amount of convertible promissory notes under the Convertible Note Financing. Warrants to purchase shares of Series S Preferred Stock of the Company were also issued to investors who invested in the Convertible Note Financing. The warrants to purchase shares of Series S Preferred Stock have an exercise price of $4.50 per share and expire on the earlier of December 31, 2021 or 18 months after the closing of the Company’s first firm commitment underwritten initial public offering of the Company’s common stock pursuant to a registration statement filed under the Securities Act. As of December 31, 2020, the Company had issued and accrued warrants to purchase up to 1,025,714 shares of Series S Preferred Stock. These warrants issued qualify as liability instruments as the warrants are exercisable into Series S Preferred Stock which are redeemable upon a change of control or any liquidation or winding up of the Company whether voluntary or involuntary. The warrants have been classified as a current liability on the Company's balance sheets and were recorded as a component of the issuance costs related to Convertible Note. The Series S warrant is valued at market at the end of every reporting period until the warrant is exercised or expires with the change in fair value being recorded in other income(expense) on the Company’s statements of operations.</w:t>
      </w:r>
    </w:p>
    <w:p>
      <w:pPr>
        <w:spacing w:after="0" w:line="128" w:lineRule="exact"/>
        <w:rPr>
          <w:sz w:val="20"/>
          <w:szCs w:val="20"/>
          <w:color w:val="auto"/>
        </w:rPr>
      </w:pPr>
    </w:p>
    <w:p>
      <w:pPr>
        <w:jc w:val="both"/>
        <w:spacing w:after="0" w:line="317" w:lineRule="auto"/>
        <w:rPr>
          <w:sz w:val="20"/>
          <w:szCs w:val="20"/>
          <w:color w:val="auto"/>
        </w:rPr>
      </w:pPr>
      <w:r>
        <w:rPr>
          <w:rFonts w:ascii="Arial" w:cs="Arial" w:eastAsia="Arial" w:hAnsi="Arial"/>
          <w:sz w:val="12"/>
          <w:szCs w:val="12"/>
          <w:color w:val="auto"/>
        </w:rPr>
        <w:t>Pursuant to the terms of the Convertible Note Financing, the Company became obligated to exchange certain of its outstanding shares of Series m-3 Preferred Stock for the newly authorized shares of Series m-4 Preferred Stock. On June 10, 2019, the Company issued 1,432,786 shares of its Series m-4 Preferred Stock in exchange for 1,432,786 shares of its shares of Series m-3 Preferred Stock.</w:t>
      </w:r>
    </w:p>
    <w:p>
      <w:pPr>
        <w:spacing w:after="0" w:line="105"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auto"/>
        </w:rPr>
        <w:t>On July 23, 2019, the Company issued a warrant to purchase 1,500,000 shares of its Series S Preferred Stock, (the “Warrant”), to Proud Productions LLC (“Proud”) pursuant to the terms of a Distribution Assignment and Warrant Purchase Agreement, dated as of July 22, 2019 (the “Purchase Agreement”). The Warrant is exercisable at $8.00 per share beginning July 24, 2021 and expiring on July 31, 2024. The Warrant was issued in connection with an upcoming television series to be produced by Proud featuring the Company’s products (the “Series”). Discussions have also involved other potential revenue streams and opportunities relating to the Series.</w:t>
      </w:r>
    </w:p>
    <w:p>
      <w:pPr>
        <w:spacing w:after="0" w:line="139" w:lineRule="exact"/>
        <w:rPr>
          <w:sz w:val="20"/>
          <w:szCs w:val="20"/>
          <w:color w:val="auto"/>
        </w:rPr>
      </w:pPr>
    </w:p>
    <w:p>
      <w:pPr>
        <w:spacing w:after="0"/>
        <w:rPr>
          <w:sz w:val="20"/>
          <w:szCs w:val="20"/>
          <w:color w:val="auto"/>
        </w:rPr>
      </w:pPr>
      <w:r>
        <w:rPr>
          <w:rFonts w:ascii="Arial" w:cs="Arial" w:eastAsia="Arial" w:hAnsi="Arial"/>
          <w:sz w:val="13"/>
          <w:szCs w:val="13"/>
          <w:color w:val="auto"/>
        </w:rPr>
        <w:t>A summary of the Company’s outstanding warrants as of June 30, 2021 is as follows:</w:t>
      </w:r>
    </w:p>
    <w:p>
      <w:pPr>
        <w:spacing w:after="0" w:line="173" w:lineRule="exact"/>
        <w:rPr>
          <w:sz w:val="20"/>
          <w:szCs w:val="20"/>
          <w:color w:val="auto"/>
        </w:rPr>
      </w:pPr>
    </w:p>
    <w:tbl>
      <w:tblPr>
        <w:tblLayout w:type="fixed"/>
        <w:tblInd w:w="0" w:type="dxa"/>
        <w:tblCellMar>
          <w:top w:w="0" w:type="dxa"/>
          <w:left w:w="0" w:type="dxa"/>
          <w:bottom w:w="0" w:type="dxa"/>
          <w:right w:w="0" w:type="dxa"/>
        </w:tblCellMar>
      </w:tblPr>
      <w:tr>
        <w:trPr>
          <w:trHeight w:val="165"/>
        </w:trPr>
        <w:tc>
          <w:tcPr>
            <w:tcW w:w="2840" w:type="dxa"/>
            <w:vAlign w:val="bottom"/>
            <w:gridSpan w:val="2"/>
          </w:tcPr>
          <w:p>
            <w:pPr>
              <w:spacing w:after="0"/>
              <w:rPr>
                <w:sz w:val="20"/>
                <w:szCs w:val="20"/>
                <w:color w:val="auto"/>
              </w:rPr>
            </w:pPr>
            <w:r>
              <w:rPr>
                <w:rFonts w:ascii="Arial" w:cs="Arial" w:eastAsia="Arial" w:hAnsi="Arial"/>
                <w:sz w:val="13"/>
                <w:szCs w:val="13"/>
                <w:color w:val="auto"/>
              </w:rPr>
              <w:t>Number of warrants</w:t>
            </w:r>
          </w:p>
        </w:tc>
        <w:tc>
          <w:tcPr>
            <w:tcW w:w="120" w:type="dxa"/>
            <w:vAlign w:val="bottom"/>
          </w:tcPr>
          <w:p>
            <w:pPr>
              <w:spacing w:after="0"/>
              <w:rPr>
                <w:sz w:val="14"/>
                <w:szCs w:val="14"/>
                <w:color w:val="auto"/>
              </w:rPr>
            </w:pPr>
          </w:p>
        </w:tc>
        <w:tc>
          <w:tcPr>
            <w:tcW w:w="2160" w:type="dxa"/>
            <w:vAlign w:val="bottom"/>
          </w:tcPr>
          <w:p>
            <w:pPr>
              <w:ind w:left="960"/>
              <w:spacing w:after="0"/>
              <w:rPr>
                <w:sz w:val="20"/>
                <w:szCs w:val="20"/>
                <w:color w:val="auto"/>
              </w:rPr>
            </w:pPr>
            <w:r>
              <w:rPr>
                <w:rFonts w:ascii="Arial" w:cs="Arial" w:eastAsia="Arial" w:hAnsi="Arial"/>
                <w:sz w:val="13"/>
                <w:szCs w:val="13"/>
                <w:color w:val="auto"/>
              </w:rPr>
              <w:t>Class of shares</w:t>
            </w:r>
          </w:p>
        </w:tc>
        <w:tc>
          <w:tcPr>
            <w:tcW w:w="54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500" w:type="dxa"/>
            <w:vAlign w:val="bottom"/>
          </w:tcPr>
          <w:p>
            <w:pPr>
              <w:spacing w:after="0"/>
              <w:rPr>
                <w:sz w:val="14"/>
                <w:szCs w:val="14"/>
                <w:color w:val="auto"/>
              </w:rPr>
            </w:pPr>
          </w:p>
        </w:tc>
        <w:tc>
          <w:tcPr>
            <w:tcW w:w="2300" w:type="dxa"/>
            <w:vAlign w:val="bottom"/>
            <w:gridSpan w:val="2"/>
          </w:tcPr>
          <w:p>
            <w:pPr>
              <w:ind w:left="420"/>
              <w:spacing w:after="0"/>
              <w:rPr>
                <w:sz w:val="20"/>
                <w:szCs w:val="20"/>
                <w:color w:val="auto"/>
              </w:rPr>
            </w:pPr>
            <w:r>
              <w:rPr>
                <w:rFonts w:ascii="Arial" w:cs="Arial" w:eastAsia="Arial" w:hAnsi="Arial"/>
                <w:sz w:val="13"/>
                <w:szCs w:val="13"/>
                <w:color w:val="auto"/>
              </w:rPr>
              <w:t>Exercise price</w:t>
            </w:r>
          </w:p>
        </w:tc>
        <w:tc>
          <w:tcPr>
            <w:tcW w:w="2700" w:type="dxa"/>
            <w:vAlign w:val="bottom"/>
          </w:tcPr>
          <w:p>
            <w:pPr>
              <w:ind w:left="960"/>
              <w:spacing w:after="0"/>
              <w:rPr>
                <w:sz w:val="20"/>
                <w:szCs w:val="20"/>
                <w:color w:val="auto"/>
              </w:rPr>
            </w:pPr>
            <w:r>
              <w:rPr>
                <w:rFonts w:ascii="Arial" w:cs="Arial" w:eastAsia="Arial" w:hAnsi="Arial"/>
                <w:sz w:val="13"/>
                <w:szCs w:val="13"/>
                <w:color w:val="auto"/>
              </w:rPr>
              <w:t>Expiration date</w:t>
            </w:r>
          </w:p>
        </w:tc>
      </w:tr>
      <w:tr>
        <w:trPr>
          <w:trHeight w:val="147"/>
        </w:trPr>
        <w:tc>
          <w:tcPr>
            <w:tcW w:w="272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44,500</w:t>
            </w:r>
          </w:p>
        </w:tc>
        <w:tc>
          <w:tcPr>
            <w:tcW w:w="120" w:type="dxa"/>
            <w:vAlign w:val="bottom"/>
            <w:tcBorders>
              <w:top w:val="single" w:sz="8" w:color="CCEEFF"/>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2160" w:type="dxa"/>
            <w:vAlign w:val="bottom"/>
            <w:tcBorders>
              <w:top w:val="single" w:sz="8" w:color="auto"/>
            </w:tcBorders>
            <w:shd w:val="clear" w:color="auto" w:fill="CCEEFF"/>
          </w:tcPr>
          <w:p>
            <w:pPr>
              <w:spacing w:after="0" w:line="147" w:lineRule="exact"/>
              <w:rPr>
                <w:sz w:val="20"/>
                <w:szCs w:val="20"/>
                <w:color w:val="auto"/>
              </w:rPr>
            </w:pPr>
            <w:r>
              <w:rPr>
                <w:rFonts w:ascii="Arial" w:cs="Arial" w:eastAsia="Arial" w:hAnsi="Arial"/>
                <w:sz w:val="13"/>
                <w:szCs w:val="13"/>
                <w:color w:val="auto"/>
              </w:rPr>
              <w:t>Common B</w:t>
            </w:r>
          </w:p>
        </w:tc>
        <w:tc>
          <w:tcPr>
            <w:tcW w:w="540" w:type="dxa"/>
            <w:vAlign w:val="bottom"/>
            <w:tcBorders>
              <w:top w:val="single" w:sz="8" w:color="auto"/>
            </w:tcBorders>
            <w:shd w:val="clear" w:color="auto" w:fill="CCEEFF"/>
          </w:tcPr>
          <w:p>
            <w:pPr>
              <w:spacing w:after="0"/>
              <w:rPr>
                <w:sz w:val="12"/>
                <w:szCs w:val="12"/>
                <w:color w:val="auto"/>
              </w:rPr>
            </w:pPr>
          </w:p>
        </w:tc>
        <w:tc>
          <w:tcPr>
            <w:tcW w:w="120" w:type="dxa"/>
            <w:vAlign w:val="bottom"/>
            <w:tcBorders>
              <w:top w:val="single" w:sz="8" w:color="CCEEFF"/>
            </w:tcBorders>
            <w:shd w:val="clear" w:color="auto" w:fill="CCEEFF"/>
          </w:tcPr>
          <w:p>
            <w:pPr>
              <w:spacing w:after="0"/>
              <w:rPr>
                <w:sz w:val="12"/>
                <w:szCs w:val="12"/>
                <w:color w:val="auto"/>
              </w:rPr>
            </w:pPr>
          </w:p>
        </w:tc>
        <w:tc>
          <w:tcPr>
            <w:tcW w:w="500" w:type="dxa"/>
            <w:vAlign w:val="bottom"/>
            <w:tcBorders>
              <w:top w:val="single" w:sz="8" w:color="auto"/>
            </w:tcBorders>
            <w:shd w:val="clear" w:color="auto" w:fill="CCEEFF"/>
          </w:tcPr>
          <w:p>
            <w:pPr>
              <w:jc w:val="right"/>
              <w:ind w:right="391"/>
              <w:spacing w:after="0"/>
              <w:rPr>
                <w:sz w:val="20"/>
                <w:szCs w:val="20"/>
                <w:color w:val="auto"/>
              </w:rPr>
            </w:pPr>
            <w:r>
              <w:rPr>
                <w:rFonts w:ascii="Arial" w:cs="Arial" w:eastAsia="Arial" w:hAnsi="Arial"/>
                <w:sz w:val="10"/>
                <w:szCs w:val="10"/>
                <w:color w:val="auto"/>
                <w:w w:val="71"/>
              </w:rPr>
              <w:t>$</w:t>
            </w:r>
          </w:p>
        </w:tc>
        <w:tc>
          <w:tcPr>
            <w:tcW w:w="2080" w:type="dxa"/>
            <w:vAlign w:val="bottom"/>
            <w:tcBorders>
              <w:top w:val="single" w:sz="8" w:color="auto"/>
            </w:tcBorders>
            <w:shd w:val="clear" w:color="auto" w:fill="CCEEFF"/>
          </w:tcPr>
          <w:p>
            <w:pPr>
              <w:ind w:left="1720"/>
              <w:spacing w:after="0" w:line="147" w:lineRule="exact"/>
              <w:rPr>
                <w:sz w:val="20"/>
                <w:szCs w:val="20"/>
                <w:color w:val="auto"/>
              </w:rPr>
            </w:pPr>
            <w:r>
              <w:rPr>
                <w:rFonts w:ascii="Arial" w:cs="Arial" w:eastAsia="Arial" w:hAnsi="Arial"/>
                <w:sz w:val="13"/>
                <w:szCs w:val="13"/>
                <w:color w:val="auto"/>
                <w:w w:val="85"/>
              </w:rPr>
              <w:t>0.2500</w:t>
            </w:r>
          </w:p>
        </w:tc>
        <w:tc>
          <w:tcPr>
            <w:tcW w:w="220" w:type="dxa"/>
            <w:vAlign w:val="bottom"/>
            <w:tcBorders>
              <w:top w:val="single" w:sz="8" w:color="CCEEFF"/>
            </w:tcBorders>
            <w:shd w:val="clear" w:color="auto" w:fill="CCEEFF"/>
          </w:tcPr>
          <w:p>
            <w:pPr>
              <w:spacing w:after="0"/>
              <w:rPr>
                <w:sz w:val="12"/>
                <w:szCs w:val="12"/>
                <w:color w:val="auto"/>
              </w:rPr>
            </w:pPr>
          </w:p>
        </w:tc>
        <w:tc>
          <w:tcPr>
            <w:tcW w:w="2700" w:type="dxa"/>
            <w:vAlign w:val="bottom"/>
            <w:tcBorders>
              <w:top w:val="single" w:sz="8" w:color="auto"/>
            </w:tcBorders>
            <w:shd w:val="clear" w:color="auto" w:fill="CCEEFF"/>
          </w:tcPr>
          <w:p>
            <w:pPr>
              <w:spacing w:after="0" w:line="147" w:lineRule="exact"/>
              <w:rPr>
                <w:sz w:val="20"/>
                <w:szCs w:val="20"/>
                <w:color w:val="auto"/>
              </w:rPr>
            </w:pPr>
            <w:r>
              <w:rPr>
                <w:rFonts w:ascii="Arial" w:cs="Arial" w:eastAsia="Arial" w:hAnsi="Arial"/>
                <w:sz w:val="13"/>
                <w:szCs w:val="13"/>
                <w:color w:val="auto"/>
              </w:rPr>
              <w:t>April 10, 2025</w:t>
            </w:r>
          </w:p>
        </w:tc>
      </w:tr>
      <w:tr>
        <w:trPr>
          <w:trHeight w:val="156"/>
        </w:trPr>
        <w:tc>
          <w:tcPr>
            <w:tcW w:w="2840" w:type="dxa"/>
            <w:vAlign w:val="bottom"/>
            <w:gridSpan w:val="2"/>
          </w:tcPr>
          <w:p>
            <w:pPr>
              <w:jc w:val="right"/>
              <w:ind w:right="120"/>
              <w:spacing w:after="0"/>
              <w:rPr>
                <w:sz w:val="20"/>
                <w:szCs w:val="20"/>
                <w:color w:val="auto"/>
              </w:rPr>
            </w:pPr>
            <w:r>
              <w:rPr>
                <w:rFonts w:ascii="Arial" w:cs="Arial" w:eastAsia="Arial" w:hAnsi="Arial"/>
                <w:sz w:val="13"/>
                <w:szCs w:val="13"/>
                <w:color w:val="auto"/>
              </w:rPr>
              <w:t>77,413</w:t>
            </w:r>
          </w:p>
        </w:tc>
        <w:tc>
          <w:tcPr>
            <w:tcW w:w="2280" w:type="dxa"/>
            <w:vAlign w:val="bottom"/>
            <w:gridSpan w:val="2"/>
          </w:tcPr>
          <w:p>
            <w:pPr>
              <w:ind w:left="120"/>
              <w:spacing w:after="0"/>
              <w:rPr>
                <w:sz w:val="20"/>
                <w:szCs w:val="20"/>
                <w:color w:val="auto"/>
              </w:rPr>
            </w:pPr>
            <w:r>
              <w:rPr>
                <w:rFonts w:ascii="Arial" w:cs="Arial" w:eastAsia="Arial" w:hAnsi="Arial"/>
                <w:sz w:val="13"/>
                <w:szCs w:val="13"/>
                <w:color w:val="auto"/>
              </w:rPr>
              <w:t>Common B</w:t>
            </w:r>
          </w:p>
        </w:tc>
        <w:tc>
          <w:tcPr>
            <w:tcW w:w="1160" w:type="dxa"/>
            <w:vAlign w:val="bottom"/>
            <w:gridSpan w:val="3"/>
          </w:tcPr>
          <w:p>
            <w:pPr>
              <w:jc w:val="right"/>
              <w:ind w:right="391"/>
              <w:spacing w:after="0"/>
              <w:rPr>
                <w:sz w:val="20"/>
                <w:szCs w:val="20"/>
                <w:color w:val="auto"/>
              </w:rPr>
            </w:pPr>
            <w:r>
              <w:rPr>
                <w:rFonts w:ascii="Arial" w:cs="Arial" w:eastAsia="Arial" w:hAnsi="Arial"/>
                <w:sz w:val="13"/>
                <w:szCs w:val="13"/>
                <w:color w:val="auto"/>
              </w:rPr>
              <w:t>$</w:t>
            </w:r>
          </w:p>
        </w:tc>
        <w:tc>
          <w:tcPr>
            <w:tcW w:w="2300" w:type="dxa"/>
            <w:vAlign w:val="bottom"/>
            <w:gridSpan w:val="2"/>
          </w:tcPr>
          <w:p>
            <w:pPr>
              <w:ind w:left="1720"/>
              <w:spacing w:after="0"/>
              <w:rPr>
                <w:sz w:val="20"/>
                <w:szCs w:val="20"/>
                <w:color w:val="auto"/>
              </w:rPr>
            </w:pPr>
            <w:r>
              <w:rPr>
                <w:rFonts w:ascii="Arial" w:cs="Arial" w:eastAsia="Arial" w:hAnsi="Arial"/>
                <w:sz w:val="13"/>
                <w:szCs w:val="13"/>
                <w:color w:val="auto"/>
              </w:rPr>
              <w:t>1.2600</w:t>
            </w:r>
          </w:p>
        </w:tc>
        <w:tc>
          <w:tcPr>
            <w:tcW w:w="2700" w:type="dxa"/>
            <w:vAlign w:val="bottom"/>
          </w:tcPr>
          <w:p>
            <w:pPr>
              <w:spacing w:after="0"/>
              <w:rPr>
                <w:sz w:val="20"/>
                <w:szCs w:val="20"/>
                <w:color w:val="auto"/>
              </w:rPr>
            </w:pPr>
            <w:r>
              <w:rPr>
                <w:rFonts w:ascii="Arial" w:cs="Arial" w:eastAsia="Arial" w:hAnsi="Arial"/>
                <w:sz w:val="13"/>
                <w:szCs w:val="13"/>
                <w:color w:val="auto"/>
              </w:rPr>
              <w:t>May 23, 2028</w:t>
            </w:r>
          </w:p>
        </w:tc>
      </w:tr>
      <w:tr>
        <w:trPr>
          <w:trHeight w:val="156"/>
        </w:trPr>
        <w:tc>
          <w:tcPr>
            <w:tcW w:w="2840" w:type="dxa"/>
            <w:vAlign w:val="bottom"/>
            <w:gridSpan w:val="2"/>
            <w:shd w:val="clear" w:color="auto" w:fill="CCEEFF"/>
          </w:tcPr>
          <w:p>
            <w:pPr>
              <w:jc w:val="right"/>
              <w:ind w:right="120"/>
              <w:spacing w:after="0"/>
              <w:rPr>
                <w:sz w:val="20"/>
                <w:szCs w:val="20"/>
                <w:color w:val="auto"/>
              </w:rPr>
            </w:pPr>
            <w:r>
              <w:rPr>
                <w:rFonts w:ascii="Arial" w:cs="Arial" w:eastAsia="Arial" w:hAnsi="Arial"/>
                <w:sz w:val="13"/>
                <w:szCs w:val="13"/>
                <w:color w:val="auto"/>
              </w:rPr>
              <w:t>53,918</w:t>
            </w:r>
          </w:p>
        </w:tc>
        <w:tc>
          <w:tcPr>
            <w:tcW w:w="2280" w:type="dxa"/>
            <w:vAlign w:val="bottom"/>
            <w:gridSpan w:val="2"/>
            <w:shd w:val="clear" w:color="auto" w:fill="CCEEFF"/>
          </w:tcPr>
          <w:p>
            <w:pPr>
              <w:ind w:left="120"/>
              <w:spacing w:after="0"/>
              <w:rPr>
                <w:sz w:val="20"/>
                <w:szCs w:val="20"/>
                <w:color w:val="auto"/>
              </w:rPr>
            </w:pPr>
            <w:r>
              <w:rPr>
                <w:rFonts w:ascii="Arial" w:cs="Arial" w:eastAsia="Arial" w:hAnsi="Arial"/>
                <w:sz w:val="13"/>
                <w:szCs w:val="13"/>
                <w:color w:val="auto"/>
              </w:rPr>
              <w:t>Series B Preferred Stock</w:t>
            </w:r>
          </w:p>
        </w:tc>
        <w:tc>
          <w:tcPr>
            <w:tcW w:w="1160" w:type="dxa"/>
            <w:vAlign w:val="bottom"/>
            <w:gridSpan w:val="3"/>
            <w:shd w:val="clear" w:color="auto" w:fill="CCEEFF"/>
          </w:tcPr>
          <w:p>
            <w:pPr>
              <w:jc w:val="right"/>
              <w:ind w:right="391"/>
              <w:spacing w:after="0"/>
              <w:rPr>
                <w:sz w:val="20"/>
                <w:szCs w:val="20"/>
                <w:color w:val="auto"/>
              </w:rPr>
            </w:pPr>
            <w:r>
              <w:rPr>
                <w:rFonts w:ascii="Arial" w:cs="Arial" w:eastAsia="Arial" w:hAnsi="Arial"/>
                <w:sz w:val="13"/>
                <w:szCs w:val="13"/>
                <w:color w:val="auto"/>
              </w:rPr>
              <w:t>$</w:t>
            </w:r>
          </w:p>
        </w:tc>
        <w:tc>
          <w:tcPr>
            <w:tcW w:w="2300" w:type="dxa"/>
            <w:vAlign w:val="bottom"/>
            <w:gridSpan w:val="2"/>
            <w:shd w:val="clear" w:color="auto" w:fill="CCEEFF"/>
          </w:tcPr>
          <w:p>
            <w:pPr>
              <w:ind w:left="1720"/>
              <w:spacing w:after="0"/>
              <w:rPr>
                <w:sz w:val="20"/>
                <w:szCs w:val="20"/>
                <w:color w:val="auto"/>
              </w:rPr>
            </w:pPr>
            <w:r>
              <w:rPr>
                <w:rFonts w:ascii="Arial" w:cs="Arial" w:eastAsia="Arial" w:hAnsi="Arial"/>
                <w:sz w:val="13"/>
                <w:szCs w:val="13"/>
                <w:color w:val="auto"/>
              </w:rPr>
              <w:t>2.0401</w:t>
            </w:r>
          </w:p>
        </w:tc>
        <w:tc>
          <w:tcPr>
            <w:tcW w:w="2700" w:type="dxa"/>
            <w:vAlign w:val="bottom"/>
            <w:shd w:val="clear" w:color="auto" w:fill="CCEEFF"/>
          </w:tcPr>
          <w:p>
            <w:pPr>
              <w:spacing w:after="0"/>
              <w:rPr>
                <w:sz w:val="20"/>
                <w:szCs w:val="20"/>
                <w:color w:val="auto"/>
              </w:rPr>
            </w:pPr>
            <w:r>
              <w:rPr>
                <w:rFonts w:ascii="Arial" w:cs="Arial" w:eastAsia="Arial" w:hAnsi="Arial"/>
                <w:sz w:val="13"/>
                <w:szCs w:val="13"/>
                <w:color w:val="auto"/>
              </w:rPr>
              <w:t>November 7, 2026</w:t>
            </w:r>
          </w:p>
        </w:tc>
      </w:tr>
      <w:tr>
        <w:trPr>
          <w:trHeight w:val="156"/>
        </w:trPr>
        <w:tc>
          <w:tcPr>
            <w:tcW w:w="2720" w:type="dxa"/>
            <w:vAlign w:val="bottom"/>
          </w:tcPr>
          <w:p>
            <w:pPr>
              <w:jc w:val="right"/>
              <w:spacing w:after="0"/>
              <w:rPr>
                <w:sz w:val="20"/>
                <w:szCs w:val="20"/>
                <w:color w:val="auto"/>
              </w:rPr>
            </w:pPr>
            <w:r>
              <w:rPr>
                <w:rFonts w:ascii="Arial" w:cs="Arial" w:eastAsia="Arial" w:hAnsi="Arial"/>
                <w:sz w:val="13"/>
                <w:szCs w:val="13"/>
                <w:color w:val="auto"/>
              </w:rPr>
              <w:t>266,961</w:t>
            </w:r>
          </w:p>
        </w:tc>
        <w:tc>
          <w:tcPr>
            <w:tcW w:w="120" w:type="dxa"/>
            <w:vAlign w:val="bottom"/>
          </w:tcPr>
          <w:p>
            <w:pPr>
              <w:spacing w:after="0"/>
              <w:rPr>
                <w:sz w:val="13"/>
                <w:szCs w:val="13"/>
                <w:color w:val="auto"/>
              </w:rPr>
            </w:pPr>
          </w:p>
        </w:tc>
        <w:tc>
          <w:tcPr>
            <w:tcW w:w="2280" w:type="dxa"/>
            <w:vAlign w:val="bottom"/>
            <w:gridSpan w:val="2"/>
          </w:tcPr>
          <w:p>
            <w:pPr>
              <w:ind w:left="120"/>
              <w:spacing w:after="0"/>
              <w:rPr>
                <w:sz w:val="20"/>
                <w:szCs w:val="20"/>
                <w:color w:val="auto"/>
              </w:rPr>
            </w:pPr>
            <w:r>
              <w:rPr>
                <w:rFonts w:ascii="Arial" w:cs="Arial" w:eastAsia="Arial" w:hAnsi="Arial"/>
                <w:sz w:val="13"/>
                <w:szCs w:val="13"/>
                <w:color w:val="auto"/>
              </w:rPr>
              <w:t>Series m-1Preferred Stock</w:t>
            </w:r>
          </w:p>
        </w:tc>
        <w:tc>
          <w:tcPr>
            <w:tcW w:w="1160" w:type="dxa"/>
            <w:vAlign w:val="bottom"/>
            <w:gridSpan w:val="3"/>
          </w:tcPr>
          <w:p>
            <w:pPr>
              <w:jc w:val="right"/>
              <w:ind w:right="391"/>
              <w:spacing w:after="0"/>
              <w:rPr>
                <w:sz w:val="20"/>
                <w:szCs w:val="20"/>
                <w:color w:val="auto"/>
              </w:rPr>
            </w:pPr>
            <w:r>
              <w:rPr>
                <w:rFonts w:ascii="Arial" w:cs="Arial" w:eastAsia="Arial" w:hAnsi="Arial"/>
                <w:sz w:val="13"/>
                <w:szCs w:val="13"/>
                <w:color w:val="auto"/>
              </w:rPr>
              <w:t>$</w:t>
            </w:r>
          </w:p>
        </w:tc>
        <w:tc>
          <w:tcPr>
            <w:tcW w:w="2300" w:type="dxa"/>
            <w:vAlign w:val="bottom"/>
            <w:gridSpan w:val="2"/>
          </w:tcPr>
          <w:p>
            <w:pPr>
              <w:ind w:left="1720"/>
              <w:spacing w:after="0"/>
              <w:rPr>
                <w:sz w:val="20"/>
                <w:szCs w:val="20"/>
                <w:color w:val="auto"/>
              </w:rPr>
            </w:pPr>
            <w:r>
              <w:rPr>
                <w:rFonts w:ascii="Arial" w:cs="Arial" w:eastAsia="Arial" w:hAnsi="Arial"/>
                <w:sz w:val="13"/>
                <w:szCs w:val="13"/>
                <w:color w:val="auto"/>
              </w:rPr>
              <w:t>3.0000</w:t>
            </w:r>
          </w:p>
        </w:tc>
        <w:tc>
          <w:tcPr>
            <w:tcW w:w="2700" w:type="dxa"/>
            <w:vAlign w:val="bottom"/>
          </w:tcPr>
          <w:p>
            <w:pPr>
              <w:spacing w:after="0"/>
              <w:rPr>
                <w:sz w:val="20"/>
                <w:szCs w:val="20"/>
                <w:color w:val="auto"/>
              </w:rPr>
            </w:pPr>
            <w:r>
              <w:rPr>
                <w:rFonts w:ascii="Arial" w:cs="Arial" w:eastAsia="Arial" w:hAnsi="Arial"/>
                <w:sz w:val="13"/>
                <w:szCs w:val="13"/>
                <w:color w:val="auto"/>
              </w:rPr>
              <w:t>December 23, 2021</w:t>
            </w:r>
          </w:p>
        </w:tc>
      </w:tr>
      <w:tr>
        <w:trPr>
          <w:trHeight w:val="156"/>
        </w:trPr>
        <w:tc>
          <w:tcPr>
            <w:tcW w:w="27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1,432,786</w:t>
            </w:r>
          </w:p>
        </w:tc>
        <w:tc>
          <w:tcPr>
            <w:tcW w:w="120" w:type="dxa"/>
            <w:vAlign w:val="bottom"/>
            <w:shd w:val="clear" w:color="auto" w:fill="CCEEFF"/>
          </w:tcPr>
          <w:p>
            <w:pPr>
              <w:spacing w:after="0"/>
              <w:rPr>
                <w:sz w:val="13"/>
                <w:szCs w:val="13"/>
                <w:color w:val="auto"/>
              </w:rPr>
            </w:pPr>
          </w:p>
        </w:tc>
        <w:tc>
          <w:tcPr>
            <w:tcW w:w="2280" w:type="dxa"/>
            <w:vAlign w:val="bottom"/>
            <w:gridSpan w:val="2"/>
            <w:shd w:val="clear" w:color="auto" w:fill="CCEEFF"/>
          </w:tcPr>
          <w:p>
            <w:pPr>
              <w:ind w:left="120"/>
              <w:spacing w:after="0"/>
              <w:rPr>
                <w:sz w:val="20"/>
                <w:szCs w:val="20"/>
                <w:color w:val="auto"/>
              </w:rPr>
            </w:pPr>
            <w:r>
              <w:rPr>
                <w:rFonts w:ascii="Arial" w:cs="Arial" w:eastAsia="Arial" w:hAnsi="Arial"/>
                <w:sz w:val="13"/>
                <w:szCs w:val="13"/>
                <w:color w:val="auto"/>
              </w:rPr>
              <w:t>Series m-3 Preferred Stock</w:t>
            </w:r>
          </w:p>
        </w:tc>
        <w:tc>
          <w:tcPr>
            <w:tcW w:w="1160" w:type="dxa"/>
            <w:vAlign w:val="bottom"/>
            <w:gridSpan w:val="3"/>
            <w:shd w:val="clear" w:color="auto" w:fill="CCEEFF"/>
          </w:tcPr>
          <w:p>
            <w:pPr>
              <w:jc w:val="right"/>
              <w:ind w:right="391"/>
              <w:spacing w:after="0"/>
              <w:rPr>
                <w:sz w:val="20"/>
                <w:szCs w:val="20"/>
                <w:color w:val="auto"/>
              </w:rPr>
            </w:pPr>
            <w:r>
              <w:rPr>
                <w:rFonts w:ascii="Arial" w:cs="Arial" w:eastAsia="Arial" w:hAnsi="Arial"/>
                <w:sz w:val="13"/>
                <w:szCs w:val="13"/>
                <w:color w:val="auto"/>
              </w:rPr>
              <w:t>$</w:t>
            </w:r>
          </w:p>
        </w:tc>
        <w:tc>
          <w:tcPr>
            <w:tcW w:w="2300" w:type="dxa"/>
            <w:vAlign w:val="bottom"/>
            <w:gridSpan w:val="2"/>
            <w:shd w:val="clear" w:color="auto" w:fill="CCEEFF"/>
          </w:tcPr>
          <w:p>
            <w:pPr>
              <w:ind w:left="1720"/>
              <w:spacing w:after="0"/>
              <w:rPr>
                <w:sz w:val="20"/>
                <w:szCs w:val="20"/>
                <w:color w:val="auto"/>
              </w:rPr>
            </w:pPr>
            <w:r>
              <w:rPr>
                <w:rFonts w:ascii="Arial" w:cs="Arial" w:eastAsia="Arial" w:hAnsi="Arial"/>
                <w:sz w:val="13"/>
                <w:szCs w:val="13"/>
                <w:color w:val="auto"/>
              </w:rPr>
              <w:t>4.0000</w:t>
            </w:r>
          </w:p>
        </w:tc>
        <w:tc>
          <w:tcPr>
            <w:tcW w:w="2700" w:type="dxa"/>
            <w:vAlign w:val="bottom"/>
            <w:shd w:val="clear" w:color="auto" w:fill="CCEEFF"/>
          </w:tcPr>
          <w:p>
            <w:pPr>
              <w:spacing w:after="0"/>
              <w:rPr>
                <w:sz w:val="20"/>
                <w:szCs w:val="20"/>
                <w:color w:val="auto"/>
              </w:rPr>
            </w:pPr>
            <w:r>
              <w:rPr>
                <w:rFonts w:ascii="Arial" w:cs="Arial" w:eastAsia="Arial" w:hAnsi="Arial"/>
                <w:sz w:val="13"/>
                <w:szCs w:val="13"/>
                <w:color w:val="auto"/>
              </w:rPr>
              <w:t>December 31, 2021</w:t>
            </w:r>
          </w:p>
        </w:tc>
      </w:tr>
      <w:tr>
        <w:trPr>
          <w:trHeight w:val="156"/>
        </w:trPr>
        <w:tc>
          <w:tcPr>
            <w:tcW w:w="2720" w:type="dxa"/>
            <w:vAlign w:val="bottom"/>
          </w:tcPr>
          <w:p>
            <w:pPr>
              <w:jc w:val="right"/>
              <w:spacing w:after="0"/>
              <w:rPr>
                <w:sz w:val="20"/>
                <w:szCs w:val="20"/>
                <w:color w:val="auto"/>
              </w:rPr>
            </w:pPr>
            <w:r>
              <w:rPr>
                <w:rFonts w:ascii="Arial" w:cs="Arial" w:eastAsia="Arial" w:hAnsi="Arial"/>
                <w:sz w:val="13"/>
                <w:szCs w:val="13"/>
                <w:color w:val="auto"/>
              </w:rPr>
              <w:t>1,025,714</w:t>
            </w:r>
          </w:p>
        </w:tc>
        <w:tc>
          <w:tcPr>
            <w:tcW w:w="120" w:type="dxa"/>
            <w:vAlign w:val="bottom"/>
          </w:tcPr>
          <w:p>
            <w:pPr>
              <w:spacing w:after="0"/>
              <w:rPr>
                <w:sz w:val="13"/>
                <w:szCs w:val="13"/>
                <w:color w:val="auto"/>
              </w:rPr>
            </w:pPr>
          </w:p>
        </w:tc>
        <w:tc>
          <w:tcPr>
            <w:tcW w:w="2280" w:type="dxa"/>
            <w:vAlign w:val="bottom"/>
            <w:gridSpan w:val="2"/>
          </w:tcPr>
          <w:p>
            <w:pPr>
              <w:ind w:left="120"/>
              <w:spacing w:after="0"/>
              <w:rPr>
                <w:sz w:val="20"/>
                <w:szCs w:val="20"/>
                <w:color w:val="auto"/>
              </w:rPr>
            </w:pPr>
            <w:r>
              <w:rPr>
                <w:rFonts w:ascii="Arial" w:cs="Arial" w:eastAsia="Arial" w:hAnsi="Arial"/>
                <w:sz w:val="13"/>
                <w:szCs w:val="13"/>
                <w:color w:val="auto"/>
              </w:rPr>
              <w:t>Series S Preferred Stock</w:t>
            </w:r>
          </w:p>
        </w:tc>
        <w:tc>
          <w:tcPr>
            <w:tcW w:w="1160" w:type="dxa"/>
            <w:vAlign w:val="bottom"/>
            <w:gridSpan w:val="3"/>
          </w:tcPr>
          <w:p>
            <w:pPr>
              <w:jc w:val="right"/>
              <w:ind w:right="391"/>
              <w:spacing w:after="0"/>
              <w:rPr>
                <w:sz w:val="20"/>
                <w:szCs w:val="20"/>
                <w:color w:val="auto"/>
              </w:rPr>
            </w:pPr>
            <w:r>
              <w:rPr>
                <w:rFonts w:ascii="Arial" w:cs="Arial" w:eastAsia="Arial" w:hAnsi="Arial"/>
                <w:sz w:val="13"/>
                <w:szCs w:val="13"/>
                <w:color w:val="auto"/>
              </w:rPr>
              <w:t>$</w:t>
            </w:r>
          </w:p>
        </w:tc>
        <w:tc>
          <w:tcPr>
            <w:tcW w:w="2300" w:type="dxa"/>
            <w:vAlign w:val="bottom"/>
            <w:gridSpan w:val="2"/>
          </w:tcPr>
          <w:p>
            <w:pPr>
              <w:ind w:left="1720"/>
              <w:spacing w:after="0"/>
              <w:rPr>
                <w:sz w:val="20"/>
                <w:szCs w:val="20"/>
                <w:color w:val="auto"/>
              </w:rPr>
            </w:pPr>
            <w:r>
              <w:rPr>
                <w:rFonts w:ascii="Arial" w:cs="Arial" w:eastAsia="Arial" w:hAnsi="Arial"/>
                <w:sz w:val="13"/>
                <w:szCs w:val="13"/>
                <w:color w:val="auto"/>
              </w:rPr>
              <w:t>4.5000</w:t>
            </w:r>
          </w:p>
        </w:tc>
        <w:tc>
          <w:tcPr>
            <w:tcW w:w="2700" w:type="dxa"/>
            <w:vAlign w:val="bottom"/>
          </w:tcPr>
          <w:p>
            <w:pPr>
              <w:spacing w:after="0"/>
              <w:rPr>
                <w:sz w:val="20"/>
                <w:szCs w:val="20"/>
                <w:color w:val="auto"/>
              </w:rPr>
            </w:pPr>
            <w:r>
              <w:rPr>
                <w:rFonts w:ascii="Arial" w:cs="Arial" w:eastAsia="Arial" w:hAnsi="Arial"/>
                <w:sz w:val="13"/>
                <w:szCs w:val="13"/>
                <w:color w:val="auto"/>
              </w:rPr>
              <w:t>December 31, 2021</w:t>
            </w:r>
          </w:p>
        </w:tc>
      </w:tr>
      <w:tr>
        <w:trPr>
          <w:trHeight w:val="156"/>
        </w:trPr>
        <w:tc>
          <w:tcPr>
            <w:tcW w:w="27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1,500,000</w:t>
            </w:r>
          </w:p>
        </w:tc>
        <w:tc>
          <w:tcPr>
            <w:tcW w:w="120" w:type="dxa"/>
            <w:vAlign w:val="bottom"/>
            <w:shd w:val="clear" w:color="auto" w:fill="CCEEFF"/>
          </w:tcPr>
          <w:p>
            <w:pPr>
              <w:spacing w:after="0"/>
              <w:rPr>
                <w:sz w:val="13"/>
                <w:szCs w:val="13"/>
                <w:color w:val="auto"/>
              </w:rPr>
            </w:pPr>
          </w:p>
        </w:tc>
        <w:tc>
          <w:tcPr>
            <w:tcW w:w="2280" w:type="dxa"/>
            <w:vAlign w:val="bottom"/>
            <w:gridSpan w:val="2"/>
            <w:shd w:val="clear" w:color="auto" w:fill="CCEEFF"/>
          </w:tcPr>
          <w:p>
            <w:pPr>
              <w:ind w:left="120"/>
              <w:spacing w:after="0"/>
              <w:rPr>
                <w:sz w:val="20"/>
                <w:szCs w:val="20"/>
                <w:color w:val="auto"/>
              </w:rPr>
            </w:pPr>
            <w:r>
              <w:rPr>
                <w:rFonts w:ascii="Arial" w:cs="Arial" w:eastAsia="Arial" w:hAnsi="Arial"/>
                <w:sz w:val="13"/>
                <w:szCs w:val="13"/>
                <w:color w:val="auto"/>
              </w:rPr>
              <w:t>Series S Preferred Stock</w:t>
            </w:r>
          </w:p>
        </w:tc>
        <w:tc>
          <w:tcPr>
            <w:tcW w:w="1160" w:type="dxa"/>
            <w:vAlign w:val="bottom"/>
            <w:gridSpan w:val="3"/>
            <w:shd w:val="clear" w:color="auto" w:fill="CCEEFF"/>
          </w:tcPr>
          <w:p>
            <w:pPr>
              <w:jc w:val="right"/>
              <w:ind w:right="391"/>
              <w:spacing w:after="0"/>
              <w:rPr>
                <w:sz w:val="20"/>
                <w:szCs w:val="20"/>
                <w:color w:val="auto"/>
              </w:rPr>
            </w:pPr>
            <w:r>
              <w:rPr>
                <w:rFonts w:ascii="Arial" w:cs="Arial" w:eastAsia="Arial" w:hAnsi="Arial"/>
                <w:sz w:val="13"/>
                <w:szCs w:val="13"/>
                <w:color w:val="auto"/>
              </w:rPr>
              <w:t>$</w:t>
            </w:r>
          </w:p>
        </w:tc>
        <w:tc>
          <w:tcPr>
            <w:tcW w:w="2300" w:type="dxa"/>
            <w:vAlign w:val="bottom"/>
            <w:gridSpan w:val="2"/>
            <w:shd w:val="clear" w:color="auto" w:fill="CCEEFF"/>
          </w:tcPr>
          <w:p>
            <w:pPr>
              <w:ind w:left="1720"/>
              <w:spacing w:after="0"/>
              <w:rPr>
                <w:sz w:val="20"/>
                <w:szCs w:val="20"/>
                <w:color w:val="auto"/>
              </w:rPr>
            </w:pPr>
            <w:r>
              <w:rPr>
                <w:rFonts w:ascii="Arial" w:cs="Arial" w:eastAsia="Arial" w:hAnsi="Arial"/>
                <w:sz w:val="13"/>
                <w:szCs w:val="13"/>
                <w:color w:val="auto"/>
              </w:rPr>
              <w:t>8.0000</w:t>
            </w:r>
          </w:p>
        </w:tc>
        <w:tc>
          <w:tcPr>
            <w:tcW w:w="2700" w:type="dxa"/>
            <w:vAlign w:val="bottom"/>
            <w:shd w:val="clear" w:color="auto" w:fill="CCEEFF"/>
          </w:tcPr>
          <w:p>
            <w:pPr>
              <w:spacing w:after="0"/>
              <w:rPr>
                <w:sz w:val="20"/>
                <w:szCs w:val="20"/>
                <w:color w:val="auto"/>
              </w:rPr>
            </w:pPr>
            <w:r>
              <w:rPr>
                <w:rFonts w:ascii="Arial" w:cs="Arial" w:eastAsia="Arial" w:hAnsi="Arial"/>
                <w:sz w:val="13"/>
                <w:szCs w:val="13"/>
                <w:color w:val="auto"/>
              </w:rPr>
              <w:t>July 31, 2024</w:t>
            </w:r>
          </w:p>
        </w:tc>
      </w:tr>
      <w:tr>
        <w:trPr>
          <w:trHeight w:val="469"/>
        </w:trPr>
        <w:tc>
          <w:tcPr>
            <w:tcW w:w="27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216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gridSpan w:val="3"/>
          </w:tcPr>
          <w:p>
            <w:pPr>
              <w:jc w:val="right"/>
              <w:ind w:right="471"/>
              <w:spacing w:after="0"/>
              <w:rPr>
                <w:sz w:val="20"/>
                <w:szCs w:val="20"/>
                <w:color w:val="auto"/>
              </w:rPr>
            </w:pPr>
            <w:r>
              <w:rPr>
                <w:rFonts w:ascii="Arial" w:cs="Arial" w:eastAsia="Arial" w:hAnsi="Arial"/>
                <w:sz w:val="13"/>
                <w:szCs w:val="13"/>
                <w:color w:val="auto"/>
              </w:rPr>
              <w:t>F-47</w:t>
            </w:r>
          </w:p>
        </w:tc>
        <w:tc>
          <w:tcPr>
            <w:tcW w:w="208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2700" w:type="dxa"/>
            <w:vAlign w:val="bottom"/>
            <w:tcBorders>
              <w:bottom w:val="single" w:sz="8" w:color="auto"/>
            </w:tcBorders>
          </w:tcPr>
          <w:p>
            <w:pPr>
              <w:spacing w:after="0"/>
              <w:rPr>
                <w:sz w:val="24"/>
                <w:szCs w:val="24"/>
                <w:color w:val="auto"/>
              </w:rPr>
            </w:pPr>
          </w:p>
        </w:tc>
      </w:tr>
    </w:tbl>
    <w:p>
      <w:pPr>
        <w:sectPr>
          <w:pgSz w:w="11900" w:h="16838" w:orient="portrait"/>
          <w:cols w:equalWidth="0" w:num="1">
            <w:col w:w="11280"/>
          </w:cols>
          <w:pgMar w:left="300" w:top="694" w:right="319" w:bottom="1440" w:gutter="0" w:footer="0" w:header="0"/>
        </w:sectPr>
      </w:pPr>
    </w:p>
    <w:bookmarkStart w:id="109" w:name="page110"/>
    <w:bookmarkEnd w:id="109"/>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168"/>
        </w:trPr>
        <w:tc>
          <w:tcPr>
            <w:tcW w:w="9940" w:type="dxa"/>
            <w:vAlign w:val="bottom"/>
          </w:tcPr>
          <w:p>
            <w:pPr>
              <w:spacing w:after="0"/>
              <w:rPr>
                <w:sz w:val="20"/>
                <w:szCs w:val="20"/>
                <w:color w:val="auto"/>
              </w:rPr>
            </w:pPr>
            <w:r>
              <w:rPr>
                <w:rFonts w:ascii="Arial" w:cs="Arial" w:eastAsia="Arial" w:hAnsi="Arial"/>
                <w:sz w:val="13"/>
                <w:szCs w:val="13"/>
                <w:b w:val="1"/>
                <w:bCs w:val="1"/>
                <w:color w:val="auto"/>
              </w:rPr>
              <w:t>NOTE 6: Capital Stock and Warrants (Continued)</w:t>
            </w:r>
          </w:p>
        </w:tc>
        <w:tc>
          <w:tcPr>
            <w:tcW w:w="1240" w:type="dxa"/>
            <w:vAlign w:val="bottom"/>
          </w:tcPr>
          <w:p>
            <w:pPr>
              <w:spacing w:after="0"/>
              <w:rPr>
                <w:sz w:val="14"/>
                <w:szCs w:val="14"/>
                <w:color w:val="auto"/>
              </w:rPr>
            </w:pPr>
          </w:p>
        </w:tc>
        <w:tc>
          <w:tcPr>
            <w:tcW w:w="100" w:type="dxa"/>
            <w:vAlign w:val="bottom"/>
          </w:tcPr>
          <w:p>
            <w:pPr>
              <w:spacing w:after="0"/>
              <w:rPr>
                <w:sz w:val="14"/>
                <w:szCs w:val="14"/>
                <w:color w:val="auto"/>
              </w:rPr>
            </w:pPr>
          </w:p>
        </w:tc>
      </w:tr>
      <w:tr>
        <w:trPr>
          <w:trHeight w:val="313"/>
        </w:trPr>
        <w:tc>
          <w:tcPr>
            <w:tcW w:w="9940" w:type="dxa"/>
            <w:vAlign w:val="bottom"/>
          </w:tcPr>
          <w:p>
            <w:pPr>
              <w:spacing w:after="0"/>
              <w:rPr>
                <w:sz w:val="20"/>
                <w:szCs w:val="20"/>
                <w:color w:val="auto"/>
              </w:rPr>
            </w:pPr>
            <w:r>
              <w:rPr>
                <w:rFonts w:ascii="Arial" w:cs="Arial" w:eastAsia="Arial" w:hAnsi="Arial"/>
                <w:sz w:val="13"/>
                <w:szCs w:val="13"/>
                <w:b w:val="1"/>
                <w:bCs w:val="1"/>
                <w:i w:val="1"/>
                <w:iCs w:val="1"/>
                <w:color w:val="auto"/>
              </w:rPr>
              <w:t>Common Stock Reserved for Future Issuance</w:t>
            </w: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313"/>
        </w:trPr>
        <w:tc>
          <w:tcPr>
            <w:tcW w:w="9940" w:type="dxa"/>
            <w:vAlign w:val="bottom"/>
          </w:tcPr>
          <w:p>
            <w:pPr>
              <w:spacing w:after="0"/>
              <w:rPr>
                <w:sz w:val="20"/>
                <w:szCs w:val="20"/>
                <w:color w:val="auto"/>
              </w:rPr>
            </w:pPr>
            <w:r>
              <w:rPr>
                <w:rFonts w:ascii="Arial" w:cs="Arial" w:eastAsia="Arial" w:hAnsi="Arial"/>
                <w:sz w:val="13"/>
                <w:szCs w:val="13"/>
                <w:color w:val="auto"/>
              </w:rPr>
              <w:t>Shares of common stock reserved for future issuance relate to outstanding preferred stock, warrants and stock options as follows:</w:t>
            </w:r>
          </w:p>
        </w:tc>
        <w:tc>
          <w:tcPr>
            <w:tcW w:w="12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301"/>
        </w:trPr>
        <w:tc>
          <w:tcPr>
            <w:tcW w:w="9940" w:type="dxa"/>
            <w:vAlign w:val="bottom"/>
          </w:tcPr>
          <w:p>
            <w:pPr>
              <w:spacing w:after="0"/>
              <w:rPr>
                <w:sz w:val="24"/>
                <w:szCs w:val="24"/>
                <w:color w:val="auto"/>
              </w:rPr>
            </w:pPr>
          </w:p>
        </w:tc>
        <w:tc>
          <w:tcPr>
            <w:tcW w:w="1340" w:type="dxa"/>
            <w:vAlign w:val="bottom"/>
            <w:gridSpan w:val="2"/>
          </w:tcPr>
          <w:p>
            <w:pPr>
              <w:jc w:val="right"/>
              <w:ind w:right="480"/>
              <w:spacing w:after="0"/>
              <w:rPr>
                <w:sz w:val="20"/>
                <w:szCs w:val="20"/>
                <w:color w:val="auto"/>
              </w:rPr>
            </w:pPr>
            <w:r>
              <w:rPr>
                <w:rFonts w:ascii="Arial" w:cs="Arial" w:eastAsia="Arial" w:hAnsi="Arial"/>
                <w:sz w:val="13"/>
                <w:szCs w:val="13"/>
                <w:b w:val="1"/>
                <w:bCs w:val="1"/>
                <w:color w:val="auto"/>
              </w:rPr>
              <w:t>June 30,</w:t>
            </w:r>
          </w:p>
        </w:tc>
      </w:tr>
      <w:tr>
        <w:trPr>
          <w:trHeight w:val="169"/>
        </w:trPr>
        <w:tc>
          <w:tcPr>
            <w:tcW w:w="9940" w:type="dxa"/>
            <w:vAlign w:val="bottom"/>
            <w:tcBorders>
              <w:bottom w:val="single" w:sz="8" w:color="CCEEFF"/>
            </w:tcBorders>
          </w:tcPr>
          <w:p>
            <w:pPr>
              <w:spacing w:after="0"/>
              <w:rPr>
                <w:sz w:val="14"/>
                <w:szCs w:val="14"/>
                <w:color w:val="auto"/>
              </w:rPr>
            </w:pPr>
          </w:p>
        </w:tc>
        <w:tc>
          <w:tcPr>
            <w:tcW w:w="1240" w:type="dxa"/>
            <w:vAlign w:val="bottom"/>
            <w:tcBorders>
              <w:bottom w:val="single" w:sz="8" w:color="auto"/>
            </w:tcBorders>
          </w:tcPr>
          <w:p>
            <w:pPr>
              <w:jc w:val="right"/>
              <w:ind w:right="415"/>
              <w:spacing w:after="0"/>
              <w:rPr>
                <w:sz w:val="20"/>
                <w:szCs w:val="20"/>
                <w:color w:val="auto"/>
              </w:rPr>
            </w:pPr>
            <w:r>
              <w:rPr>
                <w:rFonts w:ascii="Arial" w:cs="Arial" w:eastAsia="Arial" w:hAnsi="Arial"/>
                <w:sz w:val="13"/>
                <w:szCs w:val="13"/>
                <w:b w:val="1"/>
                <w:bCs w:val="1"/>
                <w:color w:val="auto"/>
              </w:rPr>
              <w:t>2021</w:t>
            </w:r>
          </w:p>
        </w:tc>
        <w:tc>
          <w:tcPr>
            <w:tcW w:w="100" w:type="dxa"/>
            <w:vAlign w:val="bottom"/>
            <w:tcBorders>
              <w:bottom w:val="single" w:sz="8" w:color="CCEEFF"/>
            </w:tcBorders>
          </w:tcPr>
          <w:p>
            <w:pPr>
              <w:spacing w:after="0"/>
              <w:rPr>
                <w:sz w:val="14"/>
                <w:szCs w:val="14"/>
                <w:color w:val="auto"/>
              </w:rPr>
            </w:pPr>
          </w:p>
        </w:tc>
      </w:tr>
      <w:tr>
        <w:trPr>
          <w:trHeight w:val="147"/>
        </w:trPr>
        <w:tc>
          <w:tcPr>
            <w:tcW w:w="9940" w:type="dxa"/>
            <w:vAlign w:val="bottom"/>
            <w:shd w:val="clear" w:color="auto" w:fill="CCEEFF"/>
          </w:tcPr>
          <w:p>
            <w:pPr>
              <w:spacing w:after="0" w:line="146" w:lineRule="exact"/>
              <w:rPr>
                <w:sz w:val="20"/>
                <w:szCs w:val="20"/>
                <w:color w:val="auto"/>
              </w:rPr>
            </w:pPr>
            <w:r>
              <w:rPr>
                <w:rFonts w:ascii="Arial" w:cs="Arial" w:eastAsia="Arial" w:hAnsi="Arial"/>
                <w:sz w:val="13"/>
                <w:szCs w:val="13"/>
                <w:color w:val="auto"/>
              </w:rPr>
              <w:t>Series A Preferred Stock</w:t>
            </w:r>
          </w:p>
        </w:tc>
        <w:tc>
          <w:tcPr>
            <w:tcW w:w="1240" w:type="dxa"/>
            <w:vAlign w:val="bottom"/>
            <w:shd w:val="clear" w:color="auto" w:fill="CCEEFF"/>
          </w:tcPr>
          <w:p>
            <w:pPr>
              <w:jc w:val="right"/>
              <w:spacing w:after="0" w:line="147" w:lineRule="exact"/>
              <w:rPr>
                <w:sz w:val="20"/>
                <w:szCs w:val="20"/>
                <w:color w:val="auto"/>
              </w:rPr>
            </w:pPr>
            <w:r>
              <w:rPr>
                <w:rFonts w:ascii="Arial" w:cs="Arial" w:eastAsia="Arial" w:hAnsi="Arial"/>
                <w:sz w:val="13"/>
                <w:szCs w:val="13"/>
                <w:color w:val="auto"/>
              </w:rPr>
              <w:t>8,936,015</w:t>
            </w:r>
          </w:p>
        </w:tc>
        <w:tc>
          <w:tcPr>
            <w:tcW w:w="100" w:type="dxa"/>
            <w:vAlign w:val="bottom"/>
            <w:shd w:val="clear" w:color="auto" w:fill="CCEEFF"/>
          </w:tcPr>
          <w:p>
            <w:pPr>
              <w:spacing w:after="0"/>
              <w:rPr>
                <w:sz w:val="12"/>
                <w:szCs w:val="12"/>
                <w:color w:val="auto"/>
              </w:rPr>
            </w:pPr>
          </w:p>
        </w:tc>
      </w:tr>
      <w:tr>
        <w:trPr>
          <w:trHeight w:val="156"/>
        </w:trPr>
        <w:tc>
          <w:tcPr>
            <w:tcW w:w="9940" w:type="dxa"/>
            <w:vAlign w:val="bottom"/>
          </w:tcPr>
          <w:p>
            <w:pPr>
              <w:spacing w:after="0"/>
              <w:rPr>
                <w:sz w:val="20"/>
                <w:szCs w:val="20"/>
                <w:color w:val="auto"/>
              </w:rPr>
            </w:pPr>
            <w:r>
              <w:rPr>
                <w:rFonts w:ascii="Arial" w:cs="Arial" w:eastAsia="Arial" w:hAnsi="Arial"/>
                <w:sz w:val="13"/>
                <w:szCs w:val="13"/>
                <w:color w:val="auto"/>
              </w:rPr>
              <w:t>Series B Preferred Stock</w:t>
            </w:r>
          </w:p>
        </w:tc>
        <w:tc>
          <w:tcPr>
            <w:tcW w:w="1240" w:type="dxa"/>
            <w:vAlign w:val="bottom"/>
          </w:tcPr>
          <w:p>
            <w:pPr>
              <w:jc w:val="right"/>
              <w:spacing w:after="0"/>
              <w:rPr>
                <w:sz w:val="20"/>
                <w:szCs w:val="20"/>
                <w:color w:val="auto"/>
              </w:rPr>
            </w:pPr>
            <w:r>
              <w:rPr>
                <w:rFonts w:ascii="Arial" w:cs="Arial" w:eastAsia="Arial" w:hAnsi="Arial"/>
                <w:sz w:val="13"/>
                <w:szCs w:val="13"/>
                <w:color w:val="auto"/>
              </w:rPr>
              <w:t>4,653,583</w:t>
            </w:r>
          </w:p>
        </w:tc>
        <w:tc>
          <w:tcPr>
            <w:tcW w:w="100" w:type="dxa"/>
            <w:vAlign w:val="bottom"/>
          </w:tcPr>
          <w:p>
            <w:pPr>
              <w:spacing w:after="0"/>
              <w:rPr>
                <w:sz w:val="13"/>
                <w:szCs w:val="13"/>
                <w:color w:val="auto"/>
              </w:rPr>
            </w:pPr>
          </w:p>
        </w:tc>
      </w:tr>
      <w:tr>
        <w:trPr>
          <w:trHeight w:val="156"/>
        </w:trPr>
        <w:tc>
          <w:tcPr>
            <w:tcW w:w="9940" w:type="dxa"/>
            <w:vAlign w:val="bottom"/>
            <w:shd w:val="clear" w:color="auto" w:fill="CCEEFF"/>
          </w:tcPr>
          <w:p>
            <w:pPr>
              <w:spacing w:after="0"/>
              <w:rPr>
                <w:sz w:val="20"/>
                <w:szCs w:val="20"/>
                <w:color w:val="auto"/>
              </w:rPr>
            </w:pPr>
            <w:r>
              <w:rPr>
                <w:rFonts w:ascii="Arial" w:cs="Arial" w:eastAsia="Arial" w:hAnsi="Arial"/>
                <w:sz w:val="13"/>
                <w:szCs w:val="13"/>
                <w:color w:val="auto"/>
              </w:rPr>
              <w:t>Series m Preferred Stock</w:t>
            </w:r>
          </w:p>
        </w:tc>
        <w:tc>
          <w:tcPr>
            <w:tcW w:w="12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5,339,215</w:t>
            </w:r>
          </w:p>
        </w:tc>
        <w:tc>
          <w:tcPr>
            <w:tcW w:w="100" w:type="dxa"/>
            <w:vAlign w:val="bottom"/>
            <w:shd w:val="clear" w:color="auto" w:fill="CCEEFF"/>
          </w:tcPr>
          <w:p>
            <w:pPr>
              <w:spacing w:after="0"/>
              <w:rPr>
                <w:sz w:val="13"/>
                <w:szCs w:val="13"/>
                <w:color w:val="auto"/>
              </w:rPr>
            </w:pPr>
          </w:p>
        </w:tc>
      </w:tr>
      <w:tr>
        <w:trPr>
          <w:trHeight w:val="156"/>
        </w:trPr>
        <w:tc>
          <w:tcPr>
            <w:tcW w:w="9940" w:type="dxa"/>
            <w:vAlign w:val="bottom"/>
          </w:tcPr>
          <w:p>
            <w:pPr>
              <w:spacing w:after="0"/>
              <w:rPr>
                <w:sz w:val="20"/>
                <w:szCs w:val="20"/>
                <w:color w:val="auto"/>
              </w:rPr>
            </w:pPr>
            <w:r>
              <w:rPr>
                <w:rFonts w:ascii="Arial" w:cs="Arial" w:eastAsia="Arial" w:hAnsi="Arial"/>
                <w:sz w:val="13"/>
                <w:szCs w:val="13"/>
                <w:color w:val="auto"/>
              </w:rPr>
              <w:t>Series m-2 Preferred Stock</w:t>
            </w:r>
          </w:p>
        </w:tc>
        <w:tc>
          <w:tcPr>
            <w:tcW w:w="1240" w:type="dxa"/>
            <w:vAlign w:val="bottom"/>
          </w:tcPr>
          <w:p>
            <w:pPr>
              <w:jc w:val="right"/>
              <w:spacing w:after="0"/>
              <w:rPr>
                <w:sz w:val="20"/>
                <w:szCs w:val="20"/>
                <w:color w:val="auto"/>
              </w:rPr>
            </w:pPr>
            <w:r>
              <w:rPr>
                <w:rFonts w:ascii="Arial" w:cs="Arial" w:eastAsia="Arial" w:hAnsi="Arial"/>
                <w:sz w:val="13"/>
                <w:szCs w:val="13"/>
                <w:color w:val="auto"/>
              </w:rPr>
              <w:t>1,660,756</w:t>
            </w:r>
          </w:p>
        </w:tc>
        <w:tc>
          <w:tcPr>
            <w:tcW w:w="100" w:type="dxa"/>
            <w:vAlign w:val="bottom"/>
          </w:tcPr>
          <w:p>
            <w:pPr>
              <w:spacing w:after="0"/>
              <w:rPr>
                <w:sz w:val="13"/>
                <w:szCs w:val="13"/>
                <w:color w:val="auto"/>
              </w:rPr>
            </w:pPr>
          </w:p>
        </w:tc>
      </w:tr>
      <w:tr>
        <w:trPr>
          <w:trHeight w:val="156"/>
        </w:trPr>
        <w:tc>
          <w:tcPr>
            <w:tcW w:w="9940" w:type="dxa"/>
            <w:vAlign w:val="bottom"/>
            <w:shd w:val="clear" w:color="auto" w:fill="CCEEFF"/>
          </w:tcPr>
          <w:p>
            <w:pPr>
              <w:spacing w:after="0"/>
              <w:rPr>
                <w:sz w:val="20"/>
                <w:szCs w:val="20"/>
                <w:color w:val="auto"/>
              </w:rPr>
            </w:pPr>
            <w:r>
              <w:rPr>
                <w:rFonts w:ascii="Arial" w:cs="Arial" w:eastAsia="Arial" w:hAnsi="Arial"/>
                <w:sz w:val="13"/>
                <w:szCs w:val="13"/>
                <w:color w:val="auto"/>
              </w:rPr>
              <w:t>Series m-3 Preferred Stock</w:t>
            </w:r>
          </w:p>
        </w:tc>
        <w:tc>
          <w:tcPr>
            <w:tcW w:w="1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16,757</w:t>
            </w:r>
          </w:p>
        </w:tc>
      </w:tr>
      <w:tr>
        <w:trPr>
          <w:trHeight w:val="156"/>
        </w:trPr>
        <w:tc>
          <w:tcPr>
            <w:tcW w:w="9940" w:type="dxa"/>
            <w:vAlign w:val="bottom"/>
          </w:tcPr>
          <w:p>
            <w:pPr>
              <w:spacing w:after="0"/>
              <w:rPr>
                <w:sz w:val="20"/>
                <w:szCs w:val="20"/>
                <w:color w:val="auto"/>
              </w:rPr>
            </w:pPr>
            <w:r>
              <w:rPr>
                <w:rFonts w:ascii="Arial" w:cs="Arial" w:eastAsia="Arial" w:hAnsi="Arial"/>
                <w:sz w:val="13"/>
                <w:szCs w:val="13"/>
                <w:color w:val="auto"/>
              </w:rPr>
              <w:t>Series m-4 Preferred Stock</w:t>
            </w:r>
          </w:p>
        </w:tc>
        <w:tc>
          <w:tcPr>
            <w:tcW w:w="1240" w:type="dxa"/>
            <w:vAlign w:val="bottom"/>
          </w:tcPr>
          <w:p>
            <w:pPr>
              <w:jc w:val="right"/>
              <w:spacing w:after="0"/>
              <w:rPr>
                <w:sz w:val="20"/>
                <w:szCs w:val="20"/>
                <w:color w:val="auto"/>
              </w:rPr>
            </w:pPr>
            <w:r>
              <w:rPr>
                <w:rFonts w:ascii="Arial" w:cs="Arial" w:eastAsia="Arial" w:hAnsi="Arial"/>
                <w:sz w:val="13"/>
                <w:szCs w:val="13"/>
                <w:color w:val="auto"/>
              </w:rPr>
              <w:t>1,432,786</w:t>
            </w:r>
          </w:p>
        </w:tc>
        <w:tc>
          <w:tcPr>
            <w:tcW w:w="100" w:type="dxa"/>
            <w:vAlign w:val="bottom"/>
          </w:tcPr>
          <w:p>
            <w:pPr>
              <w:spacing w:after="0"/>
              <w:rPr>
                <w:sz w:val="13"/>
                <w:szCs w:val="13"/>
                <w:color w:val="auto"/>
              </w:rPr>
            </w:pPr>
          </w:p>
        </w:tc>
      </w:tr>
      <w:tr>
        <w:trPr>
          <w:trHeight w:val="156"/>
        </w:trPr>
        <w:tc>
          <w:tcPr>
            <w:tcW w:w="9940" w:type="dxa"/>
            <w:vAlign w:val="bottom"/>
            <w:shd w:val="clear" w:color="auto" w:fill="CCEEFF"/>
          </w:tcPr>
          <w:p>
            <w:pPr>
              <w:spacing w:after="0"/>
              <w:rPr>
                <w:sz w:val="20"/>
                <w:szCs w:val="20"/>
                <w:color w:val="auto"/>
              </w:rPr>
            </w:pPr>
            <w:r>
              <w:rPr>
                <w:rFonts w:ascii="Arial" w:cs="Arial" w:eastAsia="Arial" w:hAnsi="Arial"/>
                <w:sz w:val="13"/>
                <w:szCs w:val="13"/>
                <w:color w:val="auto"/>
              </w:rPr>
              <w:t>Series S Preferred Stock</w:t>
            </w:r>
          </w:p>
        </w:tc>
        <w:tc>
          <w:tcPr>
            <w:tcW w:w="12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5,567,171</w:t>
            </w:r>
          </w:p>
        </w:tc>
        <w:tc>
          <w:tcPr>
            <w:tcW w:w="100" w:type="dxa"/>
            <w:vAlign w:val="bottom"/>
            <w:shd w:val="clear" w:color="auto" w:fill="CCEEFF"/>
          </w:tcPr>
          <w:p>
            <w:pPr>
              <w:spacing w:after="0"/>
              <w:rPr>
                <w:sz w:val="13"/>
                <w:szCs w:val="13"/>
                <w:color w:val="auto"/>
              </w:rPr>
            </w:pPr>
          </w:p>
        </w:tc>
      </w:tr>
      <w:tr>
        <w:trPr>
          <w:trHeight w:val="156"/>
        </w:trPr>
        <w:tc>
          <w:tcPr>
            <w:tcW w:w="9940" w:type="dxa"/>
            <w:vAlign w:val="bottom"/>
          </w:tcPr>
          <w:p>
            <w:pPr>
              <w:spacing w:after="0"/>
              <w:rPr>
                <w:sz w:val="20"/>
                <w:szCs w:val="20"/>
                <w:color w:val="auto"/>
              </w:rPr>
            </w:pPr>
            <w:r>
              <w:rPr>
                <w:rFonts w:ascii="Arial" w:cs="Arial" w:eastAsia="Arial" w:hAnsi="Arial"/>
                <w:sz w:val="13"/>
                <w:szCs w:val="13"/>
                <w:color w:val="auto"/>
              </w:rPr>
              <w:t>Stock options to purchase common stock</w:t>
            </w:r>
          </w:p>
        </w:tc>
        <w:tc>
          <w:tcPr>
            <w:tcW w:w="1240" w:type="dxa"/>
            <w:vAlign w:val="bottom"/>
          </w:tcPr>
          <w:p>
            <w:pPr>
              <w:jc w:val="right"/>
              <w:spacing w:after="0"/>
              <w:rPr>
                <w:sz w:val="20"/>
                <w:szCs w:val="20"/>
                <w:color w:val="auto"/>
              </w:rPr>
            </w:pPr>
            <w:r>
              <w:rPr>
                <w:rFonts w:ascii="Arial" w:cs="Arial" w:eastAsia="Arial" w:hAnsi="Arial"/>
                <w:sz w:val="13"/>
                <w:szCs w:val="13"/>
                <w:color w:val="auto"/>
              </w:rPr>
              <w:t>7,396,000</w:t>
            </w:r>
          </w:p>
        </w:tc>
        <w:tc>
          <w:tcPr>
            <w:tcW w:w="100" w:type="dxa"/>
            <w:vAlign w:val="bottom"/>
          </w:tcPr>
          <w:p>
            <w:pPr>
              <w:spacing w:after="0"/>
              <w:rPr>
                <w:sz w:val="13"/>
                <w:szCs w:val="13"/>
                <w:color w:val="auto"/>
              </w:rPr>
            </w:pPr>
          </w:p>
        </w:tc>
      </w:tr>
      <w:tr>
        <w:trPr>
          <w:trHeight w:val="156"/>
        </w:trPr>
        <w:tc>
          <w:tcPr>
            <w:tcW w:w="9940" w:type="dxa"/>
            <w:vAlign w:val="bottom"/>
            <w:shd w:val="clear" w:color="auto" w:fill="CCEEFF"/>
          </w:tcPr>
          <w:p>
            <w:pPr>
              <w:spacing w:after="0"/>
              <w:rPr>
                <w:sz w:val="20"/>
                <w:szCs w:val="20"/>
                <w:color w:val="auto"/>
              </w:rPr>
            </w:pPr>
            <w:r>
              <w:rPr>
                <w:rFonts w:ascii="Arial" w:cs="Arial" w:eastAsia="Arial" w:hAnsi="Arial"/>
                <w:sz w:val="13"/>
                <w:szCs w:val="13"/>
                <w:color w:val="auto"/>
              </w:rPr>
              <w:t>Warrants outstanding for future issuance of convertible preferred stock and common stock</w:t>
            </w:r>
          </w:p>
        </w:tc>
        <w:tc>
          <w:tcPr>
            <w:tcW w:w="12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4,401,292</w:t>
            </w:r>
          </w:p>
        </w:tc>
        <w:tc>
          <w:tcPr>
            <w:tcW w:w="100" w:type="dxa"/>
            <w:vAlign w:val="bottom"/>
            <w:shd w:val="clear" w:color="auto" w:fill="CCEEFF"/>
          </w:tcPr>
          <w:p>
            <w:pPr>
              <w:spacing w:after="0"/>
              <w:rPr>
                <w:sz w:val="13"/>
                <w:szCs w:val="13"/>
                <w:color w:val="auto"/>
              </w:rPr>
            </w:pPr>
          </w:p>
        </w:tc>
      </w:tr>
      <w:tr>
        <w:trPr>
          <w:trHeight w:val="166"/>
        </w:trPr>
        <w:tc>
          <w:tcPr>
            <w:tcW w:w="9940" w:type="dxa"/>
            <w:vAlign w:val="bottom"/>
            <w:tcBorders>
              <w:bottom w:val="single" w:sz="8" w:color="CCEEFF"/>
            </w:tcBorders>
          </w:tcPr>
          <w:p>
            <w:pPr>
              <w:spacing w:after="0"/>
              <w:rPr>
                <w:sz w:val="20"/>
                <w:szCs w:val="20"/>
                <w:color w:val="auto"/>
              </w:rPr>
            </w:pPr>
            <w:r>
              <w:rPr>
                <w:rFonts w:ascii="Arial" w:cs="Arial" w:eastAsia="Arial" w:hAnsi="Arial"/>
                <w:sz w:val="13"/>
                <w:szCs w:val="13"/>
                <w:color w:val="auto"/>
              </w:rPr>
              <w:t>Stock options available for future issuance</w:t>
            </w:r>
          </w:p>
        </w:tc>
        <w:tc>
          <w:tcPr>
            <w:tcW w:w="124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1,623,814</w:t>
            </w:r>
          </w:p>
        </w:tc>
        <w:tc>
          <w:tcPr>
            <w:tcW w:w="100" w:type="dxa"/>
            <w:vAlign w:val="bottom"/>
            <w:tcBorders>
              <w:bottom w:val="single" w:sz="8" w:color="CCEEFF"/>
            </w:tcBorders>
          </w:tcPr>
          <w:p>
            <w:pPr>
              <w:spacing w:after="0"/>
              <w:rPr>
                <w:sz w:val="14"/>
                <w:szCs w:val="14"/>
                <w:color w:val="auto"/>
              </w:rPr>
            </w:pPr>
          </w:p>
        </w:tc>
      </w:tr>
      <w:tr>
        <w:trPr>
          <w:trHeight w:val="156"/>
        </w:trPr>
        <w:tc>
          <w:tcPr>
            <w:tcW w:w="9940" w:type="dxa"/>
            <w:vAlign w:val="bottom"/>
            <w:shd w:val="clear" w:color="auto" w:fill="CCEEFF"/>
          </w:tcPr>
          <w:p>
            <w:pPr>
              <w:ind w:left="120"/>
              <w:spacing w:after="0" w:line="145" w:lineRule="exact"/>
              <w:rPr>
                <w:sz w:val="20"/>
                <w:szCs w:val="20"/>
                <w:color w:val="auto"/>
              </w:rPr>
            </w:pPr>
            <w:r>
              <w:rPr>
                <w:rFonts w:ascii="Arial" w:cs="Arial" w:eastAsia="Arial" w:hAnsi="Arial"/>
                <w:sz w:val="13"/>
                <w:szCs w:val="13"/>
                <w:color w:val="auto"/>
              </w:rPr>
              <w:t>Total shares of common stock reserved</w:t>
            </w:r>
          </w:p>
        </w:tc>
        <w:tc>
          <w:tcPr>
            <w:tcW w:w="1340" w:type="dxa"/>
            <w:vAlign w:val="bottom"/>
            <w:gridSpan w:val="2"/>
            <w:shd w:val="clear" w:color="auto" w:fill="CCEEFF"/>
          </w:tcPr>
          <w:p>
            <w:pPr>
              <w:jc w:val="right"/>
              <w:ind w:right="100"/>
              <w:spacing w:after="0"/>
              <w:rPr>
                <w:sz w:val="20"/>
                <w:szCs w:val="20"/>
                <w:color w:val="auto"/>
              </w:rPr>
            </w:pPr>
            <w:r>
              <w:rPr>
                <w:rFonts w:ascii="Arial" w:cs="Arial" w:eastAsia="Arial" w:hAnsi="Arial"/>
                <w:sz w:val="13"/>
                <w:szCs w:val="13"/>
                <w:color w:val="auto"/>
              </w:rPr>
              <w:t>41,027,389</w:t>
            </w:r>
          </w:p>
        </w:tc>
      </w:tr>
      <w:tr>
        <w:trPr>
          <w:trHeight w:val="30"/>
        </w:trPr>
        <w:tc>
          <w:tcPr>
            <w:tcW w:w="9940" w:type="dxa"/>
            <w:vAlign w:val="bottom"/>
            <w:shd w:val="clear" w:color="auto" w:fill="CCEEFF"/>
          </w:tcPr>
          <w:p>
            <w:pPr>
              <w:spacing w:after="0"/>
              <w:rPr>
                <w:sz w:val="2"/>
                <w:szCs w:val="2"/>
                <w:color w:val="auto"/>
              </w:rPr>
            </w:pPr>
          </w:p>
        </w:tc>
        <w:tc>
          <w:tcPr>
            <w:tcW w:w="1240" w:type="dxa"/>
            <w:vAlign w:val="bottom"/>
            <w:shd w:val="clear" w:color="auto" w:fill="000000"/>
          </w:tcPr>
          <w:p>
            <w:pPr>
              <w:spacing w:after="0"/>
              <w:rPr>
                <w:sz w:val="2"/>
                <w:szCs w:val="2"/>
                <w:color w:val="auto"/>
              </w:rPr>
            </w:pPr>
          </w:p>
        </w:tc>
        <w:tc>
          <w:tcPr>
            <w:tcW w:w="100" w:type="dxa"/>
            <w:vAlign w:val="bottom"/>
            <w:shd w:val="clear" w:color="auto" w:fill="CCEEFF"/>
          </w:tcPr>
          <w:p>
            <w:pPr>
              <w:spacing w:after="0"/>
              <w:rPr>
                <w:sz w:val="2"/>
                <w:szCs w:val="2"/>
                <w:color w:val="auto"/>
              </w:rPr>
            </w:pPr>
          </w:p>
        </w:tc>
      </w:tr>
    </w:tbl>
    <w:p>
      <w:pPr>
        <w:spacing w:after="0" w:line="144"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7: Income Taxes</w:t>
      </w:r>
    </w:p>
    <w:p>
      <w:pPr>
        <w:spacing w:after="0" w:line="167"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201F1E"/>
        </w:rPr>
        <w:t xml:space="preserve">The Company's semiannual provision for income taxes is based on an estimated annual income tax rate. The Company's semiannual provision for income taxes also includes the tax impact of certain unusual or infrequently occurring items, if any, including changes in judgment about valuation allowances and effect of changes in tax laws or rates, in the semiannual period in which they occur. In the six months ended June 30, 2021 and June 30, 2020, the Company recorded income tax expense of $0 and $800, respectively. </w:t>
      </w:r>
      <w:r>
        <w:rPr>
          <w:rFonts w:ascii="Arial" w:cs="Arial" w:eastAsia="Arial" w:hAnsi="Arial"/>
          <w:sz w:val="13"/>
          <w:szCs w:val="13"/>
          <w:color w:val="000000"/>
        </w:rPr>
        <w:t>The company has adopted ASU 2019-12</w:t>
      </w:r>
      <w:r>
        <w:rPr>
          <w:rFonts w:ascii="Arial" w:cs="Arial" w:eastAsia="Arial" w:hAnsi="Arial"/>
          <w:sz w:val="13"/>
          <w:szCs w:val="13"/>
          <w:color w:val="201F1E"/>
        </w:rPr>
        <w:t xml:space="preserve"> </w:t>
      </w:r>
      <w:r>
        <w:rPr>
          <w:rFonts w:ascii="Arial" w:cs="Arial" w:eastAsia="Arial" w:hAnsi="Arial"/>
          <w:sz w:val="13"/>
          <w:szCs w:val="13"/>
          <w:i w:val="1"/>
          <w:iCs w:val="1"/>
          <w:color w:val="000000"/>
        </w:rPr>
        <w:t>Income Taxes – Simplifying the Accounting for Income</w:t>
      </w:r>
      <w:r>
        <w:rPr>
          <w:rFonts w:ascii="Arial" w:cs="Arial" w:eastAsia="Arial" w:hAnsi="Arial"/>
          <w:sz w:val="13"/>
          <w:szCs w:val="13"/>
          <w:color w:val="201F1E"/>
        </w:rPr>
        <w:t xml:space="preserve"> </w:t>
      </w:r>
      <w:r>
        <w:rPr>
          <w:rFonts w:ascii="Arial" w:cs="Arial" w:eastAsia="Arial" w:hAnsi="Arial"/>
          <w:sz w:val="13"/>
          <w:szCs w:val="13"/>
          <w:i w:val="1"/>
          <w:iCs w:val="1"/>
          <w:color w:val="000000"/>
        </w:rPr>
        <w:t xml:space="preserve">Taxes </w:t>
      </w:r>
      <w:r>
        <w:rPr>
          <w:rFonts w:ascii="Arial" w:cs="Arial" w:eastAsia="Arial" w:hAnsi="Arial"/>
          <w:sz w:val="13"/>
          <w:szCs w:val="13"/>
          <w:color w:val="000000"/>
        </w:rPr>
        <w:t>effective January 1, 2021. See Note 1 on ASU 2019-12.</w:t>
      </w:r>
    </w:p>
    <w:p>
      <w:pPr>
        <w:spacing w:after="0" w:line="139" w:lineRule="exact"/>
        <w:rPr>
          <w:sz w:val="20"/>
          <w:szCs w:val="20"/>
          <w:color w:val="auto"/>
        </w:rPr>
      </w:pPr>
    </w:p>
    <w:p>
      <w:pPr>
        <w:jc w:val="both"/>
        <w:spacing w:after="0" w:line="258" w:lineRule="auto"/>
        <w:rPr>
          <w:sz w:val="20"/>
          <w:szCs w:val="20"/>
          <w:color w:val="auto"/>
        </w:rPr>
      </w:pPr>
      <w:r>
        <w:rPr>
          <w:rFonts w:ascii="Arial" w:cs="Arial" w:eastAsia="Arial" w:hAnsi="Arial"/>
          <w:sz w:val="13"/>
          <w:szCs w:val="13"/>
          <w:color w:val="201F1E"/>
        </w:rPr>
        <w:t>The realization of tax benefits of net deferred tax assets is dependent upon future levels of taxable income, of an appropriate character, in the periods the items are expected to be deductible or taxable. Based on the available objective evidence, the Company does not believe it is more likely than not that the net deferred tax assets will be realizable. Accordingly, the Company has provided a full valuation allowance against net deferred tax assets as of June 30, 2021 and December 31, 2020. The Company intends to maintain the full valuation allowance on net deferred tax assets until sufficient positive evidence exists to support a reversal of, or decrease in, the valuation allowance.</w:t>
      </w:r>
    </w:p>
    <w:p>
      <w:pPr>
        <w:spacing w:after="0" w:line="13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8: Related parties and related-party transactions</w:t>
      </w:r>
    </w:p>
    <w:p>
      <w:pPr>
        <w:spacing w:after="0" w:line="167"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One of the Company’s vendors, Konica Minolta, Inc. (“Konica Minolta”), is a stockholder of the Company. Konica Minolta provides the Company with repair services to its ASRs. The Company paid Konica Minolta $139,627 and $69,188 in service fees for the six-month periods ended June 30, 2021 and 2020, respectively. The Company had payables of $36,763 and $20,498 owed to Konica Minolta as of June 30, 2021 and December 31, 2020, respectively.</w:t>
      </w:r>
    </w:p>
    <w:p>
      <w:pPr>
        <w:spacing w:after="0" w:line="132"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9: Commitments and contingencies</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Leases</w:t>
      </w:r>
    </w:p>
    <w:p>
      <w:pPr>
        <w:spacing w:after="0" w:line="163" w:lineRule="exact"/>
        <w:rPr>
          <w:sz w:val="20"/>
          <w:szCs w:val="20"/>
          <w:color w:val="auto"/>
        </w:rPr>
      </w:pPr>
    </w:p>
    <w:p>
      <w:pPr>
        <w:spacing w:after="0"/>
        <w:rPr>
          <w:sz w:val="20"/>
          <w:szCs w:val="20"/>
          <w:color w:val="auto"/>
        </w:rPr>
      </w:pPr>
      <w:r>
        <w:rPr>
          <w:rFonts w:ascii="Arial" w:cs="Arial" w:eastAsia="Arial" w:hAnsi="Arial"/>
          <w:sz w:val="12"/>
          <w:szCs w:val="12"/>
          <w:color w:val="auto"/>
        </w:rPr>
        <w:t>The Company leases facilities for office space under non-cancelable operating lease agreements. The Company leases space for its corporate headquarters in Mountain View, California through August 2023.</w:t>
      </w:r>
    </w:p>
    <w:p>
      <w:pPr>
        <w:sectPr>
          <w:pgSz w:w="11900" w:h="16838" w:orient="portrait"/>
          <w:cols w:equalWidth="0" w:num="1">
            <w:col w:w="11280"/>
          </w:cols>
          <w:pgMar w:left="300" w:top="850" w:right="319" w:bottom="1440" w:gutter="0" w:footer="0" w:header="0"/>
        </w:sectPr>
      </w:pPr>
    </w:p>
    <w:p>
      <w:pPr>
        <w:spacing w:after="0" w:line="175" w:lineRule="exact"/>
        <w:rPr>
          <w:sz w:val="20"/>
          <w:szCs w:val="20"/>
          <w:color w:val="auto"/>
        </w:rPr>
      </w:pPr>
    </w:p>
    <w:p>
      <w:pPr>
        <w:spacing w:after="0"/>
        <w:rPr>
          <w:sz w:val="20"/>
          <w:szCs w:val="20"/>
          <w:color w:val="auto"/>
        </w:rPr>
      </w:pPr>
      <w:r>
        <w:rPr>
          <w:rFonts w:ascii="Arial" w:cs="Arial" w:eastAsia="Arial" w:hAnsi="Arial"/>
          <w:sz w:val="11"/>
          <w:szCs w:val="11"/>
          <w:color w:val="auto"/>
        </w:rPr>
        <w:t>As of June 30, 2021, the components of leases and lease costs are as follows:</w:t>
      </w:r>
    </w:p>
    <w:p>
      <w:pPr>
        <w:spacing w:after="0" w:line="358"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Operating leases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-92075</wp:posOffset>
            </wp:positionV>
            <wp:extent cx="7170420" cy="10541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0">
                      <a:extLst>
                        <a:ext uri="{28A0092B-C50C-407E-A947-70E740481C1C}"/>
                      </a:extLst>
                    </a:blip>
                    <a:srcRect/>
                    <a:stretch>
                      <a:fillRect/>
                    </a:stretch>
                  </pic:blipFill>
                  <pic:spPr bwMode="auto">
                    <a:xfrm>
                      <a:off x="0" y="0"/>
                      <a:ext cx="7170420" cy="105410"/>
                    </a:xfrm>
                    <a:prstGeom prst="rect">
                      <a:avLst/>
                    </a:prstGeom>
                    <a:noFill/>
                  </pic:spPr>
                </pic:pic>
              </a:graphicData>
            </a:graphic>
          </wp:anchor>
        </w:drawing>
      </w:r>
    </w:p>
    <w:p>
      <w:pPr>
        <w:spacing w:after="0"/>
        <w:rPr>
          <w:sz w:val="20"/>
          <w:szCs w:val="20"/>
          <w:color w:val="auto"/>
        </w:rPr>
      </w:pPr>
      <w:r>
        <w:rPr>
          <w:rFonts w:ascii="Arial" w:cs="Arial" w:eastAsia="Arial" w:hAnsi="Arial"/>
          <w:sz w:val="13"/>
          <w:szCs w:val="13"/>
          <w:color w:val="auto"/>
        </w:rPr>
        <w:t>Operating lease right-of-use assets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23495</wp:posOffset>
            </wp:positionV>
            <wp:extent cx="7170420" cy="11176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1">
                      <a:extLst>
                        <a:ext uri="{28A0092B-C50C-407E-A947-70E740481C1C}"/>
                      </a:extLst>
                    </a:blip>
                    <a:srcRect/>
                    <a:stretch>
                      <a:fillRect/>
                    </a:stretch>
                  </pic:blipFill>
                  <pic:spPr bwMode="auto">
                    <a:xfrm>
                      <a:off x="0" y="0"/>
                      <a:ext cx="7170420" cy="111760"/>
                    </a:xfrm>
                    <a:prstGeom prst="rect">
                      <a:avLst/>
                    </a:prstGeom>
                    <a:noFill/>
                  </pic:spPr>
                </pic:pic>
              </a:graphicData>
            </a:graphic>
          </wp:anchor>
        </w:drawing>
      </w:r>
    </w:p>
    <w:p>
      <w:pPr>
        <w:spacing w:after="0" w:line="185" w:lineRule="exact"/>
        <w:rPr>
          <w:sz w:val="20"/>
          <w:szCs w:val="20"/>
          <w:color w:val="auto"/>
        </w:rPr>
      </w:pPr>
    </w:p>
    <w:p>
      <w:pPr>
        <w:spacing w:after="0"/>
        <w:rPr>
          <w:sz w:val="20"/>
          <w:szCs w:val="20"/>
          <w:color w:val="auto"/>
        </w:rPr>
      </w:pPr>
      <w:r>
        <w:rPr>
          <w:rFonts w:ascii="Arial" w:cs="Arial" w:eastAsia="Arial" w:hAnsi="Arial"/>
          <w:sz w:val="13"/>
          <w:szCs w:val="13"/>
          <w:color w:val="auto"/>
        </w:rPr>
        <w:t>Operating lease liabilities, current portion</w:t>
      </w:r>
    </w:p>
    <w:p>
      <w:pPr>
        <w:spacing w:after="0" w:line="15" w:lineRule="exact"/>
        <w:rPr>
          <w:sz w:val="20"/>
          <w:szCs w:val="20"/>
          <w:color w:val="auto"/>
        </w:rPr>
      </w:pPr>
    </w:p>
    <w:p>
      <w:pPr>
        <w:spacing w:after="0"/>
        <w:rPr>
          <w:sz w:val="20"/>
          <w:szCs w:val="20"/>
          <w:color w:val="auto"/>
        </w:rPr>
      </w:pPr>
      <w:r>
        <w:rPr>
          <w:rFonts w:ascii="Arial" w:cs="Arial" w:eastAsia="Arial" w:hAnsi="Arial"/>
          <w:sz w:val="13"/>
          <w:szCs w:val="13"/>
          <w:color w:val="auto"/>
        </w:rPr>
        <w:t>Operating lease liabilities, non-current portion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-93345</wp:posOffset>
            </wp:positionV>
            <wp:extent cx="7170420" cy="10541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2">
                      <a:extLst>
                        <a:ext uri="{28A0092B-C50C-407E-A947-70E740481C1C}"/>
                      </a:extLst>
                    </a:blip>
                    <a:srcRect/>
                    <a:stretch>
                      <a:fillRect/>
                    </a:stretch>
                  </pic:blipFill>
                  <pic:spPr bwMode="auto">
                    <a:xfrm>
                      <a:off x="0" y="0"/>
                      <a:ext cx="7170420" cy="105410"/>
                    </a:xfrm>
                    <a:prstGeom prst="rect">
                      <a:avLst/>
                    </a:prstGeom>
                    <a:noFill/>
                  </pic:spPr>
                </pic:pic>
              </a:graphicData>
            </a:graphic>
          </wp:anchor>
        </w:drawing>
      </w:r>
    </w:p>
    <w:p>
      <w:pPr>
        <w:spacing w:after="0"/>
        <w:rPr>
          <w:sz w:val="20"/>
          <w:szCs w:val="20"/>
          <w:color w:val="auto"/>
        </w:rPr>
      </w:pPr>
      <w:r>
        <w:rPr>
          <w:rFonts w:ascii="Arial" w:cs="Arial" w:eastAsia="Arial" w:hAnsi="Arial"/>
          <w:sz w:val="13"/>
          <w:szCs w:val="13"/>
          <w:color w:val="auto"/>
        </w:rPr>
        <w:t>Total operating lease liabilities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77" w:lineRule="exact"/>
        <w:rPr>
          <w:sz w:val="20"/>
          <w:szCs w:val="20"/>
          <w:color w:val="auto"/>
        </w:rPr>
      </w:pPr>
    </w:p>
    <w:p>
      <w:pPr>
        <w:ind w:left="260"/>
        <w:spacing w:after="0"/>
        <w:rPr>
          <w:sz w:val="20"/>
          <w:szCs w:val="20"/>
          <w:color w:val="auto"/>
        </w:rPr>
      </w:pPr>
      <w:r>
        <w:rPr>
          <w:rFonts w:ascii="Arial" w:cs="Arial" w:eastAsia="Arial" w:hAnsi="Arial"/>
          <w:sz w:val="13"/>
          <w:szCs w:val="13"/>
          <w:color w:val="auto"/>
        </w:rPr>
        <w:t>June 30, 2021</w:t>
      </w:r>
    </w:p>
    <w:p>
      <w:pPr>
        <w:spacing w:after="0" w:line="193" w:lineRule="exact"/>
        <w:rPr>
          <w:sz w:val="20"/>
          <w:szCs w:val="20"/>
          <w:color w:val="auto"/>
        </w:rPr>
      </w:pPr>
    </w:p>
    <w:p>
      <w:pPr>
        <w:ind w:left="720" w:hanging="719"/>
        <w:spacing w:after="0"/>
        <w:tabs>
          <w:tab w:leader="none" w:pos="720" w:val="left"/>
        </w:tabs>
        <w:numPr>
          <w:ilvl w:val="0"/>
          <w:numId w:val="46"/>
        </w:numPr>
        <w:rPr>
          <w:rFonts w:ascii="Arial" w:cs="Arial" w:eastAsia="Arial" w:hAnsi="Arial"/>
          <w:sz w:val="11"/>
          <w:szCs w:val="11"/>
          <w:color w:val="auto"/>
        </w:rPr>
      </w:pPr>
      <w:r>
        <w:rPr>
          <w:rFonts w:ascii="Arial" w:cs="Arial" w:eastAsia="Arial" w:hAnsi="Arial"/>
          <w:sz w:val="11"/>
          <w:szCs w:val="11"/>
          <w:color w:val="auto"/>
        </w:rPr>
        <w:t>1,358,991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24765</wp:posOffset>
            </wp:positionV>
            <wp:extent cx="788670" cy="635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3">
                      <a:extLst>
                        <a:ext uri="{28A0092B-C50C-407E-A947-70E740481C1C}"/>
                      </a:extLst>
                    </a:blip>
                    <a:srcRect/>
                    <a:stretch>
                      <a:fillRect/>
                    </a:stretch>
                  </pic:blipFill>
                  <pic:spPr bwMode="auto">
                    <a:xfrm>
                      <a:off x="0" y="0"/>
                      <a:ext cx="788670" cy="6350"/>
                    </a:xfrm>
                    <a:prstGeom prst="rect">
                      <a:avLst/>
                    </a:prstGeom>
                    <a:noFill/>
                  </pic:spPr>
                </pic:pic>
              </a:graphicData>
            </a:graphic>
          </wp:anchor>
        </w:drawing>
      </w:r>
    </w:p>
    <w:p>
      <w:pPr>
        <w:spacing w:after="0" w:line="196" w:lineRule="exact"/>
        <w:rPr>
          <w:sz w:val="20"/>
          <w:szCs w:val="20"/>
          <w:color w:val="auto"/>
        </w:rPr>
      </w:pPr>
    </w:p>
    <w:p>
      <w:pPr>
        <w:jc w:val="right"/>
        <w:ind w:right="100"/>
        <w:spacing w:after="0"/>
        <w:rPr>
          <w:sz w:val="20"/>
          <w:szCs w:val="20"/>
          <w:color w:val="auto"/>
        </w:rPr>
      </w:pPr>
      <w:r>
        <w:rPr>
          <w:rFonts w:ascii="Arial" w:cs="Arial" w:eastAsia="Arial" w:hAnsi="Arial"/>
          <w:sz w:val="13"/>
          <w:szCs w:val="13"/>
          <w:color w:val="auto"/>
        </w:rPr>
        <w:t>602,997</w:t>
      </w:r>
    </w:p>
    <w:p>
      <w:pPr>
        <w:spacing w:after="0" w:line="17" w:lineRule="exact"/>
        <w:rPr>
          <w:sz w:val="20"/>
          <w:szCs w:val="20"/>
          <w:color w:val="auto"/>
        </w:rPr>
      </w:pPr>
    </w:p>
    <w:p>
      <w:pPr>
        <w:jc w:val="right"/>
        <w:ind w:right="100"/>
        <w:spacing w:after="0"/>
        <w:rPr>
          <w:sz w:val="20"/>
          <w:szCs w:val="20"/>
          <w:color w:val="auto"/>
        </w:rPr>
      </w:pPr>
      <w:r>
        <w:rPr>
          <w:rFonts w:ascii="Arial" w:cs="Arial" w:eastAsia="Arial" w:hAnsi="Arial"/>
          <w:sz w:val="13"/>
          <w:szCs w:val="13"/>
          <w:color w:val="auto"/>
        </w:rPr>
        <w:t>821,164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88670" cy="635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4">
                      <a:extLst>
                        <a:ext uri="{28A0092B-C50C-407E-A947-70E740481C1C}"/>
                      </a:extLst>
                    </a:blip>
                    <a:srcRect/>
                    <a:stretch>
                      <a:fillRect/>
                    </a:stretch>
                  </pic:blipFill>
                  <pic:spPr bwMode="auto">
                    <a:xfrm>
                      <a:off x="0" y="0"/>
                      <a:ext cx="788670" cy="6350"/>
                    </a:xfrm>
                    <a:prstGeom prst="rect">
                      <a:avLst/>
                    </a:prstGeom>
                    <a:noFill/>
                  </pic:spPr>
                </pic:pic>
              </a:graphicData>
            </a:graphic>
          </wp:anchor>
        </w:drawing>
      </w:r>
    </w:p>
    <w:p>
      <w:pPr>
        <w:spacing w:after="0" w:line="6" w:lineRule="exact"/>
        <w:rPr>
          <w:sz w:val="20"/>
          <w:szCs w:val="20"/>
          <w:color w:val="auto"/>
        </w:rPr>
      </w:pPr>
    </w:p>
    <w:p>
      <w:pPr>
        <w:ind w:left="720" w:hanging="719"/>
        <w:spacing w:after="0"/>
        <w:tabs>
          <w:tab w:leader="none" w:pos="720" w:val="left"/>
        </w:tabs>
        <w:numPr>
          <w:ilvl w:val="0"/>
          <w:numId w:val="47"/>
        </w:numPr>
        <w:rPr>
          <w:rFonts w:ascii="Arial" w:cs="Arial" w:eastAsia="Arial" w:hAnsi="Arial"/>
          <w:sz w:val="11"/>
          <w:szCs w:val="11"/>
          <w:color w:val="auto"/>
        </w:rPr>
      </w:pPr>
      <w:r>
        <w:rPr>
          <w:rFonts w:ascii="Arial" w:cs="Arial" w:eastAsia="Arial" w:hAnsi="Arial"/>
          <w:sz w:val="11"/>
          <w:szCs w:val="11"/>
          <w:color w:val="auto"/>
        </w:rPr>
        <w:t>1,424,161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24765</wp:posOffset>
            </wp:positionV>
            <wp:extent cx="788670" cy="635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5">
                      <a:extLst>
                        <a:ext uri="{28A0092B-C50C-407E-A947-70E740481C1C}"/>
                      </a:extLst>
                    </a:blip>
                    <a:srcRect/>
                    <a:stretch>
                      <a:fillRect/>
                    </a:stretch>
                  </pic:blipFill>
                  <pic:spPr bwMode="auto">
                    <a:xfrm>
                      <a:off x="0" y="0"/>
                      <a:ext cx="788670" cy="6350"/>
                    </a:xfrm>
                    <a:prstGeom prst="rect">
                      <a:avLst/>
                    </a:prstGeom>
                    <a:noFill/>
                  </pic:spPr>
                </pic:pic>
              </a:graphicData>
            </a:graphic>
          </wp:anchor>
        </w:drawing>
        <w:drawing>
          <wp:anchor simplePos="0" relativeHeight="251657728" behindDoc="1" locked="0" layoutInCell="0" allowOverlap="1">
            <wp:simplePos x="0" y="0"/>
            <wp:positionH relativeFrom="column">
              <wp:posOffset>635</wp:posOffset>
            </wp:positionH>
            <wp:positionV relativeFrom="paragraph">
              <wp:posOffset>36830</wp:posOffset>
            </wp:positionV>
            <wp:extent cx="788670" cy="635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6">
                      <a:extLst>
                        <a:ext uri="{28A0092B-C50C-407E-A947-70E740481C1C}"/>
                      </a:extLst>
                    </a:blip>
                    <a:srcRect/>
                    <a:stretch>
                      <a:fillRect/>
                    </a:stretch>
                  </pic:blipFill>
                  <pic:spPr bwMode="auto">
                    <a:xfrm>
                      <a:off x="0" y="0"/>
                      <a:ext cx="788670" cy="6350"/>
                    </a:xfrm>
                    <a:prstGeom prst="rect">
                      <a:avLst/>
                    </a:prstGeom>
                    <a:noFill/>
                  </pic:spPr>
                </pic:pic>
              </a:graphicData>
            </a:graphic>
          </wp:anchor>
        </w:drawing>
      </w:r>
    </w:p>
    <w:p>
      <w:pPr>
        <w:spacing w:after="0" w:line="203" w:lineRule="exact"/>
        <w:rPr>
          <w:sz w:val="20"/>
          <w:szCs w:val="20"/>
          <w:color w:val="auto"/>
        </w:rPr>
      </w:pPr>
    </w:p>
    <w:p>
      <w:pPr>
        <w:sectPr>
          <w:pgSz w:w="11900" w:h="16838" w:orient="portrait"/>
          <w:cols w:equalWidth="0" w:num="2">
            <w:col w:w="9220" w:space="720"/>
            <w:col w:w="1340"/>
          </w:cols>
          <w:pgMar w:left="300" w:top="850" w:right="319" w:bottom="1440" w:gutter="0" w:footer="0" w:header="0"/>
          <w:type w:val="continuous"/>
        </w:sectPr>
      </w:pPr>
    </w:p>
    <w:p>
      <w:pPr>
        <w:spacing w:after="0" w:line="169" w:lineRule="exact"/>
        <w:rPr>
          <w:sz w:val="20"/>
          <w:szCs w:val="20"/>
          <w:color w:val="auto"/>
        </w:rPr>
      </w:pPr>
    </w:p>
    <w:p>
      <w:pPr>
        <w:jc w:val="center"/>
        <w:spacing w:after="0"/>
        <w:rPr>
          <w:sz w:val="20"/>
          <w:szCs w:val="20"/>
          <w:color w:val="auto"/>
        </w:rPr>
      </w:pPr>
      <w:r>
        <w:rPr>
          <w:rFonts w:ascii="Arial" w:cs="Arial" w:eastAsia="Arial" w:hAnsi="Arial"/>
          <w:sz w:val="11"/>
          <w:szCs w:val="11"/>
          <w:color w:val="auto"/>
        </w:rPr>
        <w:t>F-48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24765</wp:posOffset>
            </wp:positionV>
            <wp:extent cx="7170420" cy="635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7">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850" w:right="319" w:bottom="1440" w:gutter="0" w:footer="0" w:header="0"/>
          <w:type w:val="continuous"/>
        </w:sectPr>
      </w:pPr>
    </w:p>
    <w:bookmarkStart w:id="110" w:name="page111"/>
    <w:bookmarkEnd w:id="110"/>
    <w:tbl>
      <w:tblPr>
        <w:tblLayout w:type="fixed"/>
        <w:tblInd w:w="0" w:type="dxa"/>
        <w:tblCellMar>
          <w:top w:w="0" w:type="dxa"/>
          <w:left w:w="0" w:type="dxa"/>
          <w:bottom w:w="0" w:type="dxa"/>
          <w:right w:w="0" w:type="dxa"/>
        </w:tblCellMar>
      </w:tblPr>
      <w:tr>
        <w:trPr>
          <w:trHeight w:val="168"/>
        </w:trPr>
        <w:tc>
          <w:tcPr>
            <w:tcW w:w="9940" w:type="dxa"/>
            <w:vAlign w:val="bottom"/>
            <w:gridSpan w:val="2"/>
          </w:tcPr>
          <w:p>
            <w:pPr>
              <w:spacing w:after="0"/>
              <w:rPr>
                <w:sz w:val="20"/>
                <w:szCs w:val="20"/>
                <w:color w:val="auto"/>
              </w:rPr>
            </w:pPr>
            <w:r>
              <w:rPr>
                <w:rFonts w:ascii="Arial" w:cs="Arial" w:eastAsia="Arial" w:hAnsi="Arial"/>
                <w:sz w:val="13"/>
                <w:szCs w:val="13"/>
                <w:b w:val="1"/>
                <w:bCs w:val="1"/>
                <w:color w:val="auto"/>
              </w:rPr>
              <w:t>NOTE 9: Commitments and contingencies (Continued)</w:t>
            </w:r>
          </w:p>
        </w:tc>
        <w:tc>
          <w:tcPr>
            <w:tcW w:w="2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10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13"/>
        </w:trPr>
        <w:tc>
          <w:tcPr>
            <w:tcW w:w="9940" w:type="dxa"/>
            <w:vAlign w:val="bottom"/>
            <w:gridSpan w:val="2"/>
          </w:tcPr>
          <w:p>
            <w:pPr>
              <w:spacing w:after="0"/>
              <w:rPr>
                <w:sz w:val="20"/>
                <w:szCs w:val="20"/>
                <w:color w:val="auto"/>
              </w:rPr>
            </w:pPr>
            <w:r>
              <w:rPr>
                <w:rFonts w:ascii="Arial" w:cs="Arial" w:eastAsia="Arial" w:hAnsi="Arial"/>
                <w:sz w:val="13"/>
                <w:szCs w:val="13"/>
                <w:color w:val="auto"/>
              </w:rPr>
              <w:t>As of June 30, 2021, future minimum operating lease payments for each of the next five years and thereafter is as follows:</w:t>
            </w:r>
          </w:p>
        </w:tc>
        <w:tc>
          <w:tcPr>
            <w:tcW w:w="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3"/>
        </w:trPr>
        <w:tc>
          <w:tcPr>
            <w:tcW w:w="9940" w:type="dxa"/>
            <w:vAlign w:val="bottom"/>
            <w:gridSpan w:val="2"/>
          </w:tcPr>
          <w:p>
            <w:pPr>
              <w:spacing w:after="0"/>
              <w:rPr>
                <w:sz w:val="20"/>
                <w:szCs w:val="20"/>
                <w:color w:val="auto"/>
              </w:rPr>
            </w:pPr>
            <w:r>
              <w:rPr>
                <w:rFonts w:ascii="Arial" w:cs="Arial" w:eastAsia="Arial" w:hAnsi="Arial"/>
                <w:sz w:val="13"/>
                <w:szCs w:val="13"/>
                <w:b w:val="1"/>
                <w:bCs w:val="1"/>
                <w:color w:val="auto"/>
              </w:rPr>
              <w:t>Years ending December 31,</w:t>
            </w:r>
          </w:p>
        </w:tc>
        <w:tc>
          <w:tcPr>
            <w:tcW w:w="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120" w:type="dxa"/>
            <w:vAlign w:val="bottom"/>
            <w:gridSpan w:val="2"/>
          </w:tcPr>
          <w:p>
            <w:pPr>
              <w:jc w:val="right"/>
              <w:ind w:right="500"/>
              <w:spacing w:after="0"/>
              <w:rPr>
                <w:sz w:val="20"/>
                <w:szCs w:val="20"/>
                <w:color w:val="auto"/>
              </w:rPr>
            </w:pPr>
            <w:r>
              <w:rPr>
                <w:rFonts w:ascii="Arial" w:cs="Arial" w:eastAsia="Arial" w:hAnsi="Arial"/>
                <w:sz w:val="13"/>
                <w:szCs w:val="13"/>
                <w:b w:val="1"/>
                <w:bCs w:val="1"/>
                <w:color w:val="auto"/>
              </w:rPr>
              <w:t>Amount</w:t>
            </w:r>
          </w:p>
        </w:tc>
        <w:tc>
          <w:tcPr>
            <w:tcW w:w="0" w:type="dxa"/>
            <w:vAlign w:val="bottom"/>
          </w:tcPr>
          <w:p>
            <w:pPr>
              <w:spacing w:after="0"/>
              <w:rPr>
                <w:sz w:val="1"/>
                <w:szCs w:val="1"/>
                <w:color w:val="auto"/>
              </w:rPr>
            </w:pPr>
          </w:p>
        </w:tc>
      </w:tr>
      <w:tr>
        <w:trPr>
          <w:trHeight w:val="147"/>
        </w:trPr>
        <w:tc>
          <w:tcPr>
            <w:tcW w:w="9820" w:type="dxa"/>
            <w:vAlign w:val="bottom"/>
            <w:tcBorders>
              <w:top w:val="single" w:sz="8" w:color="auto"/>
            </w:tcBorders>
            <w:shd w:val="clear" w:color="auto" w:fill="CCEEFF"/>
          </w:tcPr>
          <w:p>
            <w:pPr>
              <w:spacing w:after="0" w:line="147" w:lineRule="exact"/>
              <w:rPr>
                <w:sz w:val="20"/>
                <w:szCs w:val="20"/>
                <w:color w:val="auto"/>
              </w:rPr>
            </w:pPr>
            <w:r>
              <w:rPr>
                <w:rFonts w:ascii="Arial" w:cs="Arial" w:eastAsia="Arial" w:hAnsi="Arial"/>
                <w:sz w:val="13"/>
                <w:szCs w:val="13"/>
                <w:color w:val="auto"/>
              </w:rPr>
              <w:t>2021 (remaining)</w:t>
            </w:r>
          </w:p>
        </w:tc>
        <w:tc>
          <w:tcPr>
            <w:tcW w:w="120" w:type="dxa"/>
            <w:vAlign w:val="bottom"/>
            <w:tcBorders>
              <w:top w:val="single" w:sz="8" w:color="CCEEFF"/>
            </w:tcBorders>
            <w:shd w:val="clear" w:color="auto" w:fill="CCEEFF"/>
          </w:tcPr>
          <w:p>
            <w:pPr>
              <w:spacing w:after="0"/>
              <w:rPr>
                <w:sz w:val="12"/>
                <w:szCs w:val="12"/>
                <w:color w:val="auto"/>
              </w:rPr>
            </w:pPr>
          </w:p>
        </w:tc>
        <w:tc>
          <w:tcPr>
            <w:tcW w:w="20" w:type="dxa"/>
            <w:vAlign w:val="bottom"/>
            <w:tcBorders>
              <w:top w:val="single" w:sz="8" w:color="CCEEFF"/>
            </w:tcBorders>
            <w:shd w:val="clear" w:color="auto" w:fill="CCEEFF"/>
          </w:tcPr>
          <w:p>
            <w:pPr>
              <w:spacing w:after="0"/>
              <w:rPr>
                <w:sz w:val="12"/>
                <w:szCs w:val="12"/>
                <w:color w:val="auto"/>
              </w:rPr>
            </w:pPr>
          </w:p>
        </w:tc>
        <w:tc>
          <w:tcPr>
            <w:tcW w:w="200" w:type="dxa"/>
            <w:vAlign w:val="bottom"/>
            <w:tcBorders>
              <w:top w:val="single" w:sz="8" w:color="auto"/>
            </w:tcBorders>
            <w:shd w:val="clear" w:color="auto" w:fill="CCEEFF"/>
          </w:tcPr>
          <w:p>
            <w:pPr>
              <w:jc w:val="right"/>
              <w:ind w:right="133"/>
              <w:spacing w:after="0"/>
              <w:rPr>
                <w:sz w:val="20"/>
                <w:szCs w:val="20"/>
                <w:color w:val="auto"/>
              </w:rPr>
            </w:pPr>
            <w:r>
              <w:rPr>
                <w:rFonts w:ascii="Arial" w:cs="Arial" w:eastAsia="Arial" w:hAnsi="Arial"/>
                <w:sz w:val="5"/>
                <w:szCs w:val="5"/>
                <w:color w:val="auto"/>
                <w:w w:val="70"/>
              </w:rPr>
              <w:t>$</w:t>
            </w:r>
          </w:p>
        </w:tc>
        <w:tc>
          <w:tcPr>
            <w:tcW w:w="1020" w:type="dxa"/>
            <w:vAlign w:val="bottom"/>
            <w:tcBorders>
              <w:top w:val="single" w:sz="8" w:color="auto"/>
            </w:tcBorders>
            <w:shd w:val="clear" w:color="auto" w:fill="CCEEFF"/>
          </w:tcPr>
          <w:p>
            <w:pPr>
              <w:jc w:val="right"/>
              <w:spacing w:after="0" w:line="147" w:lineRule="exact"/>
              <w:rPr>
                <w:sz w:val="20"/>
                <w:szCs w:val="20"/>
                <w:color w:val="auto"/>
              </w:rPr>
            </w:pPr>
            <w:r>
              <w:rPr>
                <w:rFonts w:ascii="Arial" w:cs="Arial" w:eastAsia="Arial" w:hAnsi="Arial"/>
                <w:sz w:val="13"/>
                <w:szCs w:val="13"/>
                <w:color w:val="auto"/>
              </w:rPr>
              <w:t>369,460</w:t>
            </w:r>
          </w:p>
        </w:tc>
        <w:tc>
          <w:tcPr>
            <w:tcW w:w="100" w:type="dxa"/>
            <w:vAlign w:val="bottom"/>
            <w:tcBorders>
              <w:top w:val="single" w:sz="8" w:color="CCEEFF"/>
            </w:tcBorders>
            <w:shd w:val="clear" w:color="auto" w:fill="CCEEFF"/>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9820" w:type="dxa"/>
            <w:vAlign w:val="bottom"/>
          </w:tcPr>
          <w:p>
            <w:pPr>
              <w:spacing w:after="0"/>
              <w:rPr>
                <w:sz w:val="20"/>
                <w:szCs w:val="20"/>
                <w:color w:val="auto"/>
              </w:rPr>
            </w:pPr>
            <w:r>
              <w:rPr>
                <w:rFonts w:ascii="Arial" w:cs="Arial" w:eastAsia="Arial" w:hAnsi="Arial"/>
                <w:sz w:val="13"/>
                <w:szCs w:val="13"/>
                <w:color w:val="auto"/>
              </w:rPr>
              <w:t>2022</w:t>
            </w:r>
          </w:p>
        </w:tc>
        <w:tc>
          <w:tcPr>
            <w:tcW w:w="1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749,560</w:t>
            </w:r>
          </w:p>
        </w:tc>
        <w:tc>
          <w:tcPr>
            <w:tcW w:w="10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66"/>
        </w:trPr>
        <w:tc>
          <w:tcPr>
            <w:tcW w:w="9820" w:type="dxa"/>
            <w:vAlign w:val="bottom"/>
            <w:shd w:val="clear" w:color="auto" w:fill="CCEEFF"/>
          </w:tcPr>
          <w:p>
            <w:pPr>
              <w:spacing w:after="0"/>
              <w:rPr>
                <w:sz w:val="20"/>
                <w:szCs w:val="20"/>
                <w:color w:val="auto"/>
              </w:rPr>
            </w:pPr>
            <w:r>
              <w:rPr>
                <w:rFonts w:ascii="Arial" w:cs="Arial" w:eastAsia="Arial" w:hAnsi="Arial"/>
                <w:sz w:val="13"/>
                <w:szCs w:val="13"/>
                <w:color w:val="auto"/>
              </w:rPr>
              <w:t>2023</w:t>
            </w:r>
          </w:p>
        </w:tc>
        <w:tc>
          <w:tcPr>
            <w:tcW w:w="120" w:type="dxa"/>
            <w:vAlign w:val="bottom"/>
            <w:shd w:val="clear" w:color="auto" w:fill="CCEEFF"/>
          </w:tcPr>
          <w:p>
            <w:pPr>
              <w:spacing w:after="0"/>
              <w:rPr>
                <w:sz w:val="14"/>
                <w:szCs w:val="14"/>
                <w:color w:val="auto"/>
              </w:rPr>
            </w:pPr>
          </w:p>
        </w:tc>
        <w:tc>
          <w:tcPr>
            <w:tcW w:w="20" w:type="dxa"/>
            <w:vAlign w:val="bottom"/>
            <w:shd w:val="clear" w:color="auto" w:fill="CCEEFF"/>
          </w:tcPr>
          <w:p>
            <w:pPr>
              <w:spacing w:after="0"/>
              <w:rPr>
                <w:sz w:val="14"/>
                <w:szCs w:val="14"/>
                <w:color w:val="auto"/>
              </w:rPr>
            </w:pPr>
          </w:p>
        </w:tc>
        <w:tc>
          <w:tcPr>
            <w:tcW w:w="200" w:type="dxa"/>
            <w:vAlign w:val="bottom"/>
            <w:tcBorders>
              <w:bottom w:val="single" w:sz="8" w:color="auto"/>
            </w:tcBorders>
            <w:shd w:val="clear" w:color="auto" w:fill="CCEEFF"/>
          </w:tcPr>
          <w:p>
            <w:pPr>
              <w:spacing w:after="0"/>
              <w:rPr>
                <w:sz w:val="14"/>
                <w:szCs w:val="14"/>
                <w:color w:val="auto"/>
              </w:rPr>
            </w:pPr>
          </w:p>
        </w:tc>
        <w:tc>
          <w:tcPr>
            <w:tcW w:w="10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506,800</w:t>
            </w:r>
          </w:p>
        </w:tc>
        <w:tc>
          <w:tcPr>
            <w:tcW w:w="10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46"/>
        </w:trPr>
        <w:tc>
          <w:tcPr>
            <w:tcW w:w="9940" w:type="dxa"/>
            <w:vAlign w:val="bottom"/>
            <w:gridSpan w:val="2"/>
          </w:tcPr>
          <w:p>
            <w:pPr>
              <w:spacing w:after="0" w:line="145" w:lineRule="exact"/>
              <w:rPr>
                <w:sz w:val="20"/>
                <w:szCs w:val="20"/>
                <w:color w:val="auto"/>
              </w:rPr>
            </w:pPr>
            <w:r>
              <w:rPr>
                <w:rFonts w:ascii="Arial" w:cs="Arial" w:eastAsia="Arial" w:hAnsi="Arial"/>
                <w:sz w:val="13"/>
                <w:szCs w:val="13"/>
                <w:color w:val="auto"/>
              </w:rPr>
              <w:t>Total future minimum lease payments</w:t>
            </w:r>
          </w:p>
        </w:tc>
        <w:tc>
          <w:tcPr>
            <w:tcW w:w="2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1020" w:type="dxa"/>
            <w:vAlign w:val="bottom"/>
          </w:tcPr>
          <w:p>
            <w:pPr>
              <w:jc w:val="right"/>
              <w:spacing w:after="0" w:line="146" w:lineRule="exact"/>
              <w:rPr>
                <w:sz w:val="20"/>
                <w:szCs w:val="20"/>
                <w:color w:val="auto"/>
              </w:rPr>
            </w:pPr>
            <w:r>
              <w:rPr>
                <w:rFonts w:ascii="Arial" w:cs="Arial" w:eastAsia="Arial" w:hAnsi="Arial"/>
                <w:sz w:val="13"/>
                <w:szCs w:val="13"/>
                <w:color w:val="auto"/>
              </w:rPr>
              <w:t>1,625,820</w:t>
            </w:r>
          </w:p>
        </w:tc>
        <w:tc>
          <w:tcPr>
            <w:tcW w:w="10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66"/>
        </w:trPr>
        <w:tc>
          <w:tcPr>
            <w:tcW w:w="9940" w:type="dxa"/>
            <w:vAlign w:val="bottom"/>
            <w:gridSpan w:val="2"/>
            <w:shd w:val="clear" w:color="auto" w:fill="CCEEFF"/>
          </w:tcPr>
          <w:p>
            <w:pPr>
              <w:ind w:left="120"/>
              <w:spacing w:after="0"/>
              <w:rPr>
                <w:sz w:val="20"/>
                <w:szCs w:val="20"/>
                <w:color w:val="auto"/>
              </w:rPr>
            </w:pPr>
            <w:r>
              <w:rPr>
                <w:rFonts w:ascii="Arial" w:cs="Arial" w:eastAsia="Arial" w:hAnsi="Arial"/>
                <w:sz w:val="13"/>
                <w:szCs w:val="13"/>
                <w:color w:val="auto"/>
              </w:rPr>
              <w:t>Less - Interest</w:t>
            </w:r>
          </w:p>
        </w:tc>
        <w:tc>
          <w:tcPr>
            <w:tcW w:w="20" w:type="dxa"/>
            <w:vAlign w:val="bottom"/>
            <w:shd w:val="clear" w:color="auto" w:fill="CCEEFF"/>
          </w:tcPr>
          <w:p>
            <w:pPr>
              <w:spacing w:after="0"/>
              <w:rPr>
                <w:sz w:val="14"/>
                <w:szCs w:val="14"/>
                <w:color w:val="auto"/>
              </w:rPr>
            </w:pPr>
          </w:p>
        </w:tc>
        <w:tc>
          <w:tcPr>
            <w:tcW w:w="200" w:type="dxa"/>
            <w:vAlign w:val="bottom"/>
            <w:shd w:val="clear" w:color="auto" w:fill="CCEEFF"/>
          </w:tcPr>
          <w:p>
            <w:pPr>
              <w:spacing w:after="0"/>
              <w:rPr>
                <w:sz w:val="14"/>
                <w:szCs w:val="14"/>
                <w:color w:val="auto"/>
              </w:rPr>
            </w:pPr>
          </w:p>
        </w:tc>
        <w:tc>
          <w:tcPr>
            <w:tcW w:w="1120" w:type="dxa"/>
            <w:vAlign w:val="bottom"/>
            <w:gridSpan w:val="2"/>
            <w:shd w:val="clear" w:color="auto" w:fill="CCEEFF"/>
          </w:tcPr>
          <w:p>
            <w:pPr>
              <w:jc w:val="right"/>
              <w:ind w:right="60"/>
              <w:spacing w:after="0"/>
              <w:rPr>
                <w:sz w:val="20"/>
                <w:szCs w:val="20"/>
                <w:color w:val="auto"/>
              </w:rPr>
            </w:pPr>
            <w:r>
              <w:rPr>
                <w:rFonts w:ascii="Arial" w:cs="Arial" w:eastAsia="Arial" w:hAnsi="Arial"/>
                <w:sz w:val="13"/>
                <w:szCs w:val="13"/>
                <w:color w:val="auto"/>
              </w:rPr>
              <w:t>(201,659)</w:t>
            </w:r>
          </w:p>
        </w:tc>
        <w:tc>
          <w:tcPr>
            <w:tcW w:w="0" w:type="dxa"/>
            <w:vAlign w:val="bottom"/>
          </w:tcPr>
          <w:p>
            <w:pPr>
              <w:spacing w:after="0"/>
              <w:rPr>
                <w:sz w:val="1"/>
                <w:szCs w:val="1"/>
                <w:color w:val="auto"/>
              </w:rPr>
            </w:pPr>
          </w:p>
        </w:tc>
      </w:tr>
      <w:tr>
        <w:trPr>
          <w:trHeight w:val="20"/>
        </w:trPr>
        <w:tc>
          <w:tcPr>
            <w:tcW w:w="9940" w:type="dxa"/>
            <w:vAlign w:val="bottom"/>
            <w:gridSpan w:val="2"/>
            <w:vMerge w:val="restart"/>
          </w:tcPr>
          <w:p>
            <w:pPr>
              <w:spacing w:after="0"/>
              <w:rPr>
                <w:sz w:val="20"/>
                <w:szCs w:val="20"/>
                <w:color w:val="auto"/>
              </w:rPr>
            </w:pPr>
            <w:r>
              <w:rPr>
                <w:rFonts w:ascii="Arial" w:cs="Arial" w:eastAsia="Arial" w:hAnsi="Arial"/>
                <w:sz w:val="13"/>
                <w:szCs w:val="13"/>
                <w:color w:val="auto"/>
              </w:rPr>
              <w:t>Present value of lease liabilities</w:t>
            </w:r>
          </w:p>
        </w:tc>
        <w:tc>
          <w:tcPr>
            <w:tcW w:w="20" w:type="dxa"/>
            <w:vAlign w:val="bottom"/>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102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65"/>
        </w:trPr>
        <w:tc>
          <w:tcPr>
            <w:tcW w:w="9940" w:type="dxa"/>
            <w:vAlign w:val="bottom"/>
            <w:gridSpan w:val="2"/>
            <w:vMerge w:val="continue"/>
          </w:tcPr>
          <w:p>
            <w:pPr>
              <w:spacing w:after="0"/>
              <w:rPr>
                <w:sz w:val="14"/>
                <w:szCs w:val="14"/>
                <w:color w:val="auto"/>
              </w:rPr>
            </w:pPr>
          </w:p>
        </w:tc>
        <w:tc>
          <w:tcPr>
            <w:tcW w:w="220" w:type="dxa"/>
            <w:vAlign w:val="bottom"/>
            <w:tcBorders>
              <w:bottom w:val="single" w:sz="8" w:color="auto"/>
            </w:tcBorders>
            <w:gridSpan w:val="2"/>
          </w:tcPr>
          <w:p>
            <w:pPr>
              <w:jc w:val="right"/>
              <w:ind w:right="133"/>
              <w:spacing w:after="0"/>
              <w:rPr>
                <w:sz w:val="20"/>
                <w:szCs w:val="20"/>
                <w:color w:val="auto"/>
              </w:rPr>
            </w:pPr>
            <w:r>
              <w:rPr>
                <w:rFonts w:ascii="Arial" w:cs="Arial" w:eastAsia="Arial" w:hAnsi="Arial"/>
                <w:sz w:val="10"/>
                <w:szCs w:val="10"/>
                <w:color w:val="auto"/>
                <w:w w:val="71"/>
              </w:rPr>
              <w:t>$</w:t>
            </w:r>
          </w:p>
        </w:tc>
        <w:tc>
          <w:tcPr>
            <w:tcW w:w="10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1,424,161</w:t>
            </w:r>
          </w:p>
        </w:tc>
        <w:tc>
          <w:tcPr>
            <w:tcW w:w="100" w:type="dxa"/>
            <w:vAlign w:val="bottom"/>
          </w:tcPr>
          <w:p>
            <w:pPr>
              <w:spacing w:after="0"/>
              <w:rPr>
                <w:sz w:val="14"/>
                <w:szCs w:val="14"/>
                <w:color w:val="auto"/>
              </w:rPr>
            </w:pPr>
          </w:p>
        </w:tc>
        <w:tc>
          <w:tcPr>
            <w:tcW w:w="0" w:type="dxa"/>
            <w:vAlign w:val="bottom"/>
          </w:tcPr>
          <w:p>
            <w:pPr>
              <w:spacing w:after="0"/>
              <w:rPr>
                <w:sz w:val="1"/>
                <w:szCs w:val="1"/>
                <w:color w:val="auto"/>
              </w:rPr>
            </w:pPr>
          </w:p>
        </w:tc>
      </w:tr>
    </w:tbl>
    <w:p>
      <w:pPr>
        <w:spacing w:after="0" w:line="148"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Legal Matters</w:t>
      </w:r>
    </w:p>
    <w:p>
      <w:pPr>
        <w:spacing w:after="0" w:line="163" w:lineRule="exact"/>
        <w:rPr>
          <w:sz w:val="20"/>
          <w:szCs w:val="20"/>
          <w:color w:val="auto"/>
        </w:rPr>
      </w:pPr>
    </w:p>
    <w:p>
      <w:pPr>
        <w:jc w:val="both"/>
        <w:spacing w:after="0" w:line="274" w:lineRule="auto"/>
        <w:rPr>
          <w:sz w:val="20"/>
          <w:szCs w:val="20"/>
          <w:color w:val="auto"/>
        </w:rPr>
      </w:pPr>
      <w:r>
        <w:rPr>
          <w:rFonts w:ascii="Arial" w:cs="Arial" w:eastAsia="Arial" w:hAnsi="Arial"/>
          <w:sz w:val="13"/>
          <w:szCs w:val="13"/>
          <w:color w:val="auto"/>
        </w:rPr>
        <w:t>The Company may be subject to pending legal proceedings and regulatory actions in the ordinary course of business; however, no such claims have been identified as of June 30, 2021 that would have a material adverse effect on the Company’s financial position, results of operations or cash flows.</w:t>
      </w:r>
    </w:p>
    <w:p>
      <w:pPr>
        <w:spacing w:after="0" w:line="128" w:lineRule="exact"/>
        <w:rPr>
          <w:sz w:val="20"/>
          <w:szCs w:val="20"/>
          <w:color w:val="auto"/>
        </w:rPr>
      </w:pPr>
    </w:p>
    <w:p>
      <w:pPr>
        <w:jc w:val="both"/>
        <w:spacing w:after="0" w:line="281" w:lineRule="auto"/>
        <w:rPr>
          <w:sz w:val="20"/>
          <w:szCs w:val="20"/>
          <w:color w:val="auto"/>
        </w:rPr>
      </w:pPr>
      <w:r>
        <w:rPr>
          <w:rFonts w:ascii="Arial" w:cs="Arial" w:eastAsia="Arial" w:hAnsi="Arial"/>
          <w:sz w:val="12"/>
          <w:szCs w:val="12"/>
          <w:color w:val="auto"/>
        </w:rPr>
        <w:t>The Company from time to time enters into contracts that contingently require the Company to indemnify parties against third party claims. These contracts primarily relate to: (i) arrangements with Clients which generally include certain provisions for indemnifying Clients against liabilities if the services infringe a third party’s intellectual property rights, (ii) the Regulation A Issuer Agreement where the Company may be required to indemnify the placement agent for any loss, damage, expense or liability incurred by the other party in any claim arising out of a material breach (or alleged breach) as a result of any potential violation of any law or regulation, or any third party claim arising out of any investment or potential investment in the offering, and (iii) agreements with the Company’s officers and directors, under which the Company may be required to indemnify such persons from certain liabilities arising out of such persons’ relationships with the Company. The Company has not incurred any material costs as a result of such obligations and has not accrued any liabilities related to such obligations in the financial statements at June 30, 2021 and December 31, 2020.</w:t>
      </w:r>
    </w:p>
    <w:p>
      <w:pPr>
        <w:spacing w:after="0" w:line="126" w:lineRule="exact"/>
        <w:rPr>
          <w:sz w:val="20"/>
          <w:szCs w:val="20"/>
          <w:color w:val="auto"/>
        </w:rPr>
      </w:pPr>
    </w:p>
    <w:p>
      <w:pPr>
        <w:spacing w:after="0"/>
        <w:rPr>
          <w:sz w:val="20"/>
          <w:szCs w:val="20"/>
          <w:color w:val="auto"/>
        </w:rPr>
      </w:pPr>
      <w:r>
        <w:rPr>
          <w:rFonts w:ascii="Arial" w:cs="Arial" w:eastAsia="Arial" w:hAnsi="Arial"/>
          <w:sz w:val="13"/>
          <w:szCs w:val="13"/>
          <w:b w:val="1"/>
          <w:bCs w:val="1"/>
          <w:i w:val="1"/>
          <w:iCs w:val="1"/>
          <w:color w:val="auto"/>
        </w:rPr>
        <w:t>Sales Tax Contingencies</w:t>
      </w:r>
    </w:p>
    <w:p>
      <w:pPr>
        <w:spacing w:after="0" w:line="163" w:lineRule="exact"/>
        <w:rPr>
          <w:sz w:val="20"/>
          <w:szCs w:val="20"/>
          <w:color w:val="auto"/>
        </w:rPr>
      </w:pPr>
    </w:p>
    <w:p>
      <w:pPr>
        <w:jc w:val="both"/>
        <w:spacing w:after="0" w:line="255" w:lineRule="auto"/>
        <w:rPr>
          <w:sz w:val="20"/>
          <w:szCs w:val="20"/>
          <w:color w:val="auto"/>
        </w:rPr>
      </w:pPr>
      <w:r>
        <w:rPr>
          <w:rFonts w:ascii="Arial" w:cs="Arial" w:eastAsia="Arial" w:hAnsi="Arial"/>
          <w:sz w:val="13"/>
          <w:szCs w:val="13"/>
          <w:color w:val="auto"/>
        </w:rPr>
        <w:t>The Company has historically not collected state sales tax on the sale of its Machine-as-a-Service (“MaaS”) product offering but has paid sales tax and use tax on all purchases of raw materials and in conjunction with the Financing Arrangement of the Company’s ASRs with Farnam. The Company’s MaaS product offering may be subject to sales tax in certain jurisdictions. If a taxing authority were to successfully assert that the Company has not properly collected sales or other transaction taxes, or if sales or other transaction tax laws or the interpretation thereof were to change, and the Company was unable to enforce the terms of their contracts with Clients that give the right to reimbursement for the assessed sales taxes, tax liabilities in amounts that could be material may be incurred. Based on the Company’s assessment, the Company has recorded a sales tax liability of $345,169 and $313,406 at June 30, 2021 and December 31, 2020, respectively, which has been included on other current liabilities on the accompanying balance sheets. The Company continues to analyze possible sales tax exposure but does not currently believe that any individual claim or aggregate claims that might arise will ultimately have a material effect on its results of operations, financial position or cash flows.</w:t>
      </w:r>
    </w:p>
    <w:p>
      <w:pPr>
        <w:spacing w:after="0" w:line="135" w:lineRule="exact"/>
        <w:rPr>
          <w:sz w:val="20"/>
          <w:szCs w:val="20"/>
          <w:color w:val="auto"/>
        </w:rPr>
      </w:pPr>
    </w:p>
    <w:p>
      <w:pPr>
        <w:spacing w:after="0"/>
        <w:rPr>
          <w:sz w:val="20"/>
          <w:szCs w:val="20"/>
          <w:color w:val="auto"/>
        </w:rPr>
      </w:pPr>
      <w:r>
        <w:rPr>
          <w:rFonts w:ascii="Arial" w:cs="Arial" w:eastAsia="Arial" w:hAnsi="Arial"/>
          <w:sz w:val="13"/>
          <w:szCs w:val="13"/>
          <w:b w:val="1"/>
          <w:bCs w:val="1"/>
          <w:color w:val="auto"/>
        </w:rPr>
        <w:t>NOTE 10: Subsequent Events</w:t>
      </w:r>
    </w:p>
    <w:p>
      <w:pPr>
        <w:spacing w:after="0" w:line="167" w:lineRule="exact"/>
        <w:rPr>
          <w:sz w:val="20"/>
          <w:szCs w:val="20"/>
          <w:color w:val="auto"/>
        </w:rPr>
      </w:pPr>
    </w:p>
    <w:p>
      <w:pPr>
        <w:spacing w:after="0"/>
        <w:rPr>
          <w:sz w:val="20"/>
          <w:szCs w:val="20"/>
          <w:color w:val="auto"/>
        </w:rPr>
      </w:pPr>
      <w:r>
        <w:rPr>
          <w:rFonts w:ascii="Arial" w:cs="Arial" w:eastAsia="Arial" w:hAnsi="Arial"/>
          <w:sz w:val="13"/>
          <w:szCs w:val="13"/>
          <w:color w:val="auto"/>
        </w:rPr>
        <w:t>Management has evaluated subsequent events through September 28, 2021, the date the financial statements were available to be issued as well as events occurring through November 22, 2021.</w:t>
      </w:r>
    </w:p>
    <w:p>
      <w:pPr>
        <w:spacing w:after="0" w:line="163" w:lineRule="exact"/>
        <w:rPr>
          <w:sz w:val="20"/>
          <w:szCs w:val="20"/>
          <w:color w:val="auto"/>
        </w:rPr>
      </w:pPr>
    </w:p>
    <w:p>
      <w:pPr>
        <w:jc w:val="both"/>
        <w:spacing w:after="0" w:line="262" w:lineRule="auto"/>
        <w:rPr>
          <w:sz w:val="20"/>
          <w:szCs w:val="20"/>
          <w:color w:val="auto"/>
        </w:rPr>
      </w:pPr>
      <w:r>
        <w:rPr>
          <w:rFonts w:ascii="Arial" w:cs="Arial" w:eastAsia="Arial" w:hAnsi="Arial"/>
          <w:sz w:val="13"/>
          <w:szCs w:val="13"/>
          <w:color w:val="auto"/>
        </w:rPr>
        <w:t>On July 12, 2021, the Company entered into an engagement agreement with Digital Offering, LLC. The engagement agreement was subsequently superseded and replaced by a new engagement agreement executed on August 27, 2021 and subsequently amended on September 15, 2021, to act as the lead managing selling agent and book runner in connection with a qualified primary offering of Knightscope, Inc. common stock under Regulation A of the Securities Act of 1933, as amended, concurrent with a listing application submission to Nasdaq.</w:t>
      </w:r>
    </w:p>
    <w:p>
      <w:pPr>
        <w:spacing w:after="0" w:line="136" w:lineRule="exact"/>
        <w:rPr>
          <w:sz w:val="20"/>
          <w:szCs w:val="20"/>
          <w:color w:val="auto"/>
        </w:rPr>
      </w:pPr>
    </w:p>
    <w:p>
      <w:pPr>
        <w:jc w:val="both"/>
        <w:spacing w:after="0" w:line="317" w:lineRule="auto"/>
        <w:rPr>
          <w:sz w:val="20"/>
          <w:szCs w:val="20"/>
          <w:color w:val="auto"/>
        </w:rPr>
      </w:pPr>
      <w:r>
        <w:rPr>
          <w:rFonts w:ascii="Arial" w:cs="Arial" w:eastAsia="Arial" w:hAnsi="Arial"/>
          <w:sz w:val="12"/>
          <w:szCs w:val="12"/>
          <w:color w:val="auto"/>
        </w:rPr>
        <w:t>On August 20, 2021, the Company held the final closing and received a disbursement of funds from the Regulation A Offering that terminated on April 21, 2021. In connection with the Regulation A Posting Agreement with StartEngine entered into on June 11, 2020, StartEngine has held back $81,097 as a deposit hold, which is expected to be received by the Company on or about October 21, 2021.</w:t>
      </w:r>
    </w:p>
    <w:p>
      <w:pPr>
        <w:spacing w:after="0" w:line="105" w:lineRule="exact"/>
        <w:rPr>
          <w:sz w:val="20"/>
          <w:szCs w:val="20"/>
          <w:color w:val="auto"/>
        </w:rPr>
      </w:pPr>
    </w:p>
    <w:p>
      <w:pPr>
        <w:jc w:val="both"/>
        <w:spacing w:after="0" w:line="278" w:lineRule="auto"/>
        <w:rPr>
          <w:sz w:val="20"/>
          <w:szCs w:val="20"/>
          <w:color w:val="auto"/>
        </w:rPr>
      </w:pPr>
      <w:r>
        <w:rPr>
          <w:rFonts w:ascii="Arial" w:cs="Arial" w:eastAsia="Arial" w:hAnsi="Arial"/>
          <w:sz w:val="12"/>
          <w:szCs w:val="12"/>
          <w:color w:val="auto"/>
        </w:rPr>
        <w:t>On November 18, 2021, the Company agreed to amend the Note and Warrant Purchase Agreement (see Note 3 -- Debt Obligation -- Convertible Note Financing) and the convertible notes and warrants to purchase Series S Preferred Stock issued thereunder principally as follows: (i) the scheduled maturity date of the convertible notes was extended from January 1, 2022 to January 1, 2024, (ii) the interest rate of the convertible notes was reduced from 12% per annum to 3% per annum starting on January 1, 2022, (iii) the conversion terms of the convertible notes were revised so that the convertible notes will automatically convert into Class A Common Stock upon the listing of the Company’s common stock for trading on a nationally recognized securities exchange (e.g., the New York Stock Exchange) or inter-dealer quotation system (e.g., Nasdaq), (iv) the exercise period of the warrants was extended from December 31, 2021 to December 31, 2024 and will commence on January 1, 2023, and (v) the cashless exercise feature was removed from the warrants. The conversion price of the convertible notes for conversion into Class A Common Stock was not changed and remains at $2.50 per share and the exercise price of the warrants to purchase Series S Preferred Stock was not changed and remains at $4.50 per share. Subsequent to June 30, 2021 and through November 18, 2021, the Company received $9.6 million in the form of Convertible Notes containing the same terms and conditions as previously issued Convertible Notes and Warrants, as amended.</w:t>
      </w:r>
    </w:p>
    <w:p>
      <w:pPr>
        <w:spacing w:after="0" w:line="285"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F-49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10160</wp:posOffset>
            </wp:positionV>
            <wp:extent cx="7170420" cy="635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8">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p>
      <w:pPr>
        <w:sectPr>
          <w:pgSz w:w="11900" w:h="16838" w:orient="portrait"/>
          <w:cols w:equalWidth="0" w:num="1">
            <w:col w:w="11280"/>
          </w:cols>
          <w:pgMar w:left="300" w:top="694" w:right="319" w:bottom="1440" w:gutter="0" w:footer="0" w:header="0"/>
        </w:sectPr>
      </w:pPr>
    </w:p>
    <w:bookmarkStart w:id="111" w:name="page112"/>
    <w:bookmarkEnd w:id="111"/>
    <w:p>
      <w:pPr>
        <w:jc w:val="center"/>
        <w:spacing w:after="0"/>
        <w:rPr>
          <w:sz w:val="20"/>
          <w:szCs w:val="20"/>
          <w:color w:val="auto"/>
        </w:rPr>
      </w:pPr>
      <w:r>
        <w:rPr>
          <w:rFonts w:ascii="Arial" w:cs="Arial" w:eastAsia="Arial" w:hAnsi="Arial"/>
          <w:sz w:val="13"/>
          <w:szCs w:val="13"/>
          <w:b w:val="1"/>
          <w:bCs w:val="1"/>
          <w:color w:val="auto"/>
        </w:rPr>
        <w:t>UP TO 4,000,000 SHARES</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2"/>
          <w:szCs w:val="12"/>
          <w:b w:val="1"/>
          <w:bCs w:val="1"/>
          <w:color w:val="auto"/>
        </w:rPr>
        <w:t>CLASS A COMMON STOCK</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1522095</wp:posOffset>
            </wp:positionH>
            <wp:positionV relativeFrom="paragraph">
              <wp:posOffset>1104900</wp:posOffset>
            </wp:positionV>
            <wp:extent cx="2681605" cy="50292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9">
                      <a:extLst>
                        <a:ext uri="{28A0092B-C50C-407E-A947-70E740481C1C}"/>
                      </a:extLst>
                    </a:blip>
                    <a:srcRect/>
                    <a:stretch>
                      <a:fillRect/>
                    </a:stretch>
                  </pic:blipFill>
                  <pic:spPr bwMode="auto">
                    <a:xfrm>
                      <a:off x="0" y="0"/>
                      <a:ext cx="2681605" cy="5029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OFFERING CIRCULAR</w:t>
      </w:r>
    </w:p>
    <w:p>
      <w:pPr>
        <w:spacing w:after="0" w:line="19" w:lineRule="exact"/>
        <w:rPr>
          <w:sz w:val="20"/>
          <w:szCs w:val="20"/>
          <w:color w:val="auto"/>
        </w:rPr>
      </w:pPr>
    </w:p>
    <w:p>
      <w:pPr>
        <w:jc w:val="center"/>
        <w:spacing w:after="0"/>
        <w:rPr>
          <w:sz w:val="20"/>
          <w:szCs w:val="20"/>
          <w:color w:val="auto"/>
        </w:rPr>
      </w:pPr>
      <w:r>
        <w:rPr>
          <w:rFonts w:ascii="Arial" w:cs="Arial" w:eastAsia="Arial" w:hAnsi="Arial"/>
          <w:sz w:val="13"/>
          <w:szCs w:val="13"/>
          <w:b w:val="1"/>
          <w:bCs w:val="1"/>
          <w:color w:val="auto"/>
        </w:rPr>
        <w:t>NOVEMBER 29, 2021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-724535</wp:posOffset>
            </wp:positionH>
            <wp:positionV relativeFrom="paragraph">
              <wp:posOffset>203835</wp:posOffset>
            </wp:positionV>
            <wp:extent cx="7170420" cy="635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0">
                      <a:extLst>
                        <a:ext uri="{28A0092B-C50C-407E-A947-70E740481C1C}"/>
                      </a:extLst>
                    </a:blip>
                    <a:srcRect/>
                    <a:stretch>
                      <a:fillRect/>
                    </a:stretch>
                  </pic:blipFill>
                  <pic:spPr bwMode="auto">
                    <a:xfrm>
                      <a:off x="0" y="0"/>
                      <a:ext cx="7170420" cy="6350"/>
                    </a:xfrm>
                    <a:prstGeom prst="rect">
                      <a:avLst/>
                    </a:prstGeom>
                    <a:noFill/>
                  </pic:spPr>
                </pic:pic>
              </a:graphicData>
            </a:graphic>
          </wp:anchor>
        </w:drawing>
      </w:r>
    </w:p>
    <w:sectPr>
      <w:pgSz w:w="11900" w:h="16838" w:orient="portrait"/>
      <w:cols w:equalWidth="0" w:num="1">
        <w:col w:w="9019"/>
      </w:cols>
      <w:pgMar w:left="1440" w:top="694"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5A2A8D4"/>
    <w:multiLevelType w:val="hybridMultilevel"/>
    <w:lvl w:ilvl="0">
      <w:lvlJc w:val="left"/>
      <w:lvlText w:val="*"/>
      <w:numFmt w:val="bullet"/>
      <w:start w:val="1"/>
    </w:lvl>
  </w:abstractNum>
  <w:abstractNum w:abstractNumId="1">
    <w:nsid w:val="8EDBDAB"/>
    <w:multiLevelType w:val="hybridMultilevel"/>
    <w:lvl w:ilvl="0">
      <w:lvlJc w:val="left"/>
      <w:lvlText w:val="·"/>
      <w:numFmt w:val="bullet"/>
      <w:start w:val="1"/>
    </w:lvl>
  </w:abstractNum>
  <w:abstractNum w:abstractNumId="2">
    <w:nsid w:val="79838CB2"/>
    <w:multiLevelType w:val="hybridMultilevel"/>
    <w:lvl w:ilvl="0">
      <w:lvlJc w:val="left"/>
      <w:lvlText w:val="(%1)"/>
      <w:numFmt w:val="decimal"/>
      <w:start w:val="1"/>
    </w:lvl>
  </w:abstractNum>
  <w:abstractNum w:abstractNumId="3">
    <w:nsid w:val="4353D0CD"/>
    <w:multiLevelType w:val="hybridMultilevel"/>
    <w:lvl w:ilvl="0">
      <w:lvlJc w:val="left"/>
      <w:lvlText w:val="·"/>
      <w:numFmt w:val="bullet"/>
      <w:start w:val="1"/>
    </w:lvl>
  </w:abstractNum>
  <w:abstractNum w:abstractNumId="4">
    <w:nsid w:val="B03E0C6"/>
    <w:multiLevelType w:val="hybridMultilevel"/>
    <w:lvl w:ilvl="0">
      <w:lvlJc w:val="left"/>
      <w:lvlText w:val="·"/>
      <w:numFmt w:val="bullet"/>
      <w:start w:val="1"/>
    </w:lvl>
  </w:abstractNum>
  <w:abstractNum w:abstractNumId="5">
    <w:nsid w:val="189A769B"/>
    <w:multiLevelType w:val="hybridMultilevel"/>
    <w:lvl w:ilvl="0">
      <w:lvlJc w:val="left"/>
      <w:lvlText w:val="·"/>
      <w:numFmt w:val="bullet"/>
      <w:start w:val="1"/>
    </w:lvl>
  </w:abstractNum>
  <w:abstractNum w:abstractNumId="6">
    <w:nsid w:val="54E49EB4"/>
    <w:multiLevelType w:val="hybridMultilevel"/>
    <w:lvl w:ilvl="0">
      <w:lvlJc w:val="left"/>
      <w:lvlText w:val="·"/>
      <w:numFmt w:val="bullet"/>
      <w:start w:val="1"/>
    </w:lvl>
  </w:abstractNum>
  <w:abstractNum w:abstractNumId="7">
    <w:nsid w:val="71F32454"/>
    <w:multiLevelType w:val="hybridMultilevel"/>
    <w:lvl w:ilvl="0">
      <w:lvlJc w:val="left"/>
      <w:lvlText w:val="·"/>
      <w:numFmt w:val="bullet"/>
      <w:start w:val="1"/>
    </w:lvl>
  </w:abstractNum>
  <w:abstractNum w:abstractNumId="8">
    <w:nsid w:val="2CA88611"/>
    <w:multiLevelType w:val="hybridMultilevel"/>
    <w:lvl w:ilvl="0">
      <w:lvlJc w:val="left"/>
      <w:lvlText w:val="·"/>
      <w:numFmt w:val="bullet"/>
      <w:start w:val="1"/>
    </w:lvl>
  </w:abstractNum>
  <w:abstractNum w:abstractNumId="9">
    <w:nsid w:val="836C40E"/>
    <w:multiLevelType w:val="hybridMultilevel"/>
    <w:lvl w:ilvl="0">
      <w:lvlJc w:val="left"/>
      <w:lvlText w:val="·"/>
      <w:numFmt w:val="bullet"/>
      <w:start w:val="1"/>
    </w:lvl>
  </w:abstractNum>
  <w:abstractNum w:abstractNumId="10">
    <w:nsid w:val="2901D82"/>
    <w:multiLevelType w:val="hybridMultilevel"/>
    <w:lvl w:ilvl="0">
      <w:lvlJc w:val="left"/>
      <w:lvlText w:val="·"/>
      <w:numFmt w:val="bullet"/>
      <w:start w:val="1"/>
    </w:lvl>
  </w:abstractNum>
  <w:abstractNum w:abstractNumId="11">
    <w:nsid w:val="3A95F874"/>
    <w:multiLevelType w:val="hybridMultilevel"/>
    <w:lvl w:ilvl="0">
      <w:lvlJc w:val="left"/>
      <w:lvlText w:val="(%1)"/>
      <w:numFmt w:val="decimal"/>
      <w:start w:val="1"/>
    </w:lvl>
  </w:abstractNum>
  <w:abstractNum w:abstractNumId="12">
    <w:nsid w:val="8138641"/>
    <w:multiLevelType w:val="hybridMultilevel"/>
    <w:lvl w:ilvl="0">
      <w:lvlJc w:val="left"/>
      <w:lvlText w:val="(%1)"/>
      <w:numFmt w:val="decimal"/>
      <w:start w:val="3"/>
    </w:lvl>
  </w:abstractNum>
  <w:abstractNum w:abstractNumId="13">
    <w:nsid w:val="1E7FF521"/>
    <w:multiLevelType w:val="hybridMultilevel"/>
    <w:lvl w:ilvl="0">
      <w:lvlJc w:val="left"/>
      <w:lvlText w:val="(%1)"/>
      <w:numFmt w:val="decimal"/>
      <w:start w:val="8"/>
    </w:lvl>
  </w:abstractNum>
  <w:abstractNum w:abstractNumId="14">
    <w:nsid w:val="7C3DBD3D"/>
    <w:multiLevelType w:val="hybridMultilevel"/>
    <w:lvl w:ilvl="0">
      <w:lvlJc w:val="left"/>
      <w:lvlText w:val="$"/>
      <w:numFmt w:val="bullet"/>
      <w:start w:val="1"/>
    </w:lvl>
  </w:abstractNum>
  <w:abstractNum w:abstractNumId="15">
    <w:nsid w:val="737B8DDC"/>
    <w:multiLevelType w:val="hybridMultilevel"/>
    <w:lvl w:ilvl="0">
      <w:lvlJc w:val="left"/>
      <w:lvlText w:val="$"/>
      <w:numFmt w:val="bullet"/>
      <w:start w:val="1"/>
    </w:lvl>
  </w:abstractNum>
  <w:abstractNum w:abstractNumId="16">
    <w:nsid w:val="6CEAF087"/>
    <w:multiLevelType w:val="hybridMultilevel"/>
    <w:lvl w:ilvl="0">
      <w:lvlJc w:val="left"/>
      <w:lvlText w:val="$"/>
      <w:numFmt w:val="bullet"/>
      <w:start w:val="1"/>
    </w:lvl>
  </w:abstractNum>
  <w:abstractNum w:abstractNumId="17">
    <w:nsid w:val="22221A70"/>
    <w:multiLevelType w:val="hybridMultilevel"/>
    <w:lvl w:ilvl="0">
      <w:lvlJc w:val="left"/>
      <w:lvlText w:val="·"/>
      <w:numFmt w:val="bullet"/>
      <w:start w:val="1"/>
    </w:lvl>
  </w:abstractNum>
  <w:abstractNum w:abstractNumId="18">
    <w:nsid w:val="4516DDE9"/>
    <w:multiLevelType w:val="hybridMultilevel"/>
    <w:lvl w:ilvl="0">
      <w:lvlJc w:val="left"/>
      <w:lvlText w:val="·"/>
      <w:numFmt w:val="bullet"/>
      <w:start w:val="1"/>
    </w:lvl>
  </w:abstractNum>
  <w:abstractNum w:abstractNumId="19">
    <w:nsid w:val="3006C83E"/>
    <w:multiLevelType w:val="hybridMultilevel"/>
    <w:lvl w:ilvl="0">
      <w:lvlJc w:val="left"/>
      <w:lvlText w:val="·"/>
      <w:numFmt w:val="bullet"/>
      <w:start w:val="1"/>
    </w:lvl>
  </w:abstractNum>
  <w:abstractNum w:abstractNumId="20">
    <w:nsid w:val="614FD4A1"/>
    <w:multiLevelType w:val="hybridMultilevel"/>
    <w:lvl w:ilvl="0">
      <w:lvlJc w:val="left"/>
      <w:lvlText w:val="·"/>
      <w:numFmt w:val="bullet"/>
      <w:start w:val="1"/>
    </w:lvl>
  </w:abstractNum>
  <w:abstractNum w:abstractNumId="21">
    <w:nsid w:val="419AC241"/>
    <w:multiLevelType w:val="hybridMultilevel"/>
    <w:lvl w:ilvl="0">
      <w:lvlJc w:val="left"/>
      <w:lvlText w:val="·"/>
      <w:numFmt w:val="bullet"/>
      <w:start w:val="1"/>
    </w:lvl>
  </w:abstractNum>
  <w:abstractNum w:abstractNumId="22">
    <w:nsid w:val="5577F8E1"/>
    <w:multiLevelType w:val="hybridMultilevel"/>
    <w:lvl w:ilvl="0">
      <w:lvlJc w:val="left"/>
      <w:lvlText w:val="·"/>
      <w:numFmt w:val="bullet"/>
      <w:start w:val="1"/>
    </w:lvl>
  </w:abstractNum>
  <w:abstractNum w:abstractNumId="23">
    <w:nsid w:val="440BADFC"/>
    <w:multiLevelType w:val="hybridMultilevel"/>
    <w:lvl w:ilvl="0">
      <w:lvlJc w:val="left"/>
      <w:lvlText w:val="(%1)"/>
      <w:numFmt w:val="decimal"/>
      <w:start w:val="1"/>
    </w:lvl>
  </w:abstractNum>
  <w:abstractNum w:abstractNumId="24">
    <w:nsid w:val="5072367"/>
    <w:multiLevelType w:val="hybridMultilevel"/>
    <w:lvl w:ilvl="0">
      <w:lvlJc w:val="left"/>
      <w:lvlText w:val="·"/>
      <w:numFmt w:val="bullet"/>
      <w:start w:val="1"/>
    </w:lvl>
  </w:abstractNum>
  <w:abstractNum w:abstractNumId="25">
    <w:nsid w:val="3804823E"/>
    <w:multiLevelType w:val="hybridMultilevel"/>
    <w:lvl w:ilvl="0">
      <w:lvlJc w:val="left"/>
      <w:lvlText w:val="*"/>
      <w:numFmt w:val="bullet"/>
      <w:start w:val="1"/>
    </w:lvl>
  </w:abstractNum>
  <w:abstractNum w:abstractNumId="26">
    <w:nsid w:val="77465F01"/>
    <w:multiLevelType w:val="hybridMultilevel"/>
    <w:lvl w:ilvl="0">
      <w:lvlJc w:val="left"/>
      <w:lvlText w:val="(%1)"/>
      <w:numFmt w:val="decimal"/>
      <w:start w:val="1"/>
    </w:lvl>
  </w:abstractNum>
  <w:abstractNum w:abstractNumId="27">
    <w:nsid w:val="7724C67E"/>
    <w:multiLevelType w:val="hybridMultilevel"/>
    <w:lvl w:ilvl="0">
      <w:lvlJc w:val="left"/>
      <w:lvlText w:val="·"/>
      <w:numFmt w:val="bullet"/>
      <w:start w:val="1"/>
    </w:lvl>
  </w:abstractNum>
  <w:abstractNum w:abstractNumId="28">
    <w:nsid w:val="5C482A97"/>
    <w:multiLevelType w:val="hybridMultilevel"/>
    <w:lvl w:ilvl="0">
      <w:lvlJc w:val="left"/>
      <w:lvlText w:val="o"/>
      <w:numFmt w:val="bullet"/>
      <w:start w:val="1"/>
    </w:lvl>
  </w:abstractNum>
  <w:abstractNum w:abstractNumId="29">
    <w:nsid w:val="2463B9EA"/>
    <w:multiLevelType w:val="hybridMultilevel"/>
    <w:lvl w:ilvl="0">
      <w:lvlJc w:val="left"/>
      <w:lvlText w:val="·"/>
      <w:numFmt w:val="bullet"/>
      <w:start w:val="1"/>
    </w:lvl>
  </w:abstractNum>
  <w:abstractNum w:abstractNumId="30">
    <w:nsid w:val="5E884ADC"/>
    <w:multiLevelType w:val="hybridMultilevel"/>
    <w:lvl w:ilvl="0">
      <w:lvlJc w:val="left"/>
      <w:lvlText w:val="(%1)"/>
      <w:numFmt w:val="lowerRoman"/>
      <w:start w:val="2"/>
    </w:lvl>
  </w:abstractNum>
  <w:abstractNum w:abstractNumId="31">
    <w:nsid w:val="51EAD36B"/>
    <w:multiLevelType w:val="hybridMultilevel"/>
    <w:lvl w:ilvl="0">
      <w:lvlJc w:val="left"/>
      <w:lvlText w:val="●"/>
      <w:numFmt w:val="bullet"/>
      <w:start w:val="1"/>
    </w:lvl>
  </w:abstractNum>
  <w:abstractNum w:abstractNumId="32">
    <w:nsid w:val="2D517796"/>
    <w:multiLevelType w:val="hybridMultilevel"/>
    <w:lvl w:ilvl="0">
      <w:lvlJc w:val="left"/>
      <w:lvlText w:val="●"/>
      <w:numFmt w:val="bullet"/>
      <w:start w:val="1"/>
    </w:lvl>
  </w:abstractNum>
  <w:abstractNum w:abstractNumId="33">
    <w:nsid w:val="580BD78F"/>
    <w:multiLevelType w:val="hybridMultilevel"/>
    <w:lvl w:ilvl="0">
      <w:lvlJc w:val="left"/>
      <w:lvlText w:val="•"/>
      <w:numFmt w:val="bullet"/>
      <w:start w:val="1"/>
    </w:lvl>
  </w:abstractNum>
  <w:abstractNum w:abstractNumId="34">
    <w:nsid w:val="153EA438"/>
    <w:multiLevelType w:val="hybridMultilevel"/>
    <w:lvl w:ilvl="0">
      <w:lvlJc w:val="left"/>
      <w:lvlText w:val="•"/>
      <w:numFmt w:val="bullet"/>
      <w:start w:val="1"/>
    </w:lvl>
  </w:abstractNum>
  <w:abstractNum w:abstractNumId="35">
    <w:nsid w:val="3855585C"/>
    <w:multiLevelType w:val="hybridMultilevel"/>
    <w:lvl w:ilvl="0">
      <w:lvlJc w:val="left"/>
      <w:lvlText w:val="(%1)"/>
      <w:numFmt w:val="lowerRoman"/>
      <w:start w:val="1"/>
    </w:lvl>
  </w:abstractNum>
  <w:abstractNum w:abstractNumId="36">
    <w:nsid w:val="70A64E2A"/>
    <w:multiLevelType w:val="hybridMultilevel"/>
    <w:lvl w:ilvl="0">
      <w:lvlJc w:val="left"/>
      <w:lvlText w:val="·"/>
      <w:numFmt w:val="bullet"/>
      <w:start w:val="1"/>
    </w:lvl>
  </w:abstractNum>
  <w:abstractNum w:abstractNumId="37">
    <w:nsid w:val="6A2342EC"/>
    <w:multiLevelType w:val="hybridMultilevel"/>
    <w:lvl w:ilvl="0">
      <w:lvlJc w:val="left"/>
      <w:lvlText w:val="·"/>
      <w:numFmt w:val="bullet"/>
      <w:start w:val="1"/>
    </w:lvl>
  </w:abstractNum>
  <w:abstractNum w:abstractNumId="38">
    <w:nsid w:val="2A487CB0"/>
    <w:multiLevelType w:val="hybridMultilevel"/>
    <w:lvl w:ilvl="0">
      <w:lvlJc w:val="left"/>
      <w:lvlText w:val="(%1)"/>
      <w:numFmt w:val="lowerRoman"/>
      <w:start w:val="1"/>
    </w:lvl>
  </w:abstractNum>
  <w:abstractNum w:abstractNumId="39">
    <w:nsid w:val="1D4ED43B"/>
    <w:multiLevelType w:val="hybridMultilevel"/>
    <w:lvl w:ilvl="0">
      <w:lvlJc w:val="left"/>
      <w:lvlText w:val="(%1)"/>
      <w:numFmt w:val="upperLetter"/>
      <w:start w:val="2"/>
    </w:lvl>
  </w:abstractNum>
  <w:abstractNum w:abstractNumId="40">
    <w:nsid w:val="725A06FB"/>
    <w:multiLevelType w:val="hybridMultilevel"/>
    <w:lvl w:ilvl="0">
      <w:lvlJc w:val="left"/>
      <w:lvlText w:val="·"/>
      <w:numFmt w:val="bullet"/>
      <w:start w:val="1"/>
    </w:lvl>
  </w:abstractNum>
  <w:abstractNum w:abstractNumId="41">
    <w:nsid w:val="2CD89A32"/>
    <w:multiLevelType w:val="hybridMultilevel"/>
    <w:lvl w:ilvl="0">
      <w:lvlJc w:val="left"/>
      <w:lvlText w:val="·"/>
      <w:numFmt w:val="bullet"/>
      <w:start w:val="1"/>
    </w:lvl>
  </w:abstractNum>
  <w:abstractNum w:abstractNumId="42">
    <w:nsid w:val="57E4CCAF"/>
    <w:multiLevelType w:val="hybridMultilevel"/>
    <w:lvl w:ilvl="0">
      <w:lvlJc w:val="left"/>
      <w:lvlText w:val="·"/>
      <w:numFmt w:val="bullet"/>
      <w:start w:val="1"/>
    </w:lvl>
  </w:abstractNum>
  <w:abstractNum w:abstractNumId="43">
    <w:nsid w:val="7A6D8D3C"/>
    <w:multiLevelType w:val="hybridMultilevel"/>
    <w:lvl w:ilvl="0">
      <w:lvlJc w:val="left"/>
      <w:lvlText w:val="(%1)"/>
      <w:numFmt w:val="lowerRoman"/>
      <w:start w:val="1"/>
    </w:lvl>
  </w:abstractNum>
  <w:abstractNum w:abstractNumId="44">
    <w:nsid w:val="4B588F54"/>
    <w:multiLevelType w:val="hybridMultilevel"/>
    <w:lvl w:ilvl="0">
      <w:lvlJc w:val="left"/>
      <w:lvlText w:val="(%1)"/>
      <w:numFmt w:val="upperLetter"/>
      <w:start w:val="2"/>
    </w:lvl>
  </w:abstractNum>
  <w:abstractNum w:abstractNumId="45">
    <w:nsid w:val="542289EC"/>
    <w:multiLevelType w:val="hybridMultilevel"/>
    <w:lvl w:ilvl="0">
      <w:lvlJc w:val="left"/>
      <w:lvlText w:val="$"/>
      <w:numFmt w:val="bullet"/>
      <w:start w:val="1"/>
    </w:lvl>
  </w:abstractNum>
  <w:abstractNum w:abstractNumId="46">
    <w:nsid w:val="6DE91B18"/>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png"/><Relationship Id="rId94" Type="http://schemas.openxmlformats.org/officeDocument/2006/relationships/image" Target="media/image87.png"/><Relationship Id="rId95" Type="http://schemas.openxmlformats.org/officeDocument/2006/relationships/image" Target="media/image88.png"/><Relationship Id="rId96" Type="http://schemas.openxmlformats.org/officeDocument/2006/relationships/image" Target="media/image89.png"/><Relationship Id="rId97" Type="http://schemas.openxmlformats.org/officeDocument/2006/relationships/image" Target="media/image90.png"/><Relationship Id="rId98" Type="http://schemas.openxmlformats.org/officeDocument/2006/relationships/image" Target="media/image91.png"/><Relationship Id="rId99" Type="http://schemas.openxmlformats.org/officeDocument/2006/relationships/image" Target="media/image92.png"/><Relationship Id="rId100" Type="http://schemas.openxmlformats.org/officeDocument/2006/relationships/image" Target="media/image93.png"/><Relationship Id="rId101" Type="http://schemas.openxmlformats.org/officeDocument/2006/relationships/image" Target="media/image94.png"/><Relationship Id="rId102" Type="http://schemas.openxmlformats.org/officeDocument/2006/relationships/image" Target="media/image95.png"/><Relationship Id="rId103" Type="http://schemas.openxmlformats.org/officeDocument/2006/relationships/image" Target="media/image96.png"/><Relationship Id="rId104" Type="http://schemas.openxmlformats.org/officeDocument/2006/relationships/image" Target="media/image97.png"/><Relationship Id="rId105" Type="http://schemas.openxmlformats.org/officeDocument/2006/relationships/image" Target="media/image98.png"/><Relationship Id="rId106" Type="http://schemas.openxmlformats.org/officeDocument/2006/relationships/image" Target="media/image99.png"/><Relationship Id="rId107" Type="http://schemas.openxmlformats.org/officeDocument/2006/relationships/image" Target="media/image100.png"/><Relationship Id="rId108" Type="http://schemas.openxmlformats.org/officeDocument/2006/relationships/image" Target="media/image101.png"/><Relationship Id="rId109" Type="http://schemas.openxmlformats.org/officeDocument/2006/relationships/image" Target="media/image102.png"/><Relationship Id="rId110" Type="http://schemas.openxmlformats.org/officeDocument/2006/relationships/image" Target="media/image103.png"/><Relationship Id="rId111" Type="http://schemas.openxmlformats.org/officeDocument/2006/relationships/image" Target="media/image104.png"/><Relationship Id="rId112" Type="http://schemas.openxmlformats.org/officeDocument/2006/relationships/image" Target="media/image105.png"/><Relationship Id="rId113" Type="http://schemas.openxmlformats.org/officeDocument/2006/relationships/image" Target="media/image106.png"/><Relationship Id="rId114" Type="http://schemas.openxmlformats.org/officeDocument/2006/relationships/image" Target="media/image107.png"/><Relationship Id="rId115" Type="http://schemas.openxmlformats.org/officeDocument/2006/relationships/image" Target="media/image108.png"/><Relationship Id="rId116" Type="http://schemas.openxmlformats.org/officeDocument/2006/relationships/image" Target="media/image109.png"/><Relationship Id="rId117" Type="http://schemas.openxmlformats.org/officeDocument/2006/relationships/image" Target="media/image110.png"/><Relationship Id="rId118" Type="http://schemas.openxmlformats.org/officeDocument/2006/relationships/image" Target="media/image111.png"/><Relationship Id="rId119" Type="http://schemas.openxmlformats.org/officeDocument/2006/relationships/image" Target="media/image112.png"/><Relationship Id="rId120" Type="http://schemas.openxmlformats.org/officeDocument/2006/relationships/image" Target="media/image113.png"/><Relationship Id="rId121" Type="http://schemas.openxmlformats.org/officeDocument/2006/relationships/image" Target="media/image114.png"/><Relationship Id="rId122" Type="http://schemas.openxmlformats.org/officeDocument/2006/relationships/image" Target="media/image115.png"/><Relationship Id="rId123" Type="http://schemas.openxmlformats.org/officeDocument/2006/relationships/image" Target="media/image116.png"/><Relationship Id="rId124" Type="http://schemas.openxmlformats.org/officeDocument/2006/relationships/image" Target="media/image117.png"/><Relationship Id="rId125" Type="http://schemas.openxmlformats.org/officeDocument/2006/relationships/image" Target="media/image118.png"/><Relationship Id="rId126" Type="http://schemas.openxmlformats.org/officeDocument/2006/relationships/image" Target="media/image119.png"/><Relationship Id="rId127" Type="http://schemas.openxmlformats.org/officeDocument/2006/relationships/image" Target="media/image120.png"/><Relationship Id="rId128" Type="http://schemas.openxmlformats.org/officeDocument/2006/relationships/image" Target="media/image121.png"/><Relationship Id="rId129" Type="http://schemas.openxmlformats.org/officeDocument/2006/relationships/image" Target="media/image122.png"/><Relationship Id="rId130" Type="http://schemas.openxmlformats.org/officeDocument/2006/relationships/image" Target="media/image123.png"/><Relationship Id="rId131" Type="http://schemas.openxmlformats.org/officeDocument/2006/relationships/image" Target="media/image124.png"/><Relationship Id="rId132" Type="http://schemas.openxmlformats.org/officeDocument/2006/relationships/image" Target="media/image125.png"/><Relationship Id="rId133" Type="http://schemas.openxmlformats.org/officeDocument/2006/relationships/image" Target="media/image126.png"/><Relationship Id="rId134" Type="http://schemas.openxmlformats.org/officeDocument/2006/relationships/image" Target="media/image127.png"/><Relationship Id="rId135" Type="http://schemas.openxmlformats.org/officeDocument/2006/relationships/image" Target="media/image128.png"/><Relationship Id="rId136" Type="http://schemas.openxmlformats.org/officeDocument/2006/relationships/image" Target="media/image129.png"/><Relationship Id="rId137" Type="http://schemas.openxmlformats.org/officeDocument/2006/relationships/image" Target="media/image130.png"/><Relationship Id="rId138" Type="http://schemas.openxmlformats.org/officeDocument/2006/relationships/image" Target="media/image131.png"/><Relationship Id="rId139" Type="http://schemas.openxmlformats.org/officeDocument/2006/relationships/image" Target="media/image132.jpeg"/><Relationship Id="rId140" Type="http://schemas.openxmlformats.org/officeDocument/2006/relationships/image" Target="media/image13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2021-11-30T11:13:50Z</dcterms:created>
  <dcterms:modified xsi:type="dcterms:W3CDTF">2021-11-30T11:13:50Z</dcterms:modified>
</cp:coreProperties>
</file>