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440055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509270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137795</wp:posOffset>
            </wp:positionV>
            <wp:extent cx="2202815" cy="300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Knightscope,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64"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2760" w:type="dxa"/>
            <w:vAlign w:val="bottom"/>
          </w:tcPr>
          <w:p>
            <w:pPr>
              <w:jc w:val="center"/>
              <w:ind w:right="590"/>
              <w:spacing w:after="0"/>
              <w:rPr>
                <w:sz w:val="20"/>
                <w:szCs w:val="20"/>
                <w:color w:val="auto"/>
              </w:rPr>
            </w:pPr>
            <w:r>
              <w:rPr>
                <w:rFonts w:ascii="Arial" w:cs="Arial" w:eastAsia="Arial" w:hAnsi="Arial"/>
                <w:sz w:val="18"/>
                <w:szCs w:val="18"/>
                <w:color w:val="auto"/>
                <w:w w:val="99"/>
              </w:rPr>
              <w:t>Delaware</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9"/>
              </w:rPr>
              <w:t>001-41248</w:t>
            </w:r>
          </w:p>
        </w:tc>
        <w:tc>
          <w:tcPr>
            <w:tcW w:w="2280" w:type="dxa"/>
            <w:vAlign w:val="bottom"/>
          </w:tcPr>
          <w:p>
            <w:pPr>
              <w:jc w:val="center"/>
              <w:ind w:left="790"/>
              <w:spacing w:after="0"/>
              <w:rPr>
                <w:sz w:val="20"/>
                <w:szCs w:val="20"/>
                <w:color w:val="auto"/>
              </w:rPr>
            </w:pPr>
            <w:r>
              <w:rPr>
                <w:rFonts w:ascii="Arial" w:cs="Arial" w:eastAsia="Arial" w:hAnsi="Arial"/>
                <w:sz w:val="18"/>
                <w:szCs w:val="18"/>
                <w:color w:val="auto"/>
                <w:w w:val="99"/>
              </w:rPr>
              <w:t>46-2482575</w:t>
            </w:r>
          </w:p>
        </w:tc>
      </w:tr>
      <w:tr>
        <w:trPr>
          <w:trHeight w:val="203"/>
        </w:trPr>
        <w:tc>
          <w:tcPr>
            <w:tcW w:w="2760" w:type="dxa"/>
            <w:vAlign w:val="bottom"/>
          </w:tcPr>
          <w:p>
            <w:pPr>
              <w:jc w:val="center"/>
              <w:ind w:right="610"/>
              <w:spacing w:after="0" w:line="202" w:lineRule="exact"/>
              <w:rPr>
                <w:sz w:val="20"/>
                <w:szCs w:val="20"/>
                <w:color w:val="auto"/>
              </w:rPr>
            </w:pPr>
            <w:r>
              <w:rPr>
                <w:rFonts w:ascii="Arial" w:cs="Arial" w:eastAsia="Arial" w:hAnsi="Arial"/>
                <w:sz w:val="18"/>
                <w:szCs w:val="18"/>
                <w:i w:val="1"/>
                <w:iCs w:val="1"/>
                <w:color w:val="auto"/>
              </w:rPr>
              <w:t>(State or other jurisdiction</w:t>
            </w:r>
          </w:p>
        </w:tc>
        <w:tc>
          <w:tcPr>
            <w:tcW w:w="2620" w:type="dxa"/>
            <w:vAlign w:val="bottom"/>
          </w:tcPr>
          <w:p>
            <w:pPr>
              <w:jc w:val="center"/>
              <w:ind w:right="70"/>
              <w:spacing w:after="0" w:line="202" w:lineRule="exact"/>
              <w:rPr>
                <w:sz w:val="20"/>
                <w:szCs w:val="20"/>
                <w:color w:val="auto"/>
              </w:rPr>
            </w:pPr>
            <w:r>
              <w:rPr>
                <w:rFonts w:ascii="Arial" w:cs="Arial" w:eastAsia="Arial" w:hAnsi="Arial"/>
                <w:sz w:val="18"/>
                <w:szCs w:val="18"/>
                <w:i w:val="1"/>
                <w:iCs w:val="1"/>
                <w:color w:val="auto"/>
              </w:rPr>
              <w:t>(Commission</w:t>
            </w:r>
          </w:p>
        </w:tc>
        <w:tc>
          <w:tcPr>
            <w:tcW w:w="2280" w:type="dxa"/>
            <w:vAlign w:val="bottom"/>
          </w:tcPr>
          <w:p>
            <w:pPr>
              <w:jc w:val="center"/>
              <w:ind w:left="790"/>
              <w:spacing w:after="0" w:line="202" w:lineRule="exact"/>
              <w:rPr>
                <w:sz w:val="20"/>
                <w:szCs w:val="20"/>
                <w:color w:val="auto"/>
              </w:rPr>
            </w:pPr>
            <w:r>
              <w:rPr>
                <w:rFonts w:ascii="Arial" w:cs="Arial" w:eastAsia="Arial" w:hAnsi="Arial"/>
                <w:sz w:val="18"/>
                <w:szCs w:val="18"/>
                <w:i w:val="1"/>
                <w:iCs w:val="1"/>
                <w:color w:val="auto"/>
                <w:w w:val="99"/>
              </w:rPr>
              <w:t>(IRS Employer</w:t>
            </w:r>
          </w:p>
        </w:tc>
      </w:tr>
      <w:tr>
        <w:trPr>
          <w:trHeight w:val="237"/>
        </w:trPr>
        <w:tc>
          <w:tcPr>
            <w:tcW w:w="2760" w:type="dxa"/>
            <w:vAlign w:val="bottom"/>
          </w:tcPr>
          <w:p>
            <w:pPr>
              <w:jc w:val="center"/>
              <w:ind w:right="610"/>
              <w:spacing w:after="0"/>
              <w:rPr>
                <w:sz w:val="20"/>
                <w:szCs w:val="20"/>
                <w:color w:val="auto"/>
              </w:rPr>
            </w:pPr>
            <w:r>
              <w:rPr>
                <w:rFonts w:ascii="Arial" w:cs="Arial" w:eastAsia="Arial" w:hAnsi="Arial"/>
                <w:sz w:val="18"/>
                <w:szCs w:val="18"/>
                <w:i w:val="1"/>
                <w:iCs w:val="1"/>
                <w:color w:val="auto"/>
                <w:w w:val="99"/>
              </w:rPr>
              <w:t>of incorporation)</w:t>
            </w:r>
          </w:p>
        </w:tc>
        <w:tc>
          <w:tcPr>
            <w:tcW w:w="2620" w:type="dxa"/>
            <w:vAlign w:val="bottom"/>
          </w:tcPr>
          <w:p>
            <w:pPr>
              <w:jc w:val="center"/>
              <w:ind w:right="50"/>
              <w:spacing w:after="0"/>
              <w:rPr>
                <w:sz w:val="20"/>
                <w:szCs w:val="20"/>
                <w:color w:val="auto"/>
              </w:rPr>
            </w:pPr>
            <w:r>
              <w:rPr>
                <w:rFonts w:ascii="Arial" w:cs="Arial" w:eastAsia="Arial" w:hAnsi="Arial"/>
                <w:sz w:val="18"/>
                <w:szCs w:val="18"/>
                <w:i w:val="1"/>
                <w:iCs w:val="1"/>
                <w:color w:val="auto"/>
                <w:w w:val="99"/>
              </w:rPr>
              <w:t>File Number)</w:t>
            </w:r>
          </w:p>
        </w:tc>
        <w:tc>
          <w:tcPr>
            <w:tcW w:w="2280" w:type="dxa"/>
            <w:vAlign w:val="bottom"/>
          </w:tcPr>
          <w:p>
            <w:pPr>
              <w:jc w:val="center"/>
              <w:ind w:left="79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305 North Mathilda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Sunnyvale, California 94085</w:t>
      </w:r>
    </w:p>
    <w:p>
      <w:pPr>
        <w:jc w:val="center"/>
        <w:spacing w:after="0"/>
        <w:rPr>
          <w:sz w:val="20"/>
          <w:szCs w:val="20"/>
          <w:color w:val="auto"/>
        </w:rPr>
      </w:pPr>
      <w:r>
        <w:rPr>
          <w:rFonts w:ascii="Arial" w:cs="Arial" w:eastAsia="Arial" w:hAnsi="Arial"/>
          <w:sz w:val="18"/>
          <w:szCs w:val="18"/>
          <w:i w:val="1"/>
          <w:iCs w:val="1"/>
          <w:color w:val="auto"/>
        </w:rPr>
        <w:t>(Address of principal executive offices)(Zip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(650) 924-1025</w:t>
      </w:r>
    </w:p>
    <w:p>
      <w:pPr>
        <w:spacing w:after="0" w:line="77" w:lineRule="exact"/>
        <w:rPr>
          <w:sz w:val="24"/>
          <w:szCs w:val="24"/>
          <w:color w:val="auto"/>
        </w:rPr>
      </w:pPr>
    </w:p>
    <w:p>
      <w:pPr>
        <w:ind w:left="60" w:right="59"/>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w:t>
      </w:r>
    </w:p>
    <w:p>
      <w:pPr>
        <w:spacing w:after="0" w:line="27" w:lineRule="exact"/>
        <w:rPr>
          <w:rFonts w:ascii="MS PGothic" w:cs="MS PGothic" w:eastAsia="MS PGothic" w:hAnsi="MS PGothic"/>
          <w:sz w:val="18"/>
          <w:szCs w:val="18"/>
          <w:color w:val="auto"/>
        </w:rPr>
      </w:pPr>
    </w:p>
    <w:p>
      <w:pPr>
        <w:ind w:left="60"/>
        <w:spacing w:after="0"/>
        <w:rPr>
          <w:rFonts w:ascii="MS PGothic" w:cs="MS PGothic" w:eastAsia="MS PGothic" w:hAnsi="MS PGothic"/>
          <w:sz w:val="18"/>
          <w:szCs w:val="18"/>
          <w:color w:val="auto"/>
        </w:rPr>
      </w:pPr>
      <w:r>
        <w:rPr>
          <w:rFonts w:ascii="Arial" w:cs="Arial" w:eastAsia="Arial" w:hAnsi="Arial"/>
          <w:sz w:val="18"/>
          <w:szCs w:val="18"/>
          <w:color w:val="auto"/>
        </w:rPr>
        <w:t>2(b))</w:t>
      </w:r>
    </w:p>
    <w:p>
      <w:pPr>
        <w:spacing w:after="0" w:line="58"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w:t>
      </w:r>
    </w:p>
    <w:p>
      <w:pPr>
        <w:spacing w:after="0" w:line="27" w:lineRule="exact"/>
        <w:rPr>
          <w:rFonts w:ascii="MS PGothic" w:cs="MS PGothic" w:eastAsia="MS PGothic" w:hAnsi="MS PGothic"/>
          <w:sz w:val="18"/>
          <w:szCs w:val="18"/>
          <w:color w:val="auto"/>
        </w:rPr>
      </w:pPr>
    </w:p>
    <w:p>
      <w:pPr>
        <w:ind w:left="60"/>
        <w:spacing w:after="0"/>
        <w:rPr>
          <w:rFonts w:ascii="MS PGothic" w:cs="MS PGothic" w:eastAsia="MS PGothic" w:hAnsi="MS PGothic"/>
          <w:sz w:val="18"/>
          <w:szCs w:val="18"/>
          <w:color w:val="auto"/>
        </w:rPr>
      </w:pPr>
      <w:r>
        <w:rPr>
          <w:rFonts w:ascii="Arial" w:cs="Arial" w:eastAsia="Arial" w:hAnsi="Arial"/>
          <w:sz w:val="18"/>
          <w:szCs w:val="18"/>
          <w:color w:val="auto"/>
        </w:rPr>
        <w:t>4(c))</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56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360" w:type="dxa"/>
            <w:vAlign w:val="bottom"/>
          </w:tcPr>
          <w:p>
            <w:pPr>
              <w:jc w:val="center"/>
              <w:ind w:right="230"/>
              <w:spacing w:after="0"/>
              <w:rPr>
                <w:sz w:val="20"/>
                <w:szCs w:val="20"/>
                <w:color w:val="auto"/>
              </w:rPr>
            </w:pPr>
            <w:r>
              <w:rPr>
                <w:rFonts w:ascii="Arial" w:cs="Arial" w:eastAsia="Arial" w:hAnsi="Arial"/>
                <w:sz w:val="18"/>
                <w:szCs w:val="18"/>
                <w:color w:val="auto"/>
                <w:w w:val="99"/>
              </w:rPr>
              <w:t>Trading symbol(s)</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   Name of each exchange on which</w:t>
            </w:r>
          </w:p>
        </w:tc>
      </w:tr>
      <w:tr>
        <w:trPr>
          <w:trHeight w:val="235"/>
        </w:trPr>
        <w:tc>
          <w:tcPr>
            <w:tcW w:w="2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registered</w:t>
            </w:r>
          </w:p>
        </w:tc>
      </w:tr>
      <w:tr>
        <w:trPr>
          <w:trHeight w:val="177"/>
        </w:trPr>
        <w:tc>
          <w:tcPr>
            <w:tcW w:w="2560" w:type="dxa"/>
            <w:vAlign w:val="bottom"/>
          </w:tcPr>
          <w:p>
            <w:pPr>
              <w:jc w:val="center"/>
              <w:spacing w:after="0" w:line="177" w:lineRule="exact"/>
              <w:rPr>
                <w:sz w:val="20"/>
                <w:szCs w:val="20"/>
                <w:color w:val="auto"/>
              </w:rPr>
            </w:pPr>
            <w:r>
              <w:rPr>
                <w:rFonts w:ascii="Arial" w:cs="Arial" w:eastAsia="Arial" w:hAnsi="Arial"/>
                <w:sz w:val="18"/>
                <w:szCs w:val="18"/>
                <w:color w:val="auto"/>
                <w:w w:val="99"/>
              </w:rPr>
              <w:t>Class A Common Stock, par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tcPr>
          <w:p>
            <w:pPr>
              <w:jc w:val="center"/>
              <w:ind w:right="250"/>
              <w:spacing w:after="0" w:line="177" w:lineRule="exact"/>
              <w:rPr>
                <w:sz w:val="20"/>
                <w:szCs w:val="20"/>
                <w:color w:val="auto"/>
              </w:rPr>
            </w:pPr>
            <w:r>
              <w:rPr>
                <w:rFonts w:ascii="Arial" w:cs="Arial" w:eastAsia="Arial" w:hAnsi="Arial"/>
                <w:sz w:val="18"/>
                <w:szCs w:val="18"/>
                <w:color w:val="auto"/>
              </w:rPr>
              <w:t>KSCP</w:t>
            </w:r>
          </w:p>
        </w:tc>
        <w:tc>
          <w:tcPr>
            <w:tcW w:w="180" w:type="dxa"/>
            <w:vAlign w:val="bottom"/>
          </w:tcPr>
          <w:p>
            <w:pPr>
              <w:spacing w:after="0"/>
              <w:rPr>
                <w:sz w:val="15"/>
                <w:szCs w:val="15"/>
                <w:color w:val="auto"/>
              </w:rPr>
            </w:pPr>
          </w:p>
        </w:tc>
        <w:tc>
          <w:tcPr>
            <w:tcW w:w="3280" w:type="dxa"/>
            <w:vAlign w:val="bottom"/>
          </w:tcPr>
          <w:p>
            <w:pPr>
              <w:jc w:val="center"/>
              <w:spacing w:after="0" w:line="177" w:lineRule="exact"/>
              <w:rPr>
                <w:sz w:val="20"/>
                <w:szCs w:val="20"/>
                <w:color w:val="auto"/>
              </w:rPr>
            </w:pPr>
            <w:r>
              <w:rPr>
                <w:rFonts w:ascii="Arial" w:cs="Arial" w:eastAsia="Arial" w:hAnsi="Arial"/>
                <w:sz w:val="18"/>
                <w:szCs w:val="18"/>
                <w:color w:val="auto"/>
                <w:w w:val="99"/>
              </w:rPr>
              <w:t>Nasdaq Capital Market</w:t>
            </w:r>
          </w:p>
        </w:tc>
      </w:tr>
      <w:tr>
        <w:trPr>
          <w:trHeight w:val="239"/>
        </w:trPr>
        <w:tc>
          <w:tcPr>
            <w:tcW w:w="2560" w:type="dxa"/>
            <w:vAlign w:val="bottom"/>
          </w:tcPr>
          <w:p>
            <w:pPr>
              <w:jc w:val="center"/>
              <w:spacing w:after="0"/>
              <w:rPr>
                <w:sz w:val="20"/>
                <w:szCs w:val="20"/>
                <w:color w:val="auto"/>
              </w:rPr>
            </w:pPr>
            <w:r>
              <w:rPr>
                <w:rFonts w:ascii="Arial" w:cs="Arial" w:eastAsia="Arial" w:hAnsi="Arial"/>
                <w:sz w:val="18"/>
                <w:szCs w:val="18"/>
                <w:color w:val="auto"/>
                <w:w w:val="99"/>
              </w:rPr>
              <w:t>value $0.001 per share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153" w:lineRule="exact"/>
        <w:rPr>
          <w:sz w:val="24"/>
          <w:szCs w:val="24"/>
          <w:color w:val="auto"/>
        </w:rPr>
      </w:pPr>
    </w:p>
    <w:p>
      <w:pPr>
        <w:jc w:val="both"/>
        <w:ind w:left="60" w:right="79"/>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left="60" w:right="59"/>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496570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85090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FORM 8-K/A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REPORT</w:t>
      </w:r>
    </w:p>
    <w:p>
      <w:pPr>
        <w:ind w:left="60"/>
        <w:spacing w:after="0" w:line="234" w:lineRule="auto"/>
        <w:rPr>
          <w:sz w:val="20"/>
          <w:szCs w:val="20"/>
          <w:color w:val="auto"/>
        </w:rPr>
      </w:pPr>
      <w:r>
        <w:rPr>
          <w:rFonts w:ascii="Arial" w:cs="Arial" w:eastAsia="Arial" w:hAnsi="Arial"/>
          <w:sz w:val="18"/>
          <w:szCs w:val="18"/>
          <w:b w:val="1"/>
          <w:bCs w:val="1"/>
          <w:color w:val="auto"/>
        </w:rPr>
        <w:t>Pursuant to Section 13 or 15(d) of the Securities Exchange Act of 1934</w:t>
      </w:r>
    </w:p>
    <w:p>
      <w:pPr>
        <w:ind w:left="60"/>
        <w:spacing w:after="0" w:line="235" w:lineRule="auto"/>
        <w:rPr>
          <w:sz w:val="20"/>
          <w:szCs w:val="20"/>
          <w:color w:val="auto"/>
        </w:rPr>
      </w:pPr>
      <w:r>
        <w:rPr>
          <w:rFonts w:ascii="Arial" w:cs="Arial" w:eastAsia="Arial" w:hAnsi="Arial"/>
          <w:sz w:val="18"/>
          <w:szCs w:val="18"/>
          <w:b w:val="1"/>
          <w:bCs w:val="1"/>
          <w:color w:val="auto"/>
        </w:rPr>
        <w:t>Entity Registrant Name: Knightscope, Inc.</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OPEN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This Amendment No. 1 on Form 8-K/A (this “Amendment”) to the Current Report on Form 8-K filed with the Securities and Exchange Commission on March 3, 2026 (the “Initial Report”) is being filed to include the historical financial statements of Event Risk, LLC required by Item 9.01(a) of Form 8-K and the unaudited pro forma condensed consolidated financial information required by Article 11 of Regulation S-X in connection with the acquisition of Event Risk that were omitted from the Initial Report as permitted by Items 9.01(a) and (b) of Form 8-K. Except as described in this Amendment, the Initial Report remains unchanged.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2.01 – Completion of Acquisition or Disposition of Assets</w:t>
      </w:r>
    </w:p>
    <w:p>
      <w:pPr>
        <w:spacing w:after="0" w:line="198" w:lineRule="exact"/>
        <w:rPr>
          <w:sz w:val="20"/>
          <w:szCs w:val="20"/>
          <w:color w:val="auto"/>
        </w:rPr>
      </w:pPr>
    </w:p>
    <w:p>
      <w:pPr>
        <w:ind w:left="60" w:right="419"/>
        <w:spacing w:after="0" w:line="244" w:lineRule="auto"/>
        <w:rPr>
          <w:sz w:val="20"/>
          <w:szCs w:val="20"/>
          <w:color w:val="auto"/>
        </w:rPr>
      </w:pPr>
      <w:r>
        <w:rPr>
          <w:rFonts w:ascii="Arial" w:cs="Arial" w:eastAsia="Arial" w:hAnsi="Arial"/>
          <w:sz w:val="18"/>
          <w:szCs w:val="18"/>
          <w:color w:val="auto"/>
        </w:rPr>
        <w:t>On February 27, 2026 (the “Closing Date”), Knightscope, Inc., a Delaware corporation (the “Company” or “Knightscope”), entered into a Securities Purchase Agreement (the “Purchase Agreement”) with Event Risk LLC, an Indiana limited liability company (“Event Risk”), and Eric Rose (the “Seller”), pursuant to which Knightscope acquired all of the issued and outstanding membership interests of Event Risk (collectively, the “Transaction”).</w:t>
      </w:r>
    </w:p>
    <w:p>
      <w:pPr>
        <w:spacing w:after="0" w:line="16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pro forma financial information included in this Amendment has been presented for informational purposes only and is not necessarily indicative of the consolidated financial position or results of operations that would have been realized had the Transaction occurred as of the dates indicated, nor is it meant to be indicative of any anticipated financial position or future results of operations that the Company will experience after the Transaction. Except as set forth herein, no modifications have been made to information in the Initial Report, and the Company has not updated any information contained therein to reflect events that have occurred since the date of the Initial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Financial Statements of Businesses Acquired</w:t>
      </w:r>
    </w:p>
    <w:p>
      <w:pPr>
        <w:spacing w:after="0" w:line="212"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The audited financial statements of Event Risk as of December 31, 2025 and 2024, respectively, and for the years then ended and the accompanying notes thereto, are filed as Exhibit 99.1 hereto and incorporated by reference into this Item 9.01(a).</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Pro Forma Financial Information</w:t>
      </w:r>
    </w:p>
    <w:p>
      <w:pPr>
        <w:spacing w:after="0" w:line="212"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color w:val="auto"/>
        </w:rPr>
        <w:t>The following unaudited pro forma financial information of the Company is filed as Exhibit 99.2 hereto and incorporated by reference into this Item 9.01(b):</w:t>
      </w:r>
    </w:p>
    <w:p>
      <w:pPr>
        <w:spacing w:after="0" w:line="154" w:lineRule="exact"/>
        <w:rPr>
          <w:sz w:val="20"/>
          <w:szCs w:val="20"/>
          <w:color w:val="auto"/>
        </w:rPr>
      </w:pPr>
    </w:p>
    <w:p>
      <w:pPr>
        <w:ind w:left="60" w:right="419" w:hanging="10"/>
        <w:spacing w:after="0" w:line="271"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Unaudited Pro Forma Condensed Combined Statements of Operations for the year ended December 31, 2025 and the three months ended March 31, 2026; and</w:t>
      </w:r>
    </w:p>
    <w:p>
      <w:pPr>
        <w:spacing w:after="0" w:line="153" w:lineRule="exact"/>
        <w:rPr>
          <w:rFonts w:ascii="Arial" w:cs="Arial" w:eastAsia="Arial" w:hAnsi="Arial"/>
          <w:sz w:val="18"/>
          <w:szCs w:val="18"/>
          <w:color w:val="auto"/>
        </w:rPr>
      </w:pPr>
    </w:p>
    <w:p>
      <w:pPr>
        <w:ind w:left="260" w:hanging="210"/>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9"/>
        </w:trPr>
        <w:tc>
          <w:tcPr>
            <w:tcW w:w="1000" w:type="dxa"/>
            <w:vAlign w:val="bottom"/>
          </w:tcPr>
          <w:p>
            <w:pPr>
              <w:ind w:left="20"/>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7"/>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720" w:type="dxa"/>
            <w:vAlign w:val="bottom"/>
            <w:gridSpan w:val="3"/>
          </w:tcPr>
          <w:p>
            <w:pPr>
              <w:ind w:left="100"/>
              <w:spacing w:after="0"/>
              <w:rPr>
                <w:sz w:val="20"/>
                <w:szCs w:val="20"/>
                <w:color w:val="auto"/>
              </w:rPr>
            </w:pPr>
            <w:r>
              <w:rPr>
                <w:rFonts w:ascii="Arial" w:cs="Arial" w:eastAsia="Arial" w:hAnsi="Arial"/>
                <w:sz w:val="18"/>
                <w:szCs w:val="18"/>
                <w:b w:val="1"/>
                <w:bCs w:val="1"/>
                <w:color w:val="auto"/>
              </w:rPr>
              <w:t>​​​</w:t>
            </w:r>
          </w:p>
        </w:tc>
        <w:tc>
          <w:tcPr>
            <w:tcW w:w="5200" w:type="dxa"/>
            <w:vAlign w:val="bottom"/>
            <w:gridSpan w:val="7"/>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372"/>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168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98"/>
              </w:rPr>
              <w:t>Consent of BPM LLP</w:t>
            </w:r>
          </w:p>
        </w:tc>
        <w:tc>
          <w:tcPr>
            <w:tcW w:w="8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7720" w:type="dxa"/>
            <w:vAlign w:val="bottom"/>
            <w:gridSpan w:val="9"/>
          </w:tcPr>
          <w:p>
            <w:pPr>
              <w:spacing w:after="0"/>
              <w:rPr>
                <w:sz w:val="20"/>
                <w:szCs w:val="20"/>
                <w:color w:val="auto"/>
              </w:rPr>
            </w:pPr>
            <w:r>
              <w:rPr>
                <w:rFonts w:ascii="Arial" w:cs="Arial" w:eastAsia="Arial" w:hAnsi="Arial"/>
                <w:sz w:val="18"/>
                <w:szCs w:val="18"/>
                <w:color w:val="0000EE"/>
              </w:rPr>
              <w:t>The audited financial statements of Event Risk, Inc. as of and for the year ended December 31,</w:t>
            </w: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2025 and 2024, respectively, and the related notes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4"/>
                <w:szCs w:val="24"/>
                <w:color w:val="auto"/>
              </w:rPr>
            </w:pPr>
          </w:p>
        </w:tc>
        <w:tc>
          <w:tcPr>
            <w:tcW w:w="7720" w:type="dxa"/>
            <w:vAlign w:val="bottom"/>
            <w:gridSpan w:val="9"/>
          </w:tcPr>
          <w:p>
            <w:pPr>
              <w:spacing w:after="0"/>
              <w:rPr>
                <w:sz w:val="20"/>
                <w:szCs w:val="20"/>
                <w:color w:val="auto"/>
              </w:rPr>
            </w:pPr>
            <w:r>
              <w:rPr>
                <w:rFonts w:ascii="Arial" w:cs="Arial" w:eastAsia="Arial" w:hAnsi="Arial"/>
                <w:sz w:val="18"/>
                <w:szCs w:val="18"/>
                <w:color w:val="0000EE"/>
                <w:w w:val="99"/>
              </w:rPr>
              <w:t>The unaudited pro forma condensed combined financial information of the Company giving effect</w:t>
            </w: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to the acquisition of Event Risk, LLC, which includes the unaudited pro forma condensed</w:t>
            </w:r>
          </w:p>
        </w:tc>
        <w:tc>
          <w:tcPr>
            <w:tcW w:w="64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20" w:type="dxa"/>
            <w:vAlign w:val="bottom"/>
            <w:gridSpan w:val="9"/>
          </w:tcPr>
          <w:p>
            <w:pPr>
              <w:spacing w:after="0" w:line="182" w:lineRule="exact"/>
              <w:rPr>
                <w:sz w:val="20"/>
                <w:szCs w:val="20"/>
                <w:color w:val="auto"/>
              </w:rPr>
            </w:pPr>
            <w:r>
              <w:rPr>
                <w:rFonts w:ascii="Arial" w:cs="Arial" w:eastAsia="Arial" w:hAnsi="Arial"/>
                <w:sz w:val="18"/>
                <w:szCs w:val="18"/>
                <w:color w:val="0000EE"/>
              </w:rPr>
              <w:t>combined statements of operations for the year ended December 31, 2025 and for the three</w:t>
            </w:r>
          </w:p>
        </w:tc>
      </w:tr>
      <w:tr>
        <w:trPr>
          <w:trHeight w:val="183"/>
        </w:trPr>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months ended March 31, 2026 and the related notes</w:t>
            </w:r>
          </w:p>
        </w:tc>
        <w:tc>
          <w:tcPr>
            <w:tcW w:w="3120" w:type="dxa"/>
            <w:vAlign w:val="bottom"/>
            <w:tcBorders>
              <w:top w:val="single" w:sz="8" w:color="0000EE"/>
            </w:tcBorders>
            <w:gridSpan w:val="2"/>
          </w:tcPr>
          <w:p>
            <w:pPr>
              <w:spacing w:after="0"/>
              <w:rPr>
                <w:sz w:val="15"/>
                <w:szCs w:val="15"/>
                <w:color w:val="auto"/>
              </w:rPr>
            </w:pPr>
          </w:p>
        </w:tc>
        <w:tc>
          <w:tcPr>
            <w:tcW w:w="420" w:type="dxa"/>
            <w:vAlign w:val="bottom"/>
            <w:gridSpan w:val="3"/>
          </w:tcPr>
          <w:p>
            <w:pPr>
              <w:spacing w:after="0"/>
              <w:rPr>
                <w:sz w:val="15"/>
                <w:szCs w:val="15"/>
                <w:color w:val="auto"/>
              </w:rPr>
            </w:pPr>
          </w:p>
        </w:tc>
      </w:tr>
      <w:tr>
        <w:trPr>
          <w:trHeight w:val="430"/>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72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59"/>
        </w:trPr>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KNIGHTSCOPE, INC.</w:t>
      </w:r>
    </w:p>
    <w:p>
      <w:pPr>
        <w:spacing w:after="0" w:line="9" w:lineRule="exact"/>
        <w:rPr>
          <w:sz w:val="20"/>
          <w:szCs w:val="20"/>
          <w:color w:val="auto"/>
        </w:rPr>
      </w:pPr>
    </w:p>
    <w:p>
      <w:pPr>
        <w:ind w:left="60"/>
        <w:spacing w:after="0"/>
        <w:tabs>
          <w:tab w:leader="none" w:pos="4540" w:val="left"/>
          <w:tab w:leader="none" w:pos="5080" w:val="left"/>
        </w:tabs>
        <w:rPr>
          <w:sz w:val="20"/>
          <w:szCs w:val="20"/>
          <w:color w:val="auto"/>
        </w:rPr>
      </w:pPr>
      <w:r>
        <w:rPr>
          <w:rFonts w:ascii="Arial" w:cs="Arial" w:eastAsia="Arial" w:hAnsi="Arial"/>
          <w:sz w:val="18"/>
          <w:szCs w:val="18"/>
          <w:color w:val="auto"/>
        </w:rPr>
        <w:t>Date: May 15,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Santana Li</w:t>
      </w:r>
    </w:p>
    <w:p>
      <w:pPr>
        <w:ind w:left="4560"/>
        <w:spacing w:after="0"/>
        <w:rPr>
          <w:sz w:val="20"/>
          <w:szCs w:val="20"/>
          <w:color w:val="auto"/>
        </w:rPr>
      </w:pPr>
      <w:r>
        <w:rPr>
          <w:rFonts w:ascii="Arial" w:cs="Arial" w:eastAsia="Arial" w:hAnsi="Arial"/>
          <w:sz w:val="18"/>
          <w:szCs w:val="18"/>
          <w:color w:val="auto"/>
        </w:rPr>
        <w:t>Name:William Santana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-130175</wp:posOffset>
            </wp:positionV>
            <wp:extent cx="2443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3480" cy="8890"/>
                    </a:xfrm>
                    <a:prstGeom prst="rect">
                      <a:avLst/>
                    </a:prstGeom>
                    <a:noFill/>
                  </pic:spPr>
                </pic:pic>
              </a:graphicData>
            </a:graphic>
          </wp:anchor>
        </w:drawing>
      </w:r>
    </w:p>
    <w:p>
      <w:pPr>
        <w:ind w:left="456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Chairman, Chief Executive Officer and</w:t>
      </w:r>
    </w:p>
    <w:p>
      <w:pPr>
        <w:ind w:left="510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606425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the Registration Statements on Form S-1 (Nos. 333-268315 and 333-264259), Form S-3 (No. 333-286404) and Form S-8 (Nos. 333-291066, 333-286275, 333-272393, 333-266891, 333-264454 and 333-294715) of Knightscope, Inc. of our report dated May 15, 2026 relating to the financial statements of Event Risk, Inc., which appears in this Current Report on Form 8-K.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1734185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0" w:type="dxa"/>
            <w:vAlign w:val="bottom"/>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w w:val="99"/>
              </w:rPr>
              <w:t>EVENT RISK, INC.</w:t>
            </w:r>
          </w:p>
        </w:tc>
      </w:tr>
      <w:tr>
        <w:trPr>
          <w:trHeight w:val="432"/>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0" w:type="dxa"/>
            <w:vAlign w:val="bottom"/>
          </w:tcPr>
          <w:p>
            <w:pPr>
              <w:jc w:val="center"/>
              <w:ind w:right="36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324"/>
        </w:trPr>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r>
        <w:trPr>
          <w:trHeight w:val="533"/>
        </w:trPr>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0" w:type="dxa"/>
            <w:vAlign w:val="bottom"/>
          </w:tcPr>
          <w:p>
            <w:pPr>
              <w:ind w:left="57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3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720" w:type="dxa"/>
            <w:vAlign w:val="bottom"/>
            <w:gridSpan w:val="3"/>
          </w:tcPr>
          <w:p>
            <w:pPr>
              <w:spacing w:after="0"/>
              <w:rPr>
                <w:sz w:val="24"/>
                <w:szCs w:val="24"/>
                <w:color w:val="auto"/>
              </w:rPr>
            </w:pP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1</w:t>
            </w:r>
          </w:p>
        </w:tc>
      </w:tr>
      <w:tr>
        <w:trPr>
          <w:trHeight w:val="453"/>
        </w:trPr>
        <w:tc>
          <w:tcPr>
            <w:tcW w:w="37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0" w:type="dxa"/>
            <w:vAlign w:val="bottom"/>
          </w:tcPr>
          <w:p>
            <w:pPr>
              <w:spacing w:after="0"/>
              <w:rPr>
                <w:sz w:val="24"/>
                <w:szCs w:val="24"/>
                <w:color w:val="auto"/>
              </w:rPr>
            </w:pPr>
          </w:p>
        </w:tc>
      </w:tr>
      <w:tr>
        <w:trPr>
          <w:trHeight w:val="391"/>
        </w:trPr>
        <w:tc>
          <w:tcPr>
            <w:tcW w:w="200" w:type="dxa"/>
            <w:vAlign w:val="bottom"/>
          </w:tcPr>
          <w:p>
            <w:pPr>
              <w:spacing w:after="0"/>
              <w:rPr>
                <w:sz w:val="24"/>
                <w:szCs w:val="24"/>
                <w:color w:val="auto"/>
              </w:rPr>
            </w:pPr>
          </w:p>
        </w:tc>
        <w:tc>
          <w:tcPr>
            <w:tcW w:w="1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Balance Sheets</w:t>
            </w:r>
          </w:p>
        </w:tc>
        <w:tc>
          <w:tcPr>
            <w:tcW w:w="2420" w:type="dxa"/>
            <w:vAlign w:val="bottom"/>
            <w:gridSpan w:val="6"/>
          </w:tcPr>
          <w:p>
            <w:pPr>
              <w:spacing w:after="0"/>
              <w:rPr>
                <w:sz w:val="24"/>
                <w:szCs w:val="24"/>
                <w:color w:val="auto"/>
              </w:rPr>
            </w:pP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200" w:type="dxa"/>
            <w:vAlign w:val="bottom"/>
          </w:tcPr>
          <w:p>
            <w:pPr>
              <w:spacing w:after="0"/>
              <w:rPr>
                <w:sz w:val="24"/>
                <w:szCs w:val="24"/>
                <w:color w:val="auto"/>
              </w:rPr>
            </w:pPr>
          </w:p>
        </w:tc>
        <w:tc>
          <w:tcPr>
            <w:tcW w:w="3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Comprehensive Income (Loss)</w:t>
            </w:r>
          </w:p>
        </w:tc>
        <w:tc>
          <w:tcPr>
            <w:tcW w:w="260" w:type="dxa"/>
            <w:vAlign w:val="bottom"/>
          </w:tcPr>
          <w:p>
            <w:pPr>
              <w:spacing w:after="0"/>
              <w:rPr>
                <w:sz w:val="24"/>
                <w:szCs w:val="24"/>
                <w:color w:val="auto"/>
              </w:rPr>
            </w:pP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200" w:type="dxa"/>
            <w:vAlign w:val="bottom"/>
          </w:tcPr>
          <w:p>
            <w:pPr>
              <w:spacing w:after="0"/>
              <w:rPr>
                <w:sz w:val="24"/>
                <w:szCs w:val="24"/>
                <w:color w:val="auto"/>
              </w:rPr>
            </w:pPr>
          </w:p>
        </w:tc>
        <w:tc>
          <w:tcPr>
            <w:tcW w:w="3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Statements of Shareholder’s Equity (Deficit)</w:t>
            </w:r>
          </w:p>
        </w:tc>
        <w:tc>
          <w:tcPr>
            <w:tcW w:w="300" w:type="dxa"/>
            <w:vAlign w:val="bottom"/>
            <w:gridSpan w:val="2"/>
          </w:tcPr>
          <w:p>
            <w:pPr>
              <w:spacing w:after="0"/>
              <w:rPr>
                <w:sz w:val="24"/>
                <w:szCs w:val="24"/>
                <w:color w:val="auto"/>
              </w:rPr>
            </w:pP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200" w:type="dxa"/>
            <w:vAlign w:val="bottom"/>
          </w:tcPr>
          <w:p>
            <w:pPr>
              <w:spacing w:after="0"/>
              <w:rPr>
                <w:sz w:val="24"/>
                <w:szCs w:val="24"/>
                <w:color w:val="auto"/>
              </w:rPr>
            </w:pPr>
          </w:p>
        </w:tc>
        <w:tc>
          <w:tcPr>
            <w:tcW w:w="1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Statements of Cash Flows</w:t>
            </w:r>
          </w:p>
        </w:tc>
        <w:tc>
          <w:tcPr>
            <w:tcW w:w="1640" w:type="dxa"/>
            <w:vAlign w:val="bottom"/>
            <w:gridSpan w:val="5"/>
          </w:tcPr>
          <w:p>
            <w:pPr>
              <w:spacing w:after="0"/>
              <w:rPr>
                <w:sz w:val="24"/>
                <w:szCs w:val="24"/>
                <w:color w:val="auto"/>
              </w:rPr>
            </w:pP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200" w:type="dxa"/>
            <w:vAlign w:val="bottom"/>
          </w:tcPr>
          <w:p>
            <w:pPr>
              <w:spacing w:after="0"/>
              <w:rPr>
                <w:sz w:val="24"/>
                <w:szCs w:val="24"/>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the Financial Statements</w:t>
            </w:r>
          </w:p>
        </w:tc>
        <w:tc>
          <w:tcPr>
            <w:tcW w:w="6200" w:type="dxa"/>
            <w:vAlign w:val="bottom"/>
          </w:tcPr>
          <w:p>
            <w:pPr>
              <w:jc w:val="center"/>
              <w:ind w:left="5570"/>
              <w:spacing w:after="0"/>
              <w:rPr>
                <w:sz w:val="20"/>
                <w:szCs w:val="20"/>
                <w:color w:val="auto"/>
              </w:rPr>
            </w:pPr>
            <w:r>
              <w:rPr>
                <w:rFonts w:ascii="Times New Roman" w:cs="Times New Roman" w:eastAsia="Times New Roman" w:hAnsi="Times New Roman"/>
                <w:sz w:val="18"/>
                <w:szCs w:val="18"/>
                <w:color w:val="auto"/>
              </w:rPr>
              <w:t>7-13</w:t>
            </w:r>
          </w:p>
        </w:tc>
      </w:tr>
      <w:tr>
        <w:trPr>
          <w:trHeight w:val="1445"/>
        </w:trPr>
        <w:tc>
          <w:tcPr>
            <w:tcW w:w="20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 of Event Risk,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on the Audit of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financial statements of Event Risk, Inc. (the “Company”) which comprise the balance sheets as of December 31, 2025 and 2024, and the related statements of comprehensive income (loss), shareholder’s equity (deficit), and cash flows for each of the two years in the period ended December 31, 2025, and the related notes to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each of the two years in the period ended December 31, 2025 in accordance with accounting principles generally accepted in the United States of America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(“U.S.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U.S. GAAS, we: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60" w:type="dxa"/>
            <w:vAlign w:val="bottom"/>
            <w:vMerge w:val="restart"/>
          </w:tcPr>
          <w:p>
            <w:pPr>
              <w:ind w:left="7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60" w:type="dxa"/>
            <w:vAlign w:val="bottom"/>
          </w:tcPr>
          <w:p>
            <w:pPr>
              <w:ind w:left="7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 net</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obligations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shareholder’s equity (deficit)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60" w:type="dxa"/>
            <w:vAlign w:val="bottom"/>
            <w:vMerge w:val="restart"/>
          </w:tcPr>
          <w:p>
            <w:pPr>
              <w:ind w:left="7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w:t>
            </w: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7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 expense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16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00" w:type="dxa"/>
            <w:vAlign w:val="bottom"/>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3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shareholder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shareholder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shareholder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60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5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equipment</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on revolving credit facility</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shareholder contributions</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distributions to shareholder</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beginning of the period</w:t>
            </w:r>
          </w:p>
        </w:tc>
        <w:tc>
          <w:tcPr>
            <w:tcW w:w="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the period</w:t>
            </w:r>
          </w:p>
        </w:tc>
        <w:tc>
          <w:tcPr>
            <w:tcW w:w="3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during the year</w:t>
            </w:r>
          </w:p>
        </w:tc>
        <w:tc>
          <w:tcPr>
            <w:tcW w:w="6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 RISK,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0"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229" w:lineRule="exact"/>
        <w:rPr>
          <w:rFonts w:ascii="Times New Roman" w:cs="Times New Roman" w:eastAsia="Times New Roman" w:hAnsi="Times New Roman"/>
          <w:sz w:val="18"/>
          <w:szCs w:val="18"/>
          <w:b w:val="1"/>
          <w:bCs w:val="1"/>
          <w:color w:val="auto"/>
        </w:rPr>
      </w:pPr>
    </w:p>
    <w:p>
      <w:pPr>
        <w:ind w:left="44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 Risk, Inc. (the “Company” or “Event Risk”) was incorporated on August 14, 2020 under the laws of the State of Indiana. The Company is an S-Corporation under the Internal Revenue Code (“IRC”).</w:t>
      </w:r>
    </w:p>
    <w:p>
      <w:pPr>
        <w:spacing w:after="0" w:line="161" w:lineRule="exact"/>
        <w:rPr>
          <w:rFonts w:ascii="Times New Roman" w:cs="Times New Roman" w:eastAsia="Times New Roman" w:hAnsi="Times New Roman"/>
          <w:sz w:val="18"/>
          <w:szCs w:val="18"/>
          <w:b w:val="1"/>
          <w:bCs w:val="1"/>
          <w:color w:val="auto"/>
        </w:rPr>
      </w:pPr>
    </w:p>
    <w:p>
      <w:pPr>
        <w:ind w:left="4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 Risk is a provider of security, executive protection, investigations, and risk mitigation services operating throughout the United States. The Company delivers licensed security personnel and response services to corporate and commercial clients. The Company is located and headquartered in San Antonio, Texas.</w:t>
      </w:r>
    </w:p>
    <w:p>
      <w:pPr>
        <w:spacing w:after="0" w:line="175" w:lineRule="exact"/>
        <w:rPr>
          <w:rFonts w:ascii="Times New Roman" w:cs="Times New Roman" w:eastAsia="Times New Roman" w:hAnsi="Times New Roman"/>
          <w:sz w:val="18"/>
          <w:szCs w:val="18"/>
          <w:b w:val="1"/>
          <w:bCs w:val="1"/>
          <w:color w:val="auto"/>
        </w:rPr>
      </w:pPr>
    </w:p>
    <w:p>
      <w:pPr>
        <w:ind w:left="44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27, 2026, Knightscope, Inc., a Delaware corporation, acquired all the issued and outstanding membership interests of the Company. Refer to Note 9 - Subsequent Events for additional information.</w:t>
      </w:r>
    </w:p>
    <w:p>
      <w:pPr>
        <w:spacing w:after="0" w:line="157"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440" w:right="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(“GAAP”).</w:t>
      </w:r>
    </w:p>
    <w:p>
      <w:pPr>
        <w:spacing w:after="0" w:line="154" w:lineRule="exact"/>
        <w:rPr>
          <w:rFonts w:ascii="Times New Roman" w:cs="Times New Roman" w:eastAsia="Times New Roman" w:hAnsi="Times New Roman"/>
          <w:sz w:val="18"/>
          <w:szCs w:val="18"/>
          <w:b w:val="1"/>
          <w:bCs w:val="1"/>
          <w:color w:val="auto"/>
        </w:rPr>
      </w:pPr>
    </w:p>
    <w:p>
      <w:pPr>
        <w:ind w:left="440"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 The preparation of the financial statements in conformity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judgements, estimates and assumptions that affect the reported amounts of assets, liabilities, revenue, and expenses. Specific accounts that require management estimates include, but are not limited to, estimating the useful lives of equipment, allowance for credit losses, and impairment of long-lived assets. Actual results could differ from those estimates and such differences may be material to the financial statements.</w:t>
      </w:r>
    </w:p>
    <w:p>
      <w:pPr>
        <w:spacing w:after="0" w:line="179" w:lineRule="exact"/>
        <w:rPr>
          <w:rFonts w:ascii="Times New Roman" w:cs="Times New Roman" w:eastAsia="Times New Roman" w:hAnsi="Times New Roman"/>
          <w:sz w:val="18"/>
          <w:szCs w:val="18"/>
          <w:b w:val="1"/>
          <w:bCs w:val="1"/>
          <w:color w:val="auto"/>
        </w:rPr>
      </w:pPr>
    </w:p>
    <w:p>
      <w:pPr>
        <w:ind w:left="440" w:right="18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The Company considers all highly liquid investments with a maturity of three months or less when purchased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2025 and 2024, the Company did not have any cash equivalents.</w:t>
      </w:r>
    </w:p>
    <w:p>
      <w:pPr>
        <w:spacing w:after="0" w:line="154" w:lineRule="exact"/>
        <w:rPr>
          <w:rFonts w:ascii="Times New Roman" w:cs="Times New Roman" w:eastAsia="Times New Roman" w:hAnsi="Times New Roman"/>
          <w:sz w:val="18"/>
          <w:szCs w:val="18"/>
          <w:b w:val="1"/>
          <w:bCs w:val="1"/>
          <w:color w:val="auto"/>
        </w:rPr>
      </w:pPr>
    </w:p>
    <w:p>
      <w:pPr>
        <w:ind w:left="440" w:right="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r>
        <w:rPr>
          <w:rFonts w:ascii="Times New Roman" w:cs="Times New Roman" w:eastAsia="Times New Roman" w:hAnsi="Times New Roman"/>
          <w:sz w:val="18"/>
          <w:szCs w:val="18"/>
          <w:color w:val="auto"/>
        </w:rPr>
        <w:t>— Accounts receivable are primarily derived from providing security, executive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and risk mitigation services. The Company reviews its accounts receivable for collectibility based on historical loss patterns, aging of the accounts receivable, and assessments of specific identifiable customer accounts considered at risk or uncollectible, and provides allowances for potential credit losses, as needed. The Company also considers any changes to the financial condition of its customers and any other external market factors that could impact the collectibility of the accounts receivable in the determination of the allowance for credit losses.</w:t>
      </w:r>
    </w:p>
    <w:p>
      <w:pPr>
        <w:spacing w:after="0" w:line="186" w:lineRule="exact"/>
        <w:rPr>
          <w:rFonts w:ascii="Times New Roman" w:cs="Times New Roman" w:eastAsia="Times New Roman" w:hAnsi="Times New Roman"/>
          <w:sz w:val="18"/>
          <w:szCs w:val="18"/>
          <w:b w:val="1"/>
          <w:bCs w:val="1"/>
          <w:color w:val="auto"/>
        </w:rPr>
      </w:pPr>
    </w:p>
    <w:p>
      <w:pPr>
        <w:jc w:val="both"/>
        <w:ind w:left="440" w:right="3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Receivables are written off against the allowance when management believes that the amount receivable will not be recovered. Based on management’s assessment, the Company recorded $0 allowance for credit losses as of December 31, 2025 and 2024.</w:t>
      </w:r>
    </w:p>
    <w:p>
      <w:pPr>
        <w:spacing w:after="0" w:line="135" w:lineRule="exact"/>
        <w:rPr>
          <w:rFonts w:ascii="Times New Roman" w:cs="Times New Roman" w:eastAsia="Times New Roman" w:hAnsi="Times New Roman"/>
          <w:sz w:val="18"/>
          <w:szCs w:val="18"/>
          <w:b w:val="1"/>
          <w:bCs w:val="1"/>
          <w:color w:val="auto"/>
        </w:rPr>
      </w:pPr>
    </w:p>
    <w:p>
      <w:pPr>
        <w:ind w:left="4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net</w:t>
      </w:r>
      <w:r>
        <w:rPr>
          <w:rFonts w:ascii="Times New Roman" w:cs="Times New Roman" w:eastAsia="Times New Roman" w:hAnsi="Times New Roman"/>
          <w:sz w:val="18"/>
          <w:szCs w:val="18"/>
          <w:color w:val="auto"/>
        </w:rPr>
        <w:t>— Equipment, net is stated at cost less accumulated depreciation. Depreciation is recorded on a straight-line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the estimated useful lives of the assets. Equipment is depreciated over a useful life of three years. Maintenance and repairs are charged to expense as incurred. When assets are retired or otherwise disposed of, the cost and accumulated depreciation are removed from the balance sheets and any resulting gain or loss is reflected in the statements of comprehensive income (loss) in the period realized.</w:t>
      </w:r>
    </w:p>
    <w:p>
      <w:pPr>
        <w:spacing w:after="0" w:line="399" w:lineRule="exact"/>
        <w:rPr>
          <w:rFonts w:ascii="Times New Roman" w:cs="Times New Roman" w:eastAsia="Times New Roman" w:hAnsi="Times New Roman"/>
          <w:sz w:val="18"/>
          <w:szCs w:val="18"/>
          <w:b w:val="1"/>
          <w:bCs w:val="1"/>
          <w:color w:val="auto"/>
        </w:rPr>
      </w:pPr>
    </w:p>
    <w:p>
      <w:pPr>
        <w:ind w:left="4920" w:hanging="106"/>
        <w:spacing w:after="0"/>
        <w:tabs>
          <w:tab w:leader="none" w:pos="4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40" w:right="540"/>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whenever events or changes in circumstances indicate that their carrying value may not be recoverable from the estimated future cash flows expected to result from their use or eventual disposition. If estimates of future undiscounted net cash flows are insufficient to recover the carrying value of the assets, the Company will record an impairment loss in the amount by which the carrying value exceeds the fair value.</w:t>
      </w:r>
    </w:p>
    <w:p>
      <w:pPr>
        <w:spacing w:after="0" w:line="176" w:lineRule="exact"/>
        <w:rPr>
          <w:sz w:val="20"/>
          <w:szCs w:val="20"/>
          <w:color w:val="auto"/>
        </w:rPr>
      </w:pPr>
    </w:p>
    <w:p>
      <w:pPr>
        <w:ind w:left="440" w:right="8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At contract inception, the Company determines whether the contract is, or contains, a lease and whether the lease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classified as an operating or a financing lease and reassesses that conclusion if the contract is modified.</w:t>
      </w:r>
    </w:p>
    <w:p>
      <w:pPr>
        <w:spacing w:after="0" w:line="159"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(“ROU”) assets and operating lease liabilities based on the present value of the future minimum lease payments over the lease term at the commencement date. The ROU asset is reduced for tenant incentives, if any, and excludes any initial direct costs incurred, if any. The Company uses the risk-free rate to determine the present value of future payments and the appropriate lease classification. The Company defines the initial lease term to include renewal options determined to be reasonably certain. If the Company determines the option to extend or terminate is reasonably certain, it is included in the determination of lease assets and liabilities. The Company reassesses the lease term if and when a significant event or change in circumstances occurs within the control of the Company, such as the construction of significant leasehold improvements that are expected to have economic value when the option becomes exercisable.</w:t>
      </w:r>
    </w:p>
    <w:p>
      <w:pPr>
        <w:spacing w:after="0" w:line="192" w:lineRule="exact"/>
        <w:rPr>
          <w:sz w:val="20"/>
          <w:szCs w:val="20"/>
          <w:color w:val="auto"/>
        </w:rPr>
      </w:pPr>
    </w:p>
    <w:p>
      <w:pPr>
        <w:ind w:left="440" w:right="200"/>
        <w:spacing w:after="0" w:line="282" w:lineRule="auto"/>
        <w:rPr>
          <w:sz w:val="20"/>
          <w:szCs w:val="20"/>
          <w:color w:val="auto"/>
        </w:rPr>
      </w:pPr>
      <w:r>
        <w:rPr>
          <w:rFonts w:ascii="Times New Roman" w:cs="Times New Roman" w:eastAsia="Times New Roman" w:hAnsi="Times New Roman"/>
          <w:sz w:val="18"/>
          <w:szCs w:val="18"/>
          <w:color w:val="auto"/>
        </w:rPr>
        <w:t>The Company recognizes a single lease cost on a straight-line basis over the lease term, and it classifies all cash payments within operating activities in the combined statements of cash flows.</w:t>
      </w:r>
    </w:p>
    <w:p>
      <w:pPr>
        <w:spacing w:after="0" w:line="162" w:lineRule="exact"/>
        <w:rPr>
          <w:sz w:val="20"/>
          <w:szCs w:val="20"/>
          <w:color w:val="auto"/>
        </w:rPr>
      </w:pPr>
    </w:p>
    <w:p>
      <w:pPr>
        <w:jc w:val="both"/>
        <w:ind w:left="440" w:right="80"/>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has elected to not combine for all asset classes. In addition, the Company does not recognize ROU assets or lease liabilities for leases with a term of 12 months or less of all asset classes.</w:t>
      </w:r>
    </w:p>
    <w:p>
      <w:pPr>
        <w:spacing w:after="0" w:line="172" w:lineRule="exact"/>
        <w:rPr>
          <w:sz w:val="20"/>
          <w:szCs w:val="20"/>
          <w:color w:val="auto"/>
        </w:rPr>
      </w:pPr>
    </w:p>
    <w:p>
      <w:pPr>
        <w:ind w:left="440" w:right="220"/>
        <w:spacing w:after="0" w:line="259" w:lineRule="auto"/>
        <w:rPr>
          <w:sz w:val="20"/>
          <w:szCs w:val="20"/>
          <w:color w:val="auto"/>
        </w:rPr>
      </w:pPr>
      <w:r>
        <w:rPr>
          <w:rFonts w:ascii="Times New Roman" w:cs="Times New Roman" w:eastAsia="Times New Roman" w:hAnsi="Times New Roman"/>
          <w:sz w:val="18"/>
          <w:szCs w:val="18"/>
          <w:b w:val="1"/>
          <w:bCs w:val="1"/>
          <w:color w:val="auto"/>
        </w:rPr>
        <w:t>Concentrations of Credit Risk</w:t>
      </w:r>
      <w:r>
        <w:rPr>
          <w:rFonts w:ascii="Times New Roman" w:cs="Times New Roman" w:eastAsia="Times New Roman" w:hAnsi="Times New Roman"/>
          <w:sz w:val="18"/>
          <w:szCs w:val="18"/>
          <w:color w:val="auto"/>
        </w:rPr>
        <w:t>— Financial instruments which potentially subject the Company to concentrations of credit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of cash and accounts receivable. The Company places its cash with high-quality financial institutions. From time to time, and as of December 31, 2025 and 2024, such cash may be in excess of the Federal Deposit Insurance Corporation (“FDIC”) insurance limit. The Company has not experienced any losses in such accounts and believes it is not exposed to any significant credit risk on cash.</w:t>
      </w:r>
    </w:p>
    <w:p>
      <w:pPr>
        <w:spacing w:after="0" w:line="183" w:lineRule="exact"/>
        <w:rPr>
          <w:sz w:val="20"/>
          <w:szCs w:val="20"/>
          <w:color w:val="auto"/>
        </w:rPr>
      </w:pPr>
    </w:p>
    <w:p>
      <w:pPr>
        <w:ind w:left="440" w:right="1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customers that individually account for 10% or more of total revenue represented 86% of total revenue and 93% of total accounts receivable as of December 31, 2025. For the year ended December 31, 2024, customers that individually account for 10% or more of total revenue represented 75% of total revenue and 83% of total accounts receivable as of December 31, 2024.</w:t>
      </w:r>
    </w:p>
    <w:p>
      <w:pPr>
        <w:spacing w:after="0" w:line="176" w:lineRule="exact"/>
        <w:rPr>
          <w:sz w:val="20"/>
          <w:szCs w:val="20"/>
          <w:color w:val="auto"/>
        </w:rPr>
      </w:pPr>
    </w:p>
    <w:p>
      <w:pPr>
        <w:ind w:left="440" w:right="20"/>
        <w:spacing w:after="0" w:line="259"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Company’s revenues are primarily based on armed and unarmed security guarding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 protection. The contracts are typically cancellable with a 30-day notice period. Revenue is recognized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when control of these services is transferred to the clients, in an amount that reflects the consideration the Company expects to be entitled to in exchange for those services.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ind w:left="660" w:hanging="22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0" w:hanging="106"/>
        <w:spacing w:after="0"/>
        <w:tabs>
          <w:tab w:leader="none" w:pos="4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440" w:right="3100" w:hanging="4"/>
        <w:spacing w:after="0" w:line="50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The Company recognizes revenue as follows:</w:t>
      </w:r>
    </w:p>
    <w:p>
      <w:pPr>
        <w:spacing w:after="0" w:line="2"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For customers that are billed in arrears and due to the nature of the security guarding services, the Company’s performance obligations qualify for the “right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the Company charges a fixed amount for each hour of service provided and upon billing the Company has a right to consideration from a customer in an amount that directly corresponds with the value to the customer of the Company’s performance completed to date. For contracts accounted for under the right-to-invoice practical expedient, the Company does not disclose remaining performance obligations for services already rendered and invoiced.</w:t>
      </w:r>
    </w:p>
    <w:p>
      <w:pPr>
        <w:spacing w:after="0" w:line="192"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For contracts that are billed in advance, the Company recognizes revenue ratably over the period in which the services are performed and any remaining unsatisfied performance obligations are reflected in deferred revenue as of December 31, 2025 and 2024.</w:t>
      </w:r>
    </w:p>
    <w:p>
      <w:pPr>
        <w:spacing w:after="0" w:line="176"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if it expects the benefit of those costs to be longer than one year. Costs incurred to obtain a contract are expensed as incurred when the amortization period is less than one year. Incidental items that are immaterial in the context of the contract are recognized as expense. The Company has concluded that none of the costs it has incurred to obtain its sales contracts meet the capitalization criteria and, as such, there are no costs deferred and recognized as assets on the balance sheets as of December 31, 2025 and 2024.</w:t>
      </w:r>
    </w:p>
    <w:p>
      <w:pPr>
        <w:spacing w:after="0" w:line="183"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The Company evaluates whether it is appropriate to recognize revenue on a gross or net basis based upon its evaluation of whether the Company obtains control of the specified services by considering if it is primarily responsible for fulfillment of the promise, has the risk of loss, and has the latitude in establishing pricing and selecting suppliers, among other factors. Based on its evaluation of these factors, the Company has determined that it is the principal in its arrangements and revenue is recorded gross of costs associated with each transaction.</w:t>
      </w:r>
    </w:p>
    <w:p>
      <w:pPr>
        <w:spacing w:after="0" w:line="179" w:lineRule="exact"/>
        <w:rPr>
          <w:sz w:val="20"/>
          <w:szCs w:val="20"/>
          <w:color w:val="auto"/>
        </w:rPr>
      </w:pPr>
    </w:p>
    <w:p>
      <w:pPr>
        <w:ind w:left="440" w:right="100"/>
        <w:spacing w:after="0" w:line="268"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 Deferred revenue represents amounts invoiced to customers for contracts for which revenue has yet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for services to be provided to the Company’s customers. Typically, the timing of invoicing is based on the terms of the contracts.</w:t>
      </w:r>
    </w:p>
    <w:p>
      <w:pPr>
        <w:spacing w:after="0" w:line="175"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For customers that are billed in advance, the Company records the invoices as deferred revenue and amortizes the amount over the period that the services are delivered, which generally is a 6 to 12-month period.</w:t>
      </w:r>
    </w:p>
    <w:p>
      <w:pPr>
        <w:spacing w:after="0" w:line="162"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8"/>
          <w:szCs w:val="18"/>
          <w:color w:val="auto"/>
        </w:rPr>
        <w:t>Deferred revenue includes billings in excess of revenue recognized. Revenue recognized at a point in time generally does not result in significant increases in deferred revenue. Revenue recognized over a period generally results in a majority of the increases in deferred revenue as the performance obligations are fulfilled after the billing event.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the entire balance of deferred revenue to be recognized in the next 12 months.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right="500"/>
        <w:spacing w:after="0" w:line="286" w:lineRule="auto"/>
        <w:rPr>
          <w:sz w:val="20"/>
          <w:szCs w:val="20"/>
          <w:color w:val="auto"/>
        </w:rPr>
      </w:pPr>
      <w:r>
        <w:rPr>
          <w:rFonts w:ascii="Times New Roman" w:cs="Times New Roman" w:eastAsia="Times New Roman" w:hAnsi="Times New Roman"/>
          <w:sz w:val="18"/>
          <w:szCs w:val="18"/>
          <w:b w:val="1"/>
          <w:bCs w:val="1"/>
          <w:color w:val="auto"/>
        </w:rPr>
        <w:t>Cost of Revenue</w:t>
      </w:r>
      <w:r>
        <w:rPr>
          <w:rFonts w:ascii="Times New Roman" w:cs="Times New Roman" w:eastAsia="Times New Roman" w:hAnsi="Times New Roman"/>
          <w:sz w:val="18"/>
          <w:szCs w:val="18"/>
          <w:color w:val="auto"/>
        </w:rPr>
        <w:t>— Cost of revenue primarily includes direct labor costs and associated benefits and indirect costs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performance, such as supplies, uniforms, and tools.</w:t>
      </w:r>
    </w:p>
    <w:p>
      <w:pPr>
        <w:spacing w:after="0" w:line="155" w:lineRule="exact"/>
        <w:rPr>
          <w:sz w:val="20"/>
          <w:szCs w:val="20"/>
          <w:color w:val="auto"/>
        </w:rPr>
      </w:pPr>
    </w:p>
    <w:p>
      <w:pPr>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Costs associated with the Company’s advertising are expensed as incurred. Advertising expense was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$511,000 and $289,000 for the years ended December 31, 2025 and 2024, respectively.</w:t>
      </w:r>
    </w:p>
    <w:p>
      <w:pPr>
        <w:spacing w:after="0" w:line="155" w:lineRule="exact"/>
        <w:rPr>
          <w:sz w:val="20"/>
          <w:szCs w:val="20"/>
          <w:color w:val="auto"/>
        </w:rPr>
      </w:pPr>
    </w:p>
    <w:p>
      <w:pPr>
        <w:ind w:left="440" w:right="160"/>
        <w:spacing w:after="0" w:line="268"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 The Company determines the fair market values of its financial instruments based on the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hierarchy, which requires an entity to maximize the use of observable inputs and minimize the use of unobservable inputs when measuring fair value. The following are three levels of inputs that may be used to measure fair value:</w:t>
      </w:r>
    </w:p>
    <w:p>
      <w:pPr>
        <w:spacing w:after="0" w:line="171" w:lineRule="exact"/>
        <w:rPr>
          <w:sz w:val="20"/>
          <w:szCs w:val="20"/>
          <w:color w:val="auto"/>
        </w:rPr>
      </w:pPr>
    </w:p>
    <w:p>
      <w:pPr>
        <w:ind w:left="660"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Level 1</w:t>
      </w:r>
      <w:r>
        <w:rPr>
          <w:rFonts w:ascii="Times New Roman" w:cs="Times New Roman" w:eastAsia="Times New Roman" w:hAnsi="Times New Roman"/>
          <w:sz w:val="17"/>
          <w:szCs w:val="17"/>
          <w:color w:val="auto"/>
        </w:rPr>
        <w:t>— Quoted prices in active markets for identical assets or liabilities. The Company considers a market to be active when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transactions for the asset occur with sufficient frequency and volume to provide pricing information on an ongoing basis.</w:t>
      </w:r>
    </w:p>
    <w:p>
      <w:pPr>
        <w:spacing w:after="0" w:line="132" w:lineRule="exact"/>
        <w:rPr>
          <w:sz w:val="20"/>
          <w:szCs w:val="20"/>
          <w:color w:val="auto"/>
        </w:rPr>
      </w:pPr>
    </w:p>
    <w:p>
      <w:pPr>
        <w:jc w:val="both"/>
        <w:ind w:left="6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Inputs other than Level 1 that are observable, either directly or indirectly, such as quoted prices for similar assets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quoted prices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66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Level 3</w:t>
      </w:r>
      <w:r>
        <w:rPr>
          <w:rFonts w:ascii="Times New Roman" w:cs="Times New Roman" w:eastAsia="Times New Roman" w:hAnsi="Times New Roman"/>
          <w:sz w:val="17"/>
          <w:szCs w:val="17"/>
          <w:color w:val="auto"/>
        </w:rPr>
        <w:t>— Unobservable inputs that are supported by little or no market activity and that are significant to the fair value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or liabilities. The valuation of Level 3 investments requires the use of significant management judgments or estimation.</w:t>
      </w:r>
    </w:p>
    <w:p>
      <w:pPr>
        <w:spacing w:after="0" w:line="136" w:lineRule="exact"/>
        <w:rPr>
          <w:sz w:val="20"/>
          <w:szCs w:val="20"/>
          <w:color w:val="auto"/>
        </w:rPr>
      </w:pPr>
    </w:p>
    <w:p>
      <w:pPr>
        <w:ind w:left="440" w:right="4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accounts receivable and payable and accrued liabilities. The fair values of these instruments approximate their carrying amounts because of their short-term nature. The carrying value of the Company’s borrowings approximates fair value based on current rates available to the Company.</w:t>
      </w:r>
    </w:p>
    <w:p>
      <w:pPr>
        <w:spacing w:after="0" w:line="172"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 In July 2025, the Financial Accounting Standards Board (“FASB”)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Accounting Standards Update (“ASU”) ASU 2025-05, </w:t>
      </w:r>
      <w:r>
        <w:rPr>
          <w:rFonts w:ascii="Times New Roman" w:cs="Times New Roman" w:eastAsia="Times New Roman" w:hAnsi="Times New Roman"/>
          <w:sz w:val="18"/>
          <w:szCs w:val="18"/>
          <w:i w:val="1"/>
          <w:iCs w:val="1"/>
          <w:color w:val="auto"/>
        </w:rPr>
        <w:t>Financial Instruments—Credit Losses (Topic 326) -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for Accounts Receivable and Contract Assets. </w:t>
      </w:r>
      <w:r>
        <w:rPr>
          <w:rFonts w:ascii="Times New Roman" w:cs="Times New Roman" w:eastAsia="Times New Roman" w:hAnsi="Times New Roman"/>
          <w:sz w:val="18"/>
          <w:szCs w:val="18"/>
          <w:color w:val="auto"/>
        </w:rPr>
        <w:t>This ASU provides a practical expedient that allows entities, when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losses for accounts receivable and contract assets, to assume the current conditions as of the balance sheet date do not change for the remaining life of the asset under assessment. An entity that elects the practical expedient is permitted to make an accounting policy election to consider collection activity after the balance sheet date when estimating expected credit losses. The ASU is effective for annual reporting periods beginning after December 15, 2025 and should be applied prospectively. The Company has determined the adoption of this ASU will have no material impact on its financial statements.</w:t>
      </w:r>
    </w:p>
    <w:p>
      <w:pPr>
        <w:spacing w:after="0" w:line="18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Management has reviewed other recently issued accounting pronouncements issued or proposed by the FASB and does not believe any of these accounting pronouncements will have a material impact on the Company’s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NET</w:t>
      </w:r>
    </w:p>
    <w:p>
      <w:pPr>
        <w:spacing w:after="0" w:line="229"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Equipment, net consists of the following (in thousands):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7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3"/>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1"/>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right="300"/>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property and equipment is included in general and administrative expense in the accompanying statements of comprehensive income. Depreciation expense was approximately $12,000 and $2,000 for the years ended December 31, 2025 and 2024, respectively.</w:t>
      </w:r>
    </w:p>
    <w:p>
      <w:pPr>
        <w:spacing w:after="0" w:line="172" w:lineRule="exact"/>
        <w:rPr>
          <w:sz w:val="20"/>
          <w:szCs w:val="20"/>
          <w:color w:val="auto"/>
        </w:rPr>
      </w:pPr>
    </w:p>
    <w:p>
      <w:pPr>
        <w:ind w:left="440" w:right="7760" w:hanging="432"/>
        <w:spacing w:after="0" w:line="532" w:lineRule="auto"/>
        <w:tabs>
          <w:tab w:leader="none" w:pos="4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OBLIGATION </w:t>
      </w:r>
      <w:r>
        <w:rPr>
          <w:rFonts w:ascii="Times New Roman" w:cs="Times New Roman" w:eastAsia="Times New Roman" w:hAnsi="Times New Roman"/>
          <w:sz w:val="17"/>
          <w:szCs w:val="17"/>
          <w:b w:val="1"/>
          <w:bCs w:val="1"/>
          <w:i w:val="1"/>
          <w:iCs w:val="1"/>
          <w:color w:val="auto"/>
        </w:rPr>
        <w:t>Frost Revolver</w:t>
      </w:r>
    </w:p>
    <w:p>
      <w:pPr>
        <w:spacing w:after="0" w:line="1" w:lineRule="exact"/>
        <w:rPr>
          <w:rFonts w:ascii="Times New Roman" w:cs="Times New Roman" w:eastAsia="Times New Roman" w:hAnsi="Times New Roman"/>
          <w:sz w:val="17"/>
          <w:szCs w:val="17"/>
          <w:b w:val="1"/>
          <w:bCs w:val="1"/>
          <w:color w:val="auto"/>
        </w:rPr>
      </w:pPr>
    </w:p>
    <w:p>
      <w:pPr>
        <w:ind w:left="44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June 24, 2025, the Company entered into a credit agreement for a revolving credit facility (the “Frost Revolver”) with Frost Bank that provides the Company with advances equal to the lesser of $1,500,000 or 80% of the aggregate amount of eligible accounts. The Frost Revolver has a maturity date of June 23, 2026 and bears interest at a variable rate per annum equal to 1.75% above the Prime Rate, subject to a minimum rate of 3.5%. As of December 31, 2025, the interest rate was 8.5% and the outstanding balance on the Frost Revolver was $1,133,000. Total interest expense recorded for the Frost Revolver was approximately $37,000 for the year ended December 31, 2025.</w:t>
      </w:r>
    </w:p>
    <w:p>
      <w:pPr>
        <w:spacing w:after="0" w:line="187" w:lineRule="exact"/>
        <w:rPr>
          <w:rFonts w:ascii="Times New Roman" w:cs="Times New Roman" w:eastAsia="Times New Roman" w:hAnsi="Times New Roman"/>
          <w:sz w:val="17"/>
          <w:szCs w:val="17"/>
          <w:b w:val="1"/>
          <w:bCs w:val="1"/>
          <w:color w:val="auto"/>
        </w:rPr>
      </w:pPr>
    </w:p>
    <w:p>
      <w:pPr>
        <w:ind w:left="440" w:right="1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terms of the Frost Revolver, the Company is required to comply with certain financial and nonfinancial covenants. Any failure by the Company to comply with these covenants and any other obligations under the agreement could result in an event of default, which allows Frost Bank to accelerate the repayments of the amounts owed. As of December 31, 2025, the Company was in compliance with its financial covenants. Borrowings under the Frost Revolver are collateralized by the Company’s accounts receivable.</w:t>
      </w:r>
    </w:p>
    <w:p>
      <w:pPr>
        <w:spacing w:after="0" w:line="183" w:lineRule="exact"/>
        <w:rPr>
          <w:rFonts w:ascii="Times New Roman" w:cs="Times New Roman" w:eastAsia="Times New Roman" w:hAnsi="Times New Roman"/>
          <w:sz w:val="17"/>
          <w:szCs w:val="17"/>
          <w:b w:val="1"/>
          <w:bCs w:val="1"/>
          <w:color w:val="auto"/>
        </w:rPr>
      </w:pPr>
    </w:p>
    <w:p>
      <w:pPr>
        <w:ind w:left="440" w:righ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February 2026, the outstanding balance on the Frost Revolver was fully repaid in connection with the acquisition of the Company. Refer to Note 9 - Subsequent Events for additional information.</w:t>
      </w:r>
    </w:p>
    <w:p>
      <w:pPr>
        <w:spacing w:after="0" w:line="157" w:lineRule="exact"/>
        <w:rPr>
          <w:rFonts w:ascii="Times New Roman" w:cs="Times New Roman" w:eastAsia="Times New Roman" w:hAnsi="Times New Roman"/>
          <w:sz w:val="17"/>
          <w:szCs w:val="17"/>
          <w:b w:val="1"/>
          <w:bCs w:val="1"/>
          <w:color w:val="auto"/>
        </w:rPr>
      </w:pP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FinWise Loan</w:t>
      </w:r>
    </w:p>
    <w:p>
      <w:pPr>
        <w:spacing w:after="0" w:line="229" w:lineRule="exact"/>
        <w:rPr>
          <w:rFonts w:ascii="Times New Roman" w:cs="Times New Roman" w:eastAsia="Times New Roman" w:hAnsi="Times New Roman"/>
          <w:sz w:val="17"/>
          <w:szCs w:val="17"/>
          <w:b w:val="1"/>
          <w:bCs w:val="1"/>
          <w:color w:val="auto"/>
        </w:rPr>
      </w:pPr>
    </w:p>
    <w:p>
      <w:pPr>
        <w:ind w:left="44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August 20, 2024, the Company entered into a loan agreement with FinWise Bank, under which it borrowed $250,000, which included approximately $6,000 of loan origination fees (the “FinWise Loan”). The FinWise Loan is payable in 63 weekly installments of approximately $5,000 and will accrue total interest over the term of the loan of $90,000. A prepayment discount of 50% of the unpaid interest portion of the full balance then remaining on the loan will apply if the loan is paid before the maturity date. As of December 31, 2024, the outstanding balance on the FinWise Loan was $190,000.</w:t>
      </w:r>
    </w:p>
    <w:p>
      <w:pPr>
        <w:spacing w:after="0" w:line="183" w:lineRule="exact"/>
        <w:rPr>
          <w:rFonts w:ascii="Times New Roman" w:cs="Times New Roman" w:eastAsia="Times New Roman" w:hAnsi="Times New Roman"/>
          <w:sz w:val="17"/>
          <w:szCs w:val="17"/>
          <w:b w:val="1"/>
          <w:bCs w:val="1"/>
          <w:color w:val="auto"/>
        </w:rPr>
      </w:pPr>
    </w:p>
    <w:p>
      <w:pPr>
        <w:ind w:left="440" w:right="3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March 2025, the outstanding balance on the FinWise Loan was fully repaid. Total interest expense recorded for the FinWise Loan was approximately $35,000, which includes the 50% prepayment discount, for the year ended December 31, 2025 and $42,000 for the year ended December 31, 2024.</w:t>
      </w:r>
    </w:p>
    <w:p>
      <w:pPr>
        <w:spacing w:after="0" w:line="391" w:lineRule="exact"/>
        <w:rPr>
          <w:rFonts w:ascii="Times New Roman" w:cs="Times New Roman" w:eastAsia="Times New Roman" w:hAnsi="Times New Roman"/>
          <w:sz w:val="17"/>
          <w:szCs w:val="17"/>
          <w:b w:val="1"/>
          <w:bCs w:val="1"/>
          <w:color w:val="auto"/>
        </w:rPr>
      </w:pPr>
    </w:p>
    <w:p>
      <w:pPr>
        <w:ind w:left="4880" w:hanging="108"/>
        <w:spacing w:after="0"/>
        <w:tabs>
          <w:tab w:leader="none" w:pos="4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Debt Costs</w:t>
      </w:r>
    </w:p>
    <w:p>
      <w:pPr>
        <w:spacing w:after="0" w:line="229" w:lineRule="exact"/>
        <w:rPr>
          <w:sz w:val="20"/>
          <w:szCs w:val="20"/>
          <w:color w:val="auto"/>
        </w:rPr>
      </w:pPr>
    </w:p>
    <w:p>
      <w:pPr>
        <w:ind w:left="440" w:right="520"/>
        <w:spacing w:after="0" w:line="282" w:lineRule="auto"/>
        <w:rPr>
          <w:sz w:val="20"/>
          <w:szCs w:val="20"/>
          <w:color w:val="auto"/>
        </w:rPr>
      </w:pPr>
      <w:r>
        <w:rPr>
          <w:rFonts w:ascii="Times New Roman" w:cs="Times New Roman" w:eastAsia="Times New Roman" w:hAnsi="Times New Roman"/>
          <w:sz w:val="18"/>
          <w:szCs w:val="18"/>
          <w:color w:val="auto"/>
        </w:rPr>
        <w:t>Debt related costs associated with both the Frost Revolver and FinWise Loan were expensed as incurred since amounts were considered immaterial.</w:t>
      </w:r>
    </w:p>
    <w:p>
      <w:pPr>
        <w:spacing w:after="0" w:line="158"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taxed as an S-Corporation for U.S. federal income tax purposes for the periods presented. Accordingly, the Company’s results of operations were included in the federal and, in certain cases, state income tax returns of its shareholder, and no provision for U.S. federal income taxes has been recorded in the accompanying financial statements. The Company recognized income tax expense only for taxes imposed directly on the Company by certain state and local taxing jurisdictions, where applicable. Income tax expense recognized for the years ended December 31, 2025 and 2024 was $23,000 and $71,000, respectively. The Company had no unrecognized tax benefits as of December 31, 2025 and 2024, and no amounts were accrued for interest or penalties.</w:t>
      </w:r>
    </w:p>
    <w:p>
      <w:pPr>
        <w:spacing w:after="0" w:line="184"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44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The Company leases space for its corporate headquarter in San Antonio, Texas under a noncancelable operating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which expires in March 2026. Lease expense totaled approximately $75,000 and $65,000 for the years ended December 31, 2025 and 2024, respectively, and is included in general and administrative expense in the statements of comprehensive income (loss). As of December 31, 2025 and 2024, the Company did not record right-of-use assets and lease liabilities for this operating lease agreement as future minimum lease payments remaining was considered immaterial. Future minimum lease payments remaining under the non-cancelable operating lease as of December 31, 2025 was approximately $9,500 and was paid in fiscal year 2026.</w:t>
      </w:r>
    </w:p>
    <w:p>
      <w:pPr>
        <w:spacing w:after="0" w:line="182" w:lineRule="exact"/>
        <w:rPr>
          <w:rFonts w:ascii="Times New Roman" w:cs="Times New Roman" w:eastAsia="Times New Roman" w:hAnsi="Times New Roman"/>
          <w:sz w:val="18"/>
          <w:szCs w:val="18"/>
          <w:b w:val="1"/>
          <w:bCs w:val="1"/>
          <w:color w:val="auto"/>
        </w:rPr>
      </w:pPr>
    </w:p>
    <w:p>
      <w:pPr>
        <w:ind w:left="440" w:right="1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From time to time, the Company may be subject to pending legal proceedings and regulatory actions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business. The Company is not presently a party to any litigation that it believes to be material and the Company is not aware of any pending or threatened litigation against the Company that it believes could have a material adverse effect on its business, operating results, financial condition or cash flows.</w:t>
      </w:r>
    </w:p>
    <w:p>
      <w:pPr>
        <w:spacing w:after="0" w:line="176"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AND RELATED PARTY TRANSACTIONS</w:t>
      </w:r>
    </w:p>
    <w:p>
      <w:pPr>
        <w:spacing w:after="0" w:line="229" w:lineRule="exact"/>
        <w:rPr>
          <w:rFonts w:ascii="Times New Roman" w:cs="Times New Roman" w:eastAsia="Times New Roman" w:hAnsi="Times New Roman"/>
          <w:sz w:val="18"/>
          <w:szCs w:val="18"/>
          <w:b w:val="1"/>
          <w:bCs w:val="1"/>
          <w:color w:val="auto"/>
        </w:rPr>
      </w:pPr>
    </w:p>
    <w:p>
      <w:pPr>
        <w:ind w:left="44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years ended December 31, 2025 and 2024, the Company made net cash distributions to its shareholder totaling approximately $870,000 and $1,319,000, respectively. Distributions are intended to provide funds for the shareholder’s individual tax liabilities arising from the Company’s pass-through taxable income, as well as to distribute excess operating cash flows.</w:t>
      </w:r>
    </w:p>
    <w:p>
      <w:pPr>
        <w:spacing w:after="0" w:line="200" w:lineRule="exact"/>
        <w:rPr>
          <w:rFonts w:ascii="Times New Roman" w:cs="Times New Roman" w:eastAsia="Times New Roman" w:hAnsi="Times New Roman"/>
          <w:sz w:val="18"/>
          <w:szCs w:val="18"/>
          <w:b w:val="1"/>
          <w:bCs w:val="1"/>
          <w:color w:val="auto"/>
        </w:rPr>
      </w:pPr>
    </w:p>
    <w:p>
      <w:pPr>
        <w:spacing w:after="0" w:line="389" w:lineRule="exact"/>
        <w:rPr>
          <w:rFonts w:ascii="Times New Roman" w:cs="Times New Roman" w:eastAsia="Times New Roman" w:hAnsi="Times New Roman"/>
          <w:sz w:val="18"/>
          <w:szCs w:val="18"/>
          <w:b w:val="1"/>
          <w:bCs w:val="1"/>
          <w:color w:val="auto"/>
        </w:rPr>
      </w:pPr>
    </w:p>
    <w:p>
      <w:pPr>
        <w:ind w:left="4880" w:hanging="111"/>
        <w:spacing w:after="0"/>
        <w:tabs>
          <w:tab w:leader="none" w:pos="4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rFonts w:ascii="Times New Roman" w:cs="Times New Roman" w:eastAsia="Times New Roman" w:hAnsi="Times New Roman"/>
          <w:sz w:val="18"/>
          <w:szCs w:val="18"/>
          <w:b w:val="1"/>
          <w:bCs w:val="1"/>
          <w:color w:val="auto"/>
        </w:rPr>
      </w:pPr>
    </w:p>
    <w:p>
      <w:pPr>
        <w:ind w:left="4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sponsors a defined contribution 401(k) plan that eligible employees can participate. Contributions to the 401(k) plan include voluntary contributions by eligible employees and employer matching contributions by the Company. Defined contributions expense was approximately $60,000 and $3,000 for the years ended December 31, 2025 and 2024, respectively.</w:t>
      </w:r>
    </w:p>
    <w:p>
      <w:pPr>
        <w:spacing w:after="0" w:line="171"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4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evaluated subsequent events through May 15, 2026, the date on which the financial statements were available to be issued.</w:t>
      </w:r>
    </w:p>
    <w:p>
      <w:pPr>
        <w:spacing w:after="0" w:line="162" w:lineRule="exact"/>
        <w:rPr>
          <w:sz w:val="20"/>
          <w:szCs w:val="20"/>
          <w:color w:val="auto"/>
        </w:rPr>
      </w:pPr>
    </w:p>
    <w:p>
      <w:pPr>
        <w:ind w:left="440" w:right="40"/>
        <w:spacing w:after="0" w:line="312" w:lineRule="auto"/>
        <w:rPr>
          <w:sz w:val="20"/>
          <w:szCs w:val="20"/>
          <w:color w:val="auto"/>
        </w:rPr>
      </w:pPr>
      <w:r>
        <w:rPr>
          <w:rFonts w:ascii="Times New Roman" w:cs="Times New Roman" w:eastAsia="Times New Roman" w:hAnsi="Times New Roman"/>
          <w:sz w:val="17"/>
          <w:szCs w:val="17"/>
          <w:color w:val="auto"/>
        </w:rPr>
        <w:t>On February 27, 2026, Knightscope, Inc., a Delaware corporation, acquired all the issued and outstanding membership interests of the Company. In connection with the acquisition, Knightscope assumed and fully repaid amounts owed under the Frost Revolver.</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2026 (the “Closing Date”), Knightscope, Inc., a Delaware corporation (the “Company” or “Knightscope”), entered into a Securities Purchase Agreement (the “Purchase Agreement”) with Event Risk LLC, an Indiana limited liability company (“Event Risk”), and Eric Rose (the “Seller”), pursuant to which Knightscope acquired all of the issued and outstanding membership interests of Event Risk (the “Acquired Interests”).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aggregate consideration for the acquisition of Event Risk includes a closing cash payment of $5.0 million, the assumption and full discharge of approximately $1.1 million in indebtedness, and the issuance of 1,724,418 shares of Knightscope Class A Common Stock. The agreement also stipulates deferred cash payments totaling $4.0 million, to be paid in quarterly installments of $0.5 million from March 31, 2027, through December 31, 2028. Additionally, the transaction provides for potential contingent consideration, which includes (i) up to $2.0 million in Earn-Out Payments tied to 2026 revenue and gross margin percentage thresholds, (ii) Cash Revenue Share Payments for 2027-2031 capped at an aggregate of $10.0 million, and (iii) potential Equity Revenue Share Issuances capped at the lesser of 2.5% of fully diluted shares outstanding or $3.0 million in grant-date value. These contingent considerations are defined in the Purchase Agreement and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filing, the Purchase Agreement is referred to as the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of operations have been derived from the Company’s historical consolidated financial statements and are presented to give effect to the Transaction. A pro forma condensed combined balance sheet as of March 31, 2026 is not provided because the Transaction is already reflected in the Company’s unaudited interim condensed consolidated balance sheet included in the Form 10-Q for the period ended March 31, 2026 filed on May 15, 2026. Additionally, all relevant adjustments that would be expected in the pro forma balance sheet are clearly disclosed in the Form 10-Q.</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three months ended March 31, 2026 and for the year ended December 31, 2025 give effect to the Transaction as if it had occurred on January 1, 2025.</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statements have been adjusted in the unaudited pro forma condensed combined financial statements to give effect to events that are (i) directly attributable to the Transaction, (ii) factually supportable, and (iii) with respect to the statements of operations, expected to have a continuing impact on the combined company. The unaudited pro forma condensed combined statements of operations reflect non-recurring transaction charges directly related to the Transaction that the combined company has incurred in furtherance of consummation of the Transaction, as well as transaction costs incurred, but not yet recorded, subsequent to March 31, 2026. Further, the tax rate used for these unaudited pro forma condensed combined financial statements is an estimated effective tax rate, which will likely vary from the actual effective rate in periods subsequent to the completion of the Transaction.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by the Company using the acquisition method of accounting in accordance with U.S. generally accepted accounting principles (“US GAAP”). The Company has been treated as the “accounting acquirer” and Event Risk as the “accounting acquiree” in the Transaction for accounting and financial reporting purposes. The pro forma adjustments are based upon the information currently available and certain assumptions and estimates that the Company believes are reasonable as of the date hereof as described in the accompanying notes. The following unaudited pro forma condensed combined statements of operations for the three months ended March 31, 2026 and for the year ended December 31, 2025, are based on the historical financial statements of Knightscope and Event Risk. These unaudited pro forma condensed combined financial statements and information are provided for illustrative and informational purposes only. They do not purport to represent or be indicative of the consolidated results of operations or financial condition of the Company had the Transaction been completed as of the assumed date or for the periods presented, or which may be realized in the future, and should not be construed as representative of the future consolidated results of operations or financial condition of the combined entity. Actual results may differ materially from the assumptions within the accompanying unaudited pro forma condensed combined financial information.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updated determination of the fair value of Event Risk’s assets acquired and liabilities assumed will be performed within one year of closing of the Transaction. The final purchase price allocation may be materially different from the preliminary purchase consideration allocation presented in the unaudited pro forma condensed combined financial information. Any changes in the fair values of the net assets or total purchase consideration as compared with the information shown in the unaudited pro forma condensed combined financial information may change the amount of the total purchase price allocated to goodwill, and other assets and liabilities, which may impact the combined entity’s balance sheet and statement of operations. As a result of the foregoing, the pro forma adjustments are preliminary and have been made solely for the purpose of providing unaudited pro forma condensed combined financial information. Differences between these preliminary estimates and the final acquisition accounting may arise, and these differences could have a material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on the accompanying unaudited pro forma condensed combined financial information and the combined entity’s future results of operations and financial position.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expected cost savings, operating synergies, or revenue enhancements that the combined entity may achieve as a result of the Transaction or the costs necessary to achieve any such cost savings, operating synergies, or revenue enhancements.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should be read in conjunction with the:</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notes to the unaudited pro forma condensed combined financial statements;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historical financial statements of the Company as of and for the three months ended March 31, 2026;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historical financial statements of the Company as of and for the year ended December 31, 2025;</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6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historical consolidated financial statements of Event Risk, Inc. as of and for the years ended December 31, 2025 and 2024 included in Exhibit 99.1 in the Form 8-K/A filed with the Securities and Exchange Commission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KNIGHTSCOPE,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Knightscope, Inc.</w:t>
            </w:r>
          </w:p>
        </w:tc>
        <w:tc>
          <w:tcPr>
            <w:tcW w:w="20" w:type="dxa"/>
            <w:vAlign w:val="bottom"/>
          </w:tcPr>
          <w:p>
            <w:pPr>
              <w:spacing w:after="0"/>
              <w:rPr>
                <w:sz w:val="15"/>
                <w:szCs w:val="15"/>
                <w:color w:val="auto"/>
              </w:rPr>
            </w:pPr>
          </w:p>
        </w:tc>
        <w:tc>
          <w:tcPr>
            <w:tcW w:w="1240" w:type="dxa"/>
            <w:vAlign w:val="bottom"/>
            <w:gridSpan w:val="4"/>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Event Risk, Inc.</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February 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0" w:type="dxa"/>
            <w:vAlign w:val="bottom"/>
          </w:tcPr>
          <w:p>
            <w:pPr>
              <w:spacing w:after="0"/>
              <w:rPr>
                <w:sz w:val="12"/>
                <w:szCs w:val="12"/>
                <w:color w:val="auto"/>
              </w:rPr>
            </w:pPr>
          </w:p>
        </w:tc>
        <w:tc>
          <w:tcPr>
            <w:tcW w:w="820" w:type="dxa"/>
            <w:vAlign w:val="bottom"/>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40" w:type="dxa"/>
            <w:vAlign w:val="bottom"/>
            <w:vMerge w:val="restart"/>
          </w:tcPr>
          <w:p>
            <w:pPr>
              <w:spacing w:after="0"/>
              <w:rPr>
                <w:sz w:val="12"/>
                <w:szCs w:val="12"/>
                <w:color w:val="auto"/>
              </w:rPr>
            </w:pPr>
          </w:p>
        </w:tc>
        <w:tc>
          <w:tcPr>
            <w:tcW w:w="94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 net</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96"/>
              <w:spacing w:after="0" w:line="194" w:lineRule="exact"/>
              <w:rPr>
                <w:sz w:val="20"/>
                <w:szCs w:val="20"/>
                <w:color w:val="auto"/>
              </w:rPr>
            </w:pPr>
            <w:r>
              <w:rPr>
                <w:rFonts w:ascii="Times New Roman" w:cs="Times New Roman" w:eastAsia="Times New Roman" w:hAnsi="Times New Roman"/>
                <w:sz w:val="18"/>
                <w:szCs w:val="18"/>
                <w:b w:val="1"/>
                <w:bCs w:val="1"/>
                <w:color w:val="auto"/>
              </w:rPr>
              <w:t>3 (aa)</w:t>
            </w:r>
          </w:p>
        </w:tc>
        <w:tc>
          <w:tcPr>
            <w:tcW w:w="9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3 (bb)</w:t>
            </w: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rPr>
              <w:t>3 (cc)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rPr>
              <w:t>3 (dd)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income</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 expense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rPr>
              <w:t>3 (ee)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4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used to compute basic and</w:t>
            </w:r>
          </w:p>
        </w:tc>
        <w:tc>
          <w:tcPr>
            <w:tcW w:w="4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13,857,319</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1,092,132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vMerge w:val="restart"/>
            <w:shd w:val="clear" w:color="auto" w:fill="CCEEFF"/>
          </w:tcPr>
          <w:p>
            <w:pPr>
              <w:jc w:val="center"/>
              <w:ind w:right="154"/>
              <w:spacing w:after="0"/>
              <w:rPr>
                <w:sz w:val="20"/>
                <w:szCs w:val="20"/>
                <w:color w:val="auto"/>
              </w:rPr>
            </w:pPr>
            <w:r>
              <w:rPr>
                <w:rFonts w:ascii="Times New Roman" w:cs="Times New Roman" w:eastAsia="Times New Roman" w:hAnsi="Times New Roman"/>
                <w:sz w:val="18"/>
                <w:szCs w:val="18"/>
                <w:b w:val="1"/>
                <w:bCs w:val="1"/>
                <w:color w:val="auto"/>
              </w:rPr>
              <w:t>3 (ff)</w:t>
            </w:r>
          </w:p>
        </w:tc>
        <w:tc>
          <w:tcPr>
            <w:tcW w:w="140" w:type="dxa"/>
            <w:vAlign w:val="bottom"/>
            <w:tcBorders>
              <w:top w:val="single" w:sz="8" w:color="auto"/>
            </w:tcBorders>
            <w:vMerge w:val="restart"/>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14,949,451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117" w:right="9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KNIGHTSCOPE,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Knightscope, Inc.</w:t>
            </w:r>
          </w:p>
        </w:tc>
        <w:tc>
          <w:tcPr>
            <w:tcW w:w="180" w:type="dxa"/>
            <w:vAlign w:val="bottom"/>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Event Risk, Inc.</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Historical</w:t>
            </w:r>
          </w:p>
        </w:tc>
        <w:tc>
          <w:tcPr>
            <w:tcW w:w="18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0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 net</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margin (loss)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3 (aa)</w:t>
            </w: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 (bb)</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rPr>
              <w:t>3 (cc)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rPr>
              <w:t>3 (dd)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rPr>
              <w:t>3 (ee)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(33,815)</w:t>
            </w:r>
          </w:p>
        </w:tc>
        <w:tc>
          <w:tcPr>
            <w:tcW w:w="1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basic and</w:t>
            </w: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0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8,458,337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1,724,418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vMerge w:val="restart"/>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rPr>
              <w:t>3 (ff)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10,182,755</w:t>
            </w: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KNIGHTSCOPE,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20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prepared in accordance with Article 11 of SEC Regulation S-X, as amended January 1, 2021. The historical financial information has been adjusted to give effect to the events that are (i) directly attributable to the Transaction, (ii) factually supportable and (iii) with respect to the unaudited pro forma condensed combined statements of operations, expected to have a continuing impact on the operating results of the combined company. The historical financial information of Event Risk is presented in accordance with accounting principles generally accepted in the United States (“U.S. GAAP”).</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accounting adjustments relating to the Transaction are preliminary and subject to change, as additional information becomes available and as additional analyses are performed. There can be no assurances that the final valuations will not result in material changes to this preliminary purchase price allocation. The unaudited pro forma condensed combined financial statements do not give effect to the potential impact of any anticipated benefits from cost savings or synergies that may result from the Transaction or to any future integration costs. The unaudited pro forma condensed combined financial statements do not purport to project the future operating results or financial position of the combined company following the Transaction.</w:t>
      </w:r>
    </w:p>
    <w:p>
      <w:pPr>
        <w:spacing w:after="0" w:line="18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Purchase Price Allocation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on the Transaction closing date, all of Event Risk’s outstanding membership units will automatically convert into the right to receive its pro rata portion of the aggregate consideration. The total aggregate consideration for the Transaction is approximately $18.0 million and includes share issuances of 1,724,418 Knightscope, Inc. Class A common shares as detailed below. Additionally, the Purchase Agreement requires potential contingent consideration consisting of: (i) up to $2.0 million in Earn-Out Payments tied to 2026 performance, (ii) Cash Revenue Share Payments for calendar years 2027–2031 capped at $10.0 million, and (iii) potential Equity Revenue Share Issuances capped at the lesser of 2.5% of fully diluted shares or $3.0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preliminary Purchase consideration is calculated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ind w:left="8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75"/>
        </w:trPr>
        <w:tc>
          <w:tcPr>
            <w:tcW w:w="87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close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Payoff of debt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to be delivered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Fair value of non-compete asset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Preliminary Purchase Allocation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for the Transaction, including the preliminary total aggregate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Event Risk, the Company used publicly available benchmarking information as well as a variety of other assumptions, including market participant assumptions. The Company has, and is expected to use, widely accepted income-based, market-based, and cost-based valuation approaches upon finalization of purchase accounting for the Transaction. Actual results may differ materially from the assumptions within this unaudited pro forma condensed combined financial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adjustments are based upon available information and certain assumptions the Company believes are reasonable under the circumstances.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 the Company recorded contingent consideration liabilities. These liabilities are measured to fair value at each reporting period, with the corresponding change in fair value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as of the date of the Transaction: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vMerge w:val="restart"/>
          </w:tcPr>
          <w:p>
            <w:pPr>
              <w:ind w:left="8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5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5"/>
        </w:trPr>
        <w:tc>
          <w:tcPr>
            <w:tcW w:w="8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Purchase consideration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 Forma Statements of Operations Adjustments</w:t>
      </w:r>
    </w:p>
    <w:p>
      <w:pPr>
        <w:spacing w:after="0" w:line="2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 for the three months ended March 31, 2026 and for the year ended December 31, 2025</w:t>
      </w:r>
    </w:p>
    <w:p>
      <w:pPr>
        <w:spacing w:after="0" w:line="1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pro forma adjustments have been reflected in the unaudited pro forma condensed combined statements of operations to give effect to the Transaction.</w:t>
      </w:r>
    </w:p>
    <w:p>
      <w:pPr>
        <w:spacing w:after="0" w:line="135" w:lineRule="exact"/>
        <w:rPr>
          <w:sz w:val="20"/>
          <w:szCs w:val="20"/>
          <w:color w:val="auto"/>
        </w:rPr>
      </w:pPr>
    </w:p>
    <w:p>
      <w:pPr>
        <w:jc w:val="both"/>
        <w:ind w:left="340" w:right="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for identifiable intangible assets recognized at their preliminary estimated fair values in connection with the Transaction, as determined in the Company's condensed consolidated financial statements for the period ended March 31, 2026. Fair value of the acquired intangible assets was determined using an income approach, specifically the multi-period excess earnings method or relief-from- royalty method, depending on the nature of the respective assets. The identifiable intangible assets include customer relationships and non-compete asset, which are being amortized on a straight-line basis over their estimated useful lives ranging from 5 to 6.7 years. The pro forma adjustment reflects the incremental amortization expense that would have been recognized within sales, general, and administrative expenses had these assets been recorded at fair value as of the beginning of the periods presented.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 expense</w:t>
            </w:r>
          </w:p>
        </w:tc>
        <w:tc>
          <w:tcPr>
            <w:tcW w:w="14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 thousands)   </w:t>
            </w:r>
            <w:r>
              <w:rPr>
                <w:rFonts w:ascii="Times New Roman" w:cs="Times New Roman" w:eastAsia="Times New Roman" w:hAnsi="Times New Roman"/>
                <w:sz w:val="14"/>
                <w:szCs w:val="14"/>
                <w:b w:val="1"/>
                <w:bCs w:val="1"/>
                <w:color w:val="auto"/>
              </w:rPr>
              <w: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Non-compete asset</w:t>
            </w: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ind w:right="379"/>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40" w:right="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adjustments to remove non-recurring transaction costs directly related to the Transaction. These costs, recorded within sales, general, and administrative expenses in the historical financial statements, consist of:</w:t>
      </w:r>
    </w:p>
    <w:p>
      <w:pPr>
        <w:spacing w:after="0" w:line="121" w:lineRule="exact"/>
        <w:rPr>
          <w:rFonts w:ascii="Times New Roman" w:cs="Times New Roman" w:eastAsia="Times New Roman" w:hAnsi="Times New Roman"/>
          <w:sz w:val="18"/>
          <w:szCs w:val="18"/>
          <w:color w:val="auto"/>
        </w:rPr>
      </w:pPr>
    </w:p>
    <w:p>
      <w:pPr>
        <w:ind w:left="340" w:right="3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thousand incurred by the Company acquirer for the year ended December 31, 2025. $984 thousand incurred by the Company for the three months ended March 31, 2026. $76 thousand incurred by Event Risk for the three months ended March 31, 2026.</w:t>
      </w:r>
    </w:p>
    <w:p>
      <w:pPr>
        <w:spacing w:after="0" w:line="148"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incremental compensation expense related to a new employment agreement with the Seller, entered into as part of the Transaction. This adjustment includes $23 thousand for the three months ended March 31, 2026, and $129 thousand for the year ended December 31, 2025, which are recognized within sales, general, and administrative expenses.</w:t>
      </w:r>
    </w:p>
    <w:p>
      <w:pPr>
        <w:spacing w:after="0" w:line="135"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removal of interest expense relating to debt paid off at closing by the Company on the Seller’s behalf and included as consideration transferred. This adjustment includes $16 thousand for the three months ended March 31, 2026, and $73 thousand for the year ended December 31, 2025, which are recognized within interest expense, net.</w:t>
      </w:r>
    </w:p>
    <w:p>
      <w:pPr>
        <w:spacing w:after="0" w:line="135"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removal of income tax expense recognized by Event Risk as this expense will not recur in the combined tax structure of the Company. This adjustment includes $156 thousand for the three months ended March 31, 2026, and $23 thousand for the year ended December 31, 2025, which are recognized within income tax expense.</w:t>
      </w:r>
    </w:p>
    <w:p>
      <w:pPr>
        <w:spacing w:after="0" w:line="135" w:lineRule="exact"/>
        <w:rPr>
          <w:rFonts w:ascii="Times New Roman" w:cs="Times New Roman" w:eastAsia="Times New Roman" w:hAnsi="Times New Roman"/>
          <w:sz w:val="18"/>
          <w:szCs w:val="18"/>
          <w:color w:val="auto"/>
        </w:rPr>
      </w:pPr>
    </w:p>
    <w:p>
      <w:pPr>
        <w:jc w:val="both"/>
        <w:ind w:left="340" w:right="60" w:hanging="332"/>
        <w:spacing w:after="0" w:line="289"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impact of the issuance of additional shares of Knightscope common stock as consideration transferred in the Transaction on the computation of basic and diluted net income (loss) per common share. The pro forma basic and diluted weighted-average shares outstanding have been adjusted by the 1,724,418 shares issued, as if it had been outstanding since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429260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60"/>
      </w:cols>
      <w:pgMar w:left="980" w:top="121"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4"/>
    </w:lvl>
    <w:lvl w:ilvl="1">
      <w:lvlJc w:val="left"/>
      <w:lvlText w:val="-"/>
      <w:numFmt w:val="bullet"/>
      <w:start w:val="1"/>
    </w:lvl>
  </w:abstractNum>
  <w:abstractNum w:abstractNumId="9">
    <w:nsid w:val="3352255A"/>
    <w:multiLevelType w:val="hybridMultilevel"/>
    <w:lvl w:ilvl="0">
      <w:lvlJc w:val="left"/>
      <w:lvlText w:val="%1."/>
      <w:numFmt w:val="decimal"/>
      <w:start w:val="5"/>
    </w:lvl>
    <w:lvl w:ilvl="1">
      <w:lvlJc w:val="left"/>
      <w:lvlText w:val="-"/>
      <w:numFmt w:val="bullet"/>
      <w:start w:val="1"/>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lowerLetter"/>
      <w:start w:val="27"/>
    </w:lvl>
  </w:abstractNum>
  <w:abstractNum w:abstractNumId="15">
    <w:nsid w:val="6B68079A"/>
    <w:multiLevelType w:val="hybridMultilevel"/>
    <w:lvl w:ilvl="0">
      <w:lvlJc w:val="left"/>
      <w:lvlText w:val="(%1)"/>
      <w:numFmt w:val="lowerLetter"/>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2026-05-15T15:23:21Z</dcterms:created>
  <dcterms:modified xsi:type="dcterms:W3CDTF">2026-05-15T15:23:21Z</dcterms:modified>
</cp:coreProperties>
</file>