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44354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435475"/>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Dwivedi Apoorv</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KNIGHTSCOPE,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 NORTH MATHILDA AVENUE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Knightscope,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KSCP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1"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145"/>
        <w:spacing w:after="0"/>
        <w:rPr>
          <w:sz w:val="20"/>
          <w:szCs w:val="20"/>
          <w:color w:val="auto"/>
        </w:rPr>
      </w:pPr>
      <w:r>
        <w:rPr>
          <w:rFonts w:ascii="Times New Roman" w:cs="Times New Roman" w:eastAsia="Times New Roman" w:hAnsi="Times New Roman"/>
          <w:sz w:val="17"/>
          <w:szCs w:val="17"/>
          <w:color w:val="0000FF"/>
        </w:rPr>
        <w:t>See Remarks</w:t>
      </w:r>
    </w:p>
    <w:p>
      <w:pPr>
        <w:spacing w:after="0" w:line="385"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SUNNYVALE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94085</w:t>
            </w: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jc w:val="center"/>
              <w:ind w:righ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710,352</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2.55</w:t>
            </w:r>
          </w:p>
        </w:tc>
        <w:tc>
          <w:tcPr>
            <w:tcW w:w="1060" w:type="dxa"/>
            <w:vAlign w:val="bottom"/>
            <w:vMerge w:val="restart"/>
          </w:tcPr>
          <w:p>
            <w:pPr>
              <w:ind w:left="240"/>
              <w:spacing w:after="0" w:line="140" w:lineRule="exact"/>
              <w:rPr>
                <w:sz w:val="20"/>
                <w:szCs w:val="20"/>
                <w:color w:val="auto"/>
              </w:rPr>
            </w:pPr>
            <w:r>
              <w:rPr>
                <w:rFonts w:ascii="Times New Roman" w:cs="Times New Roman" w:eastAsia="Times New Roman" w:hAnsi="Times New Roman"/>
                <w:sz w:val="13"/>
                <w:szCs w:val="13"/>
                <w:color w:val="0000FF"/>
              </w:rPr>
              <w:t>06/04/2026</w:t>
            </w: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vMerge w:val="restart"/>
          </w:tcPr>
          <w:p>
            <w:pPr>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restart"/>
          </w:tcPr>
          <w:p>
            <w:pPr>
              <w:ind w:left="100"/>
              <w:spacing w:after="0" w:line="140" w:lineRule="exact"/>
              <w:rPr>
                <w:sz w:val="20"/>
                <w:szCs w:val="20"/>
                <w:color w:val="auto"/>
              </w:rPr>
            </w:pPr>
            <w:r>
              <w:rPr>
                <w:rFonts w:ascii="Times New Roman" w:cs="Times New Roman" w:eastAsia="Times New Roman" w:hAnsi="Times New Roman"/>
                <w:sz w:val="13"/>
                <w:szCs w:val="13"/>
                <w:color w:val="0000FF"/>
              </w:rPr>
              <w:t>710,352</w:t>
            </w:r>
          </w:p>
        </w:tc>
        <w:tc>
          <w:tcPr>
            <w:tcW w:w="2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restart"/>
          </w:tcPr>
          <w:p>
            <w:pPr>
              <w:ind w:left="40"/>
              <w:spacing w:after="0" w:line="140" w:lineRule="exact"/>
              <w:rPr>
                <w:sz w:val="20"/>
                <w:szCs w:val="20"/>
                <w:color w:val="auto"/>
              </w:rPr>
            </w:pPr>
            <w:r>
              <w:rPr>
                <w:rFonts w:ascii="Times New Roman" w:cs="Times New Roman" w:eastAsia="Times New Roman" w:hAnsi="Times New Roman"/>
                <w:sz w:val="13"/>
                <w:szCs w:val="13"/>
                <w:color w:val="0000FF"/>
              </w:rPr>
              <w:t>06/03/2036</w:t>
            </w:r>
          </w:p>
        </w:tc>
        <w:tc>
          <w:tcPr>
            <w:tcW w:w="660" w:type="dxa"/>
            <w:vAlign w:val="bottom"/>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20"/>
              <w:spacing w:after="0" w:line="140" w:lineRule="exact"/>
              <w:rPr>
                <w:sz w:val="20"/>
                <w:szCs w:val="20"/>
                <w:color w:val="auto"/>
              </w:rPr>
            </w:pPr>
            <w:r>
              <w:rPr>
                <w:rFonts w:ascii="Times New Roman" w:cs="Times New Roman" w:eastAsia="Times New Roman" w:hAnsi="Times New Roman"/>
                <w:sz w:val="13"/>
                <w:szCs w:val="13"/>
                <w:color w:val="0000FF"/>
              </w:rPr>
              <w:t>710,352</w:t>
            </w:r>
          </w:p>
        </w:tc>
        <w:tc>
          <w:tcPr>
            <w:tcW w:w="640" w:type="dxa"/>
            <w:vAlign w:val="bottom"/>
            <w:vMerge w:val="restart"/>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0"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restart"/>
          </w:tcPr>
          <w:p>
            <w:pPr>
              <w:jc w:val="center"/>
              <w:ind w:right="1"/>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-1829435</wp:posOffset>
            </wp:positionV>
            <wp:extent cx="28575" cy="1834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3451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option vests in 25% annual installments on each of June 4, 2027, June 4, 2028, June 4, 2029, and June 4, 2030, subject to the reporting person's continued employment or service through each vesting 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EVP, Chief Financial Officer, and Secretary</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Apoorv Dwivedi</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06/08/2026</w:t>
            </w: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40471" TargetMode="External"/><Relationship Id="rId14" Type="http://schemas.openxmlformats.org/officeDocument/2006/relationships/hyperlink" Target="http://www.sec.gov/cgi-bin/browse-edgar?action=getcompany&amp;CIK=00016009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2026-06-08T20:51:01Z</dcterms:created>
  <dcterms:modified xsi:type="dcterms:W3CDTF">2026-06-08T20:51:01Z</dcterms:modified>
</cp:coreProperties>
</file>